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71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DIAZ PAUL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08/13/2024</w:t>
            </w:r>
          </w:p>
        </w:tc>
        <w:tc>
          <w:tcPr>
            <w:tcW w:w="138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44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330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08/13/2024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22,808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28.18</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1,043,358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08/13/2024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50,980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28.18</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992,378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August 13, 2024.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performance-based restricted stock units granted to the reporting person. The number of shares of Myriad common stock withheld was determined based on the closing price of Myriad common stock on August 13,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Justin Hunter For: Paul J.</w:t>
      </w:r>
      <w:r>
        <w:rPr>
          <w:sz w:val="20"/>
          <w:szCs w:val="20"/>
          <w:color w:val="auto"/>
        </w:rPr>
        <w:tab/>
      </w:r>
      <w:r>
        <w:rPr>
          <w:rFonts w:ascii="Times New Roman" w:cs="Times New Roman" w:eastAsia="Times New Roman" w:hAnsi="Times New Roman"/>
          <w:sz w:val="26"/>
          <w:szCs w:val="26"/>
          <w:color w:val="0000FF"/>
          <w:vertAlign w:val="subscript"/>
        </w:rPr>
        <w:t>08/14/2024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3081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Diaz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07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076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4247"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2024-08-14T16:19:01Z</dcterms:created>
  <dcterms:modified xsi:type="dcterms:W3CDTF">2024-08-14T16:19:01Z</dcterms:modified>
</cp:coreProperties>
</file>