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January 12, 2026</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77"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34"/>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0"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420" w:type="dxa"/>
            <w:vAlign w:val="bottom"/>
            <w:gridSpan w:val="2"/>
            <w:vMerge w:val="continue"/>
          </w:tcPr>
          <w:p>
            <w:pPr>
              <w:spacing w:after="0"/>
              <w:rPr>
                <w:sz w:val="16"/>
                <w:szCs w:val="16"/>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12, 2026, Myriad Genetics, Inc. (the “Company”) issued a press release announcing its preliminary revenue for the quarter and full year ended December 31, 2025. The Company also introduced full year 2026 financial guidance. In addition, the Company is announcing certain preliminary volume information for the full year ended December 31, 2025. Specifically, the Company expects total test volumes in 2025 of approximately 1.5 million, a 1% year-over-year increase, reflecting approximately 7% year-over-year growth in hereditary cancer testing volume, approximately 6% year-over-year growth in mental health testing volume, and approximately 4% year-over-year decrease in prenatal health testing volume. The full text of the press release is furnished as Exhibit 99.1 hereto and incorporated herein by reference.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Cautionary Note Regarding Preliminary Financial Results</w:t>
      </w:r>
      <w:r>
        <w:rPr>
          <w:rFonts w:ascii="Times New Roman" w:cs="Times New Roman" w:eastAsia="Times New Roman" w:hAnsi="Times New Roman"/>
          <w:sz w:val="18"/>
          <w:szCs w:val="18"/>
          <w:color w:val="auto"/>
        </w:rPr>
        <w:t>. The select financial results for the quarter and full year ended December 31, 2025 set forth in this Current Report on Form 8-K, including Exhibit 99.1, are preliminary and subject to the Company’s normal quarter and year-end accounting</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procedures and external audit by the Company’s independent registered public accounting firm and, as a result, are subject to change. Please refer to the cautionary note in Exhibit 99.1 to this Current Report on Form 8-K regarding these preliminary financial results.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Exhibit 99.1 to this Current Report on Form 8-K regarding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54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Myriad Genetics, Inc., dated January 12, 2026.</w:t>
            </w:r>
          </w:p>
        </w:tc>
        <w:tc>
          <w:tcPr>
            <w:tcW w:w="5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Limitation on Incorporation by Reference</w:t>
      </w:r>
      <w:r>
        <w:rPr>
          <w:rFonts w:ascii="Times New Roman" w:cs="Times New Roman" w:eastAsia="Times New Roman" w:hAnsi="Times New Roman"/>
          <w:sz w:val="18"/>
          <w:szCs w:val="18"/>
          <w:color w:val="auto"/>
        </w:rPr>
        <w:t>. 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January 12, 2026</w:t>
      </w:r>
      <w:r>
        <w:rPr>
          <w:sz w:val="20"/>
          <w:szCs w:val="20"/>
          <w:color w:val="auto"/>
        </w:rPr>
        <w:tab/>
      </w:r>
      <w:r>
        <w:rPr>
          <w:rFonts w:ascii="Times New Roman" w:cs="Times New Roman" w:eastAsia="Times New Roman" w:hAnsi="Times New Roman"/>
          <w:sz w:val="17"/>
          <w:szCs w:val="17"/>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54610</wp:posOffset>
            </wp:positionV>
            <wp:extent cx="5863590"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auto"/>
        </w:rPr>
        <w:t>Myriad Genetics Announces Select Preliminary Fourth Quarter and Full Year 2025 Financial Results and Introduces Full Year 2026 Financial Guidance</w:t>
      </w:r>
    </w:p>
    <w:p>
      <w:pPr>
        <w:spacing w:after="0" w:line="201" w:lineRule="exact"/>
        <w:rPr>
          <w:sz w:val="20"/>
          <w:szCs w:val="20"/>
          <w:color w:val="auto"/>
        </w:rPr>
      </w:pPr>
    </w:p>
    <w:p>
      <w:pPr>
        <w:jc w:val="both"/>
        <w:spacing w:after="0" w:line="327" w:lineRule="auto"/>
        <w:rPr>
          <w:sz w:val="20"/>
          <w:szCs w:val="20"/>
          <w:color w:val="auto"/>
        </w:rPr>
      </w:pPr>
      <w:r>
        <w:rPr>
          <w:rFonts w:ascii="Arial" w:cs="Arial" w:eastAsia="Arial" w:hAnsi="Arial"/>
          <w:sz w:val="20"/>
          <w:szCs w:val="20"/>
          <w:b w:val="1"/>
          <w:bCs w:val="1"/>
          <w:color w:val="auto"/>
        </w:rPr>
        <w:t xml:space="preserve">SALT LAKE CITY, January 12, 2026 – </w:t>
      </w:r>
      <w:r>
        <w:rPr>
          <w:rFonts w:ascii="Arial" w:cs="Arial" w:eastAsia="Arial" w:hAnsi="Arial"/>
          <w:sz w:val="20"/>
          <w:szCs w:val="20"/>
          <w:color w:val="auto"/>
        </w:rPr>
        <w:t>Myriad Genetics, Inc. (NASDAQ: MYGN), a leader in molecular diagnostic testing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precision medicine, today announced select unaudited preliminary results for the fourth quarter and full year ended December 31, 2025, and provided full year 2026 financial guidance.</w:t>
      </w:r>
    </w:p>
    <w:p>
      <w:pPr>
        <w:spacing w:after="0" w:line="196"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These preliminary results will be included in a presentation that will be made available through a live webcast in the investor relations section of the Myriad Genetics website at</w:t>
      </w:r>
      <w:r>
        <w:rPr>
          <w:rFonts w:ascii="Arial" w:cs="Arial" w:eastAsia="Arial" w:hAnsi="Arial"/>
          <w:sz w:val="20"/>
          <w:szCs w:val="20"/>
          <w:u w:val="single" w:color="auto"/>
          <w:color w:val="auto"/>
        </w:rPr>
        <w:t> investor.myriad.com</w:t>
      </w:r>
      <w:r>
        <w:rPr>
          <w:rFonts w:ascii="Arial" w:cs="Arial" w:eastAsia="Arial" w:hAnsi="Arial"/>
          <w:sz w:val="20"/>
          <w:szCs w:val="20"/>
          <w:color w:val="auto"/>
        </w:rPr>
        <w:t xml:space="preserve"> on Wednesday, January 14, 2026 at 5:15 pm PT (8:15 pm ET) in connection with the company’s presentation at the 44th Annual J.P. Morgan Healthcare Conference. </w:t>
      </w:r>
    </w:p>
    <w:p>
      <w:pPr>
        <w:spacing w:after="0" w:line="127" w:lineRule="exact"/>
        <w:rPr>
          <w:sz w:val="20"/>
          <w:szCs w:val="20"/>
          <w:color w:val="auto"/>
        </w:rPr>
      </w:pPr>
    </w:p>
    <w:p>
      <w:pPr>
        <w:ind w:right="4540"/>
        <w:spacing w:after="0" w:line="388" w:lineRule="auto"/>
        <w:rPr>
          <w:sz w:val="20"/>
          <w:szCs w:val="20"/>
          <w:color w:val="auto"/>
        </w:rPr>
      </w:pPr>
      <w:r>
        <w:rPr>
          <w:rFonts w:ascii="Arial" w:cs="Arial" w:eastAsia="Arial" w:hAnsi="Arial"/>
          <w:sz w:val="20"/>
          <w:szCs w:val="20"/>
          <w:b w:val="1"/>
          <w:bCs w:val="1"/>
          <w:color w:val="auto"/>
        </w:rPr>
        <w:t xml:space="preserve">Select Preliminary Fourth Quarter and Full Year 2025 Financial Results  </w:t>
      </w:r>
      <w:r>
        <w:rPr>
          <w:rFonts w:ascii="Arial" w:cs="Arial" w:eastAsia="Arial" w:hAnsi="Arial"/>
          <w:sz w:val="20"/>
          <w:szCs w:val="20"/>
          <w:color w:val="auto"/>
        </w:rPr>
        <w:t>The company expects the following: </w:t>
      </w:r>
    </w:p>
    <w:p>
      <w:pPr>
        <w:spacing w:after="0" w:line="1" w:lineRule="exact"/>
        <w:rPr>
          <w:sz w:val="20"/>
          <w:szCs w:val="20"/>
          <w:color w:val="auto"/>
        </w:rPr>
      </w:pPr>
    </w:p>
    <w:p>
      <w:pPr>
        <w:ind w:left="600" w:hanging="268"/>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Fourth quarter of 2025 total revenues to be between $207 million and $209 million,</w:t>
      </w:r>
    </w:p>
    <w:p>
      <w:pPr>
        <w:spacing w:after="0" w:line="67" w:lineRule="exact"/>
        <w:rPr>
          <w:rFonts w:ascii="Arial" w:cs="Arial" w:eastAsia="Arial" w:hAnsi="Arial"/>
          <w:sz w:val="20"/>
          <w:szCs w:val="20"/>
          <w:color w:val="auto"/>
        </w:rPr>
      </w:pPr>
    </w:p>
    <w:p>
      <w:pPr>
        <w:ind w:left="600" w:hanging="268"/>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 year 2025 total revenues to be between $822 million to $824 million.</w:t>
      </w:r>
    </w:p>
    <w:p>
      <w:pPr>
        <w:spacing w:after="0" w:line="310" w:lineRule="exact"/>
        <w:rPr>
          <w:sz w:val="20"/>
          <w:szCs w:val="20"/>
          <w:color w:val="auto"/>
        </w:rPr>
      </w:pPr>
    </w:p>
    <w:p>
      <w:pPr>
        <w:jc w:val="both"/>
        <w:ind w:right="20"/>
        <w:spacing w:after="0" w:line="342" w:lineRule="auto"/>
        <w:rPr>
          <w:sz w:val="20"/>
          <w:szCs w:val="20"/>
          <w:color w:val="auto"/>
        </w:rPr>
      </w:pPr>
      <w:r>
        <w:rPr>
          <w:rFonts w:ascii="Arial" w:cs="Arial" w:eastAsia="Arial" w:hAnsi="Arial"/>
          <w:sz w:val="20"/>
          <w:szCs w:val="20"/>
          <w:color w:val="auto"/>
        </w:rPr>
        <w:t>The company plans to release its actual financial results for the fourth quarter and full year 2025 during its earnings call to be held in February 2026.</w:t>
      </w:r>
    </w:p>
    <w:p>
      <w:pPr>
        <w:spacing w:after="0" w:line="18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select financial results for the quarter and full year ended December 31, 2025 set forth in this press release are preliminary and subject to Myriad Genetics’ normal quarter and year-end accounting procedures and external audit by the company’s independent registered public accounting firm. As a result, these select preliminary, unaudited financial results may change in connection with the finalization of the company’s year-end closing and reporting processes and financial statements for the quarter and full year ended December 31, 2025 and may not represent the actual financial results for the quarter and full year ended December 31, 2025. In addition, these select preliminary, unaudited financial results are not a comprehensive statement of the company’s financial results for the year ended December 31, 2025, should not be viewed as a substitute for full, audited financial statements prepared in accordance with generally accepted accounting principles in the United States (GAAP), and are not necessarily indicative of the company's results for any future period. </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4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2026 Financial Guidance</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Myriad Genetics does not provide forward-looking guidance on a GAAP basis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strategic realignment, certain litigation charges and loss contingencies, costs related to acquisitions/divestitures and the related amortization, impairment and related charges, depreciation, equity compensation, tax benefits and other adjustments. For example, stock-based compensation may fluctuate based on the timing of employee stock transactions and unpredictable fluctuations in the company's stock price. Any associated estimate of these items and their impact on GAAP performance could vary materially. </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company introduces the full year 2026 financial guidance in the table below*</w:t>
      </w:r>
    </w:p>
    <w:p>
      <w:pPr>
        <w:spacing w:after="0" w:line="200" w:lineRule="exact"/>
        <w:rPr>
          <w:sz w:val="20"/>
          <w:szCs w:val="20"/>
          <w:color w:val="auto"/>
        </w:rPr>
      </w:pPr>
    </w:p>
    <w:p>
      <w:pPr>
        <w:spacing w:after="0" w:line="280" w:lineRule="exact"/>
        <w:rPr>
          <w:sz w:val="20"/>
          <w:szCs w:val="20"/>
          <w:color w:val="auto"/>
        </w:rPr>
      </w:pPr>
    </w:p>
    <w:p>
      <w:pPr>
        <w:ind w:left="1320"/>
        <w:spacing w:after="0"/>
        <w:tabs>
          <w:tab w:leader="none" w:pos="4260" w:val="left"/>
          <w:tab w:leader="none" w:pos="7560" w:val="left"/>
        </w:tabs>
        <w:rPr>
          <w:sz w:val="20"/>
          <w:szCs w:val="20"/>
          <w:color w:val="auto"/>
        </w:rPr>
      </w:pPr>
      <w:r>
        <w:rPr>
          <w:rFonts w:ascii="Arial" w:cs="Arial" w:eastAsia="Arial" w:hAnsi="Arial"/>
          <w:sz w:val="14"/>
          <w:szCs w:val="14"/>
          <w:i w:val="1"/>
          <w:iCs w:val="1"/>
          <w:color w:val="auto"/>
        </w:rPr>
        <w:t>(in millions, except percentages)</w:t>
      </w:r>
      <w:r>
        <w:rPr>
          <w:sz w:val="20"/>
          <w:szCs w:val="20"/>
          <w:color w:val="auto"/>
        </w:rPr>
        <w:tab/>
      </w:r>
      <w:r>
        <w:rPr>
          <w:rFonts w:ascii="Arial" w:cs="Arial" w:eastAsia="Arial" w:hAnsi="Arial"/>
          <w:sz w:val="16"/>
          <w:szCs w:val="16"/>
          <w:b w:val="1"/>
          <w:bCs w:val="1"/>
          <w:color w:val="auto"/>
        </w:rPr>
        <w:t>Guidance</w:t>
      </w:r>
      <w:r>
        <w:rPr>
          <w:sz w:val="20"/>
          <w:szCs w:val="20"/>
          <w:color w:val="auto"/>
        </w:rPr>
        <w:tab/>
      </w:r>
      <w:r>
        <w:rPr>
          <w:rFonts w:ascii="Arial" w:cs="Arial" w:eastAsia="Arial" w:hAnsi="Arial"/>
          <w:sz w:val="16"/>
          <w:szCs w:val="16"/>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20955</wp:posOffset>
            </wp:positionV>
            <wp:extent cx="4149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297"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2640" w:type="dxa"/>
            <w:vAlign w:val="bottom"/>
          </w:tcPr>
          <w:p>
            <w:pPr>
              <w:spacing w:after="0"/>
              <w:rPr>
                <w:sz w:val="20"/>
                <w:szCs w:val="20"/>
                <w:color w:val="auto"/>
              </w:rPr>
            </w:pPr>
            <w:r>
              <w:rPr>
                <w:rFonts w:ascii="Arial" w:cs="Arial" w:eastAsia="Arial" w:hAnsi="Arial"/>
                <w:sz w:val="18"/>
                <w:szCs w:val="18"/>
                <w:color w:val="auto"/>
              </w:rPr>
              <w:t>Revenue</w:t>
            </w:r>
          </w:p>
        </w:tc>
        <w:tc>
          <w:tcPr>
            <w:tcW w:w="1060" w:type="dxa"/>
            <w:vAlign w:val="bottom"/>
          </w:tcPr>
          <w:p>
            <w:pPr>
              <w:jc w:val="right"/>
              <w:spacing w:after="0"/>
              <w:rPr>
                <w:sz w:val="20"/>
                <w:szCs w:val="20"/>
                <w:color w:val="auto"/>
              </w:rPr>
            </w:pPr>
            <w:r>
              <w:rPr>
                <w:rFonts w:ascii="Arial" w:cs="Arial" w:eastAsia="Arial" w:hAnsi="Arial"/>
                <w:sz w:val="18"/>
                <w:szCs w:val="18"/>
                <w:color w:val="auto"/>
              </w:rPr>
              <w:t>$860</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 $880</w:t>
            </w:r>
          </w:p>
        </w:tc>
      </w:tr>
      <w:tr>
        <w:trPr>
          <w:trHeight w:val="513"/>
        </w:trPr>
        <w:tc>
          <w:tcPr>
            <w:tcW w:w="2640" w:type="dxa"/>
            <w:vAlign w:val="bottom"/>
          </w:tcPr>
          <w:p>
            <w:pPr>
              <w:spacing w:after="0"/>
              <w:rPr>
                <w:sz w:val="20"/>
                <w:szCs w:val="20"/>
                <w:color w:val="auto"/>
              </w:rPr>
            </w:pPr>
            <w:r>
              <w:rPr>
                <w:rFonts w:ascii="Arial" w:cs="Arial" w:eastAsia="Arial" w:hAnsi="Arial"/>
                <w:sz w:val="18"/>
                <w:szCs w:val="18"/>
                <w:color w:val="auto"/>
              </w:rPr>
              <w:t>Adjusted Gross Margin **</w:t>
            </w: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540" w:type="dxa"/>
            <w:vAlign w:val="bottom"/>
          </w:tcPr>
          <w:p>
            <w:pPr>
              <w:ind w:left="20"/>
              <w:spacing w:after="0"/>
              <w:rPr>
                <w:sz w:val="20"/>
                <w:szCs w:val="20"/>
                <w:color w:val="auto"/>
              </w:rPr>
            </w:pPr>
            <w:r>
              <w:rPr>
                <w:rFonts w:ascii="Arial" w:cs="Arial" w:eastAsia="Arial" w:hAnsi="Arial"/>
                <w:sz w:val="18"/>
                <w:szCs w:val="18"/>
                <w:color w:val="auto"/>
              </w:rPr>
              <w:t>- 69%</w:t>
            </w:r>
          </w:p>
        </w:tc>
      </w:tr>
      <w:tr>
        <w:trPr>
          <w:trHeight w:val="499"/>
        </w:trPr>
        <w:tc>
          <w:tcPr>
            <w:tcW w:w="2640" w:type="dxa"/>
            <w:vAlign w:val="bottom"/>
          </w:tcPr>
          <w:p>
            <w:pPr>
              <w:spacing w:after="0"/>
              <w:rPr>
                <w:sz w:val="20"/>
                <w:szCs w:val="20"/>
                <w:color w:val="auto"/>
              </w:rPr>
            </w:pPr>
            <w:r>
              <w:rPr>
                <w:rFonts w:ascii="Arial" w:cs="Arial" w:eastAsia="Arial" w:hAnsi="Arial"/>
                <w:sz w:val="18"/>
                <w:szCs w:val="18"/>
                <w:color w:val="auto"/>
              </w:rPr>
              <w:t>Adjusted EBITDA***</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ind w:left="20"/>
              <w:spacing w:after="0"/>
              <w:rPr>
                <w:sz w:val="20"/>
                <w:szCs w:val="20"/>
                <w:color w:val="auto"/>
              </w:rPr>
            </w:pPr>
            <w:r>
              <w:rPr>
                <w:rFonts w:ascii="Arial" w:cs="Arial" w:eastAsia="Arial" w:hAnsi="Arial"/>
                <w:sz w:val="18"/>
                <w:szCs w:val="18"/>
                <w:color w:val="auto"/>
              </w:rPr>
              <w:t>- $49</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920"/>
        <w:spacing w:after="0" w:line="221" w:lineRule="auto"/>
        <w:rPr>
          <w:sz w:val="20"/>
          <w:szCs w:val="20"/>
          <w:color w:val="auto"/>
        </w:rPr>
      </w:pPr>
      <w:r>
        <w:rPr>
          <w:rFonts w:ascii="Arial" w:cs="Arial" w:eastAsia="Arial" w:hAnsi="Arial"/>
          <w:sz w:val="18"/>
          <w:szCs w:val="18"/>
          <w:color w:val="auto"/>
        </w:rPr>
        <w:t>The mid-point of the 2026 revenue guidance range reflects an increase of approximately 6% compared to the 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-238125</wp:posOffset>
            </wp:positionV>
            <wp:extent cx="603504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504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point of the preliminary 2025 revenue range.</w:t>
      </w:r>
    </w:p>
    <w:p>
      <w:pPr>
        <w:spacing w:after="0" w:line="14" w:lineRule="exact"/>
        <w:rPr>
          <w:sz w:val="20"/>
          <w:szCs w:val="20"/>
          <w:color w:val="auto"/>
        </w:rPr>
      </w:pPr>
    </w:p>
    <w:p>
      <w:pPr>
        <w:ind w:right="1120"/>
        <w:spacing w:after="0" w:line="234" w:lineRule="auto"/>
        <w:rPr>
          <w:sz w:val="20"/>
          <w:szCs w:val="20"/>
          <w:color w:val="auto"/>
        </w:rPr>
      </w:pPr>
      <w:r>
        <w:rPr>
          <w:rFonts w:ascii="Arial" w:cs="Arial" w:eastAsia="Arial" w:hAnsi="Arial"/>
          <w:sz w:val="18"/>
          <w:szCs w:val="18"/>
          <w:color w:val="auto"/>
        </w:rPr>
        <w:t>This range incorporates the anticipated impact from new product launches.</w:t>
      </w:r>
    </w:p>
    <w:p>
      <w:pPr>
        <w:spacing w:after="0" w:line="6" w:lineRule="exact"/>
        <w:rPr>
          <w:sz w:val="20"/>
          <w:szCs w:val="20"/>
          <w:color w:val="auto"/>
        </w:rPr>
      </w:pPr>
    </w:p>
    <w:p>
      <w:pPr>
        <w:ind w:right="900"/>
        <w:spacing w:after="0" w:line="234" w:lineRule="auto"/>
        <w:rPr>
          <w:sz w:val="20"/>
          <w:szCs w:val="20"/>
          <w:color w:val="auto"/>
        </w:rPr>
      </w:pPr>
      <w:r>
        <w:rPr>
          <w:rFonts w:ascii="Arial" w:cs="Arial" w:eastAsia="Arial" w:hAnsi="Arial"/>
          <w:sz w:val="17"/>
          <w:szCs w:val="17"/>
          <w:color w:val="auto"/>
        </w:rPr>
        <w:t>The mid-point of the adjusted EBITDA range is expected to grow approximately 43% over the mid-point of the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-238125</wp:posOffset>
            </wp:positionV>
            <wp:extent cx="603504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504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full year 2025 guidance range.</w:t>
      </w:r>
    </w:p>
    <w:p>
      <w:pPr>
        <w:spacing w:after="0" w:line="68" w:lineRule="exact"/>
        <w:rPr>
          <w:sz w:val="20"/>
          <w:szCs w:val="20"/>
          <w:color w:val="auto"/>
        </w:rPr>
      </w:pPr>
    </w:p>
    <w:p>
      <w:pPr>
        <w:sectPr>
          <w:pgSz w:w="11900" w:h="16838" w:orient="portrait"/>
          <w:cols w:equalWidth="0" w:num="2">
            <w:col w:w="5140" w:space="500"/>
            <w:col w:w="5600"/>
          </w:cols>
          <w:pgMar w:left="320" w:top="926" w:right="339" w:bottom="1440" w:gutter="0" w:footer="0" w:header="0"/>
          <w:type w:val="continuous"/>
        </w:sectPr>
      </w:pPr>
    </w:p>
    <w:p>
      <w:pPr>
        <w:ind w:left="1520" w:hanging="486"/>
        <w:spacing w:after="0"/>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Assumes currency rates as of January 12, 2026.</w:t>
      </w:r>
    </w:p>
    <w:p>
      <w:pPr>
        <w:spacing w:after="0" w:line="55" w:lineRule="exact"/>
        <w:rPr>
          <w:sz w:val="20"/>
          <w:szCs w:val="20"/>
          <w:color w:val="auto"/>
        </w:rPr>
      </w:pPr>
    </w:p>
    <w:p>
      <w:pPr>
        <w:ind w:left="1520" w:right="940" w:hanging="486"/>
        <w:spacing w:after="0" w:line="281" w:lineRule="auto"/>
        <w:tabs>
          <w:tab w:leader="none" w:pos="1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Gross Margin is defined as Gross Margin plus non-cash cost of sales, such as amortization of intangible assets and share-based compensation expense, and non-recurring one-time expenses.</w:t>
      </w:r>
    </w:p>
    <w:p>
      <w:pPr>
        <w:spacing w:after="0" w:line="1" w:lineRule="exact"/>
        <w:rPr>
          <w:rFonts w:ascii="Arial" w:cs="Arial" w:eastAsia="Arial" w:hAnsi="Arial"/>
          <w:sz w:val="14"/>
          <w:szCs w:val="14"/>
          <w:color w:val="auto"/>
        </w:rPr>
      </w:pPr>
    </w:p>
    <w:p>
      <w:pPr>
        <w:ind w:left="1520" w:right="1180" w:hanging="486"/>
        <w:spacing w:after="0" w:line="263"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strategic realignment, legal settlements, and divestitures and acquisitions.</w:t>
      </w:r>
    </w:p>
    <w:p>
      <w:pPr>
        <w:spacing w:after="0" w:line="120"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 </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Myriad Genetics</w:t>
      </w:r>
    </w:p>
    <w:p>
      <w:pPr>
        <w:spacing w:after="0" w:line="177"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 xml:space="preserve">Myriad Genetics is a leading molecular diagnostic testing and precision medicine company dedicated to advancing health and well-being for all. Myriad Genetics develops and offers molecular tests that help assess the risk of developing disease or disease progression and guide treatment decisions across medical specialties where molecular insights can significantly improve patient care and lower healthcare costs. For more information, visit </w:t>
      </w:r>
      <w:r>
        <w:rPr>
          <w:rFonts w:ascii="Arial" w:cs="Arial" w:eastAsia="Arial" w:hAnsi="Arial"/>
          <w:sz w:val="20"/>
          <w:szCs w:val="20"/>
          <w:u w:val="single" w:color="auto"/>
          <w:color w:val="auto"/>
        </w:rPr>
        <w:t>www.myriad.com</w:t>
      </w:r>
      <w:r>
        <w:rPr>
          <w:rFonts w:ascii="Arial" w:cs="Arial" w:eastAsia="Arial" w:hAnsi="Arial"/>
          <w:sz w:val="20"/>
          <w:szCs w:val="20"/>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In this press release, the company’s 2026 financial guidance is provided in accordance with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The company does not forecast GAAP gross margin or GAAP EBITDA because it cannot predict certain elements that are included in reported GAAP results. Please see above under "2026 Financial Guidance" for a full explanation.</w:t>
      </w: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if available, to more fully understand its business. Non-GAAP financial results are reported in addition to, and not as a substitute for, or superior to, financial measures calculated in accordance with GAAP.</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2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Safe Harbor Statement</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including the company’s fourth quarter and full year 2025 preliminary revenues and the company’s full year 2026 financial guidance.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These risks include, but are not limited to: the risk that sales and profit margins of the company’s existing tests may decline; the risk that the company may not be able to operate its business on a profitable basis; risks related to changes in the company's financial results from the preliminary results reported in this press release resulting from the finalization of the company's financial statements for the fourth quarter and full year 2025 and the audit thereof; risks related to the company’s ability to achieve certain revenue growth targets and generate sufficient revenue from its existing product portfolio or in launching and commercializing new tests to be profitable; risks related to recent changes in the company's senior management team and the successful implementation of the company's strategic plan;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is not able to secure additional financing to fund its business, if needed, in a timely manner or on favorable terms, if it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and other cybersecurity incidents;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Part I, Item 1A of the company’s Annual Report on Form 10-K filed with the U.S. Securities and Exchange Commission (SEC) on February 28, 2025, as well as any updates to those risk factors filed from time to time in the company’s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88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Investor Contact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Matt Scalo</w:t>
      </w:r>
    </w:p>
    <w:p>
      <w:pPr>
        <w:spacing w:after="0" w:line="11" w:lineRule="exact"/>
        <w:rPr>
          <w:sz w:val="20"/>
          <w:szCs w:val="20"/>
          <w:color w:val="auto"/>
        </w:rPr>
      </w:pPr>
    </w:p>
    <w:p>
      <w:pPr>
        <w:ind w:right="7799" w:firstLine="6"/>
        <w:spacing w:after="0" w:line="296" w:lineRule="auto"/>
        <w:tabs>
          <w:tab w:leader="none" w:pos="564"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584-3532 </w:t>
      </w:r>
      <w:r>
        <w:rPr>
          <w:rFonts w:ascii="Arial" w:cs="Arial" w:eastAsia="Arial" w:hAnsi="Arial"/>
          <w:sz w:val="21"/>
          <w:szCs w:val="21"/>
          <w:u w:val="single" w:color="auto"/>
          <w:color w:val="auto"/>
        </w:rPr>
        <w:t>matt.scalo@myriad.com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Kate Schraml</w:t>
      </w:r>
    </w:p>
    <w:p>
      <w:pPr>
        <w:spacing w:after="0" w:line="19" w:lineRule="exact"/>
        <w:rPr>
          <w:sz w:val="20"/>
          <w:szCs w:val="20"/>
          <w:color w:val="auto"/>
        </w:rPr>
      </w:pPr>
    </w:p>
    <w:p>
      <w:pPr>
        <w:ind w:right="8479" w:firstLine="6"/>
        <w:spacing w:after="0" w:line="310" w:lineRule="auto"/>
        <w:tabs>
          <w:tab w:leader="none" w:pos="564"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875-4493 </w:t>
      </w:r>
      <w:r>
        <w:rPr>
          <w:rFonts w:ascii="Arial" w:cs="Arial" w:eastAsia="Arial" w:hAnsi="Arial"/>
          <w:sz w:val="21"/>
          <w:szCs w:val="21"/>
          <w:u w:val="single" w:color="auto"/>
          <w:color w:val="auto"/>
        </w:rPr>
        <w:t>PR@myriad.com</w:t>
      </w:r>
    </w:p>
    <w:p>
      <w:pPr>
        <w:spacing w:after="0" w:line="200" w:lineRule="exact"/>
        <w:rPr>
          <w:sz w:val="20"/>
          <w:szCs w:val="20"/>
          <w:color w:val="auto"/>
        </w:rPr>
      </w:pPr>
    </w:p>
    <w:p>
      <w:pPr>
        <w:spacing w:after="0" w:line="329"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sectPr>
      <w:pgSz w:w="11900" w:h="16838" w:orient="portrait"/>
      <w:cols w:equalWidth="0" w:num="1">
        <w:col w:w="10119"/>
      </w:cols>
      <w:pgMar w:left="340" w:top="1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801"/>
    </w:lvl>
  </w:abstractNum>
  <w:abstractNum w:abstractNumId="6">
    <w:nsid w:val="41B71EFB"/>
    <w:multiLevelType w:val="hybridMultilevel"/>
    <w:lvl w:ilvl="0">
      <w:lvlJc w:val="left"/>
      <w:lvlText w:val="(%1)"/>
      <w:numFmt w:val="decimal"/>
      <w:start w:val="2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2026-01-12T07:37:14Z</dcterms:created>
  <dcterms:modified xsi:type="dcterms:W3CDTF">2026-01-12T07:37:14Z</dcterms:modified>
</cp:coreProperties>
</file>