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691148.xml.htm"/>
      <w:bookmarkStart w:id="1" w:name="kswkform4_17806911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Skovronsky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59,701</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195,507</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restricted stock units granted pursuant to the Issuer's 2026 Employee, Director and Consultant Equity Incentive Plan, as amended. Each restricted stock unit represents a contingent right to receive one share of the Issuer's common stock and vests upon the earlier of (a) the first anniversary of the date of grant or (b) the date of the next annual meeting of stockholders following such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Daniel Skovronsky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1474" TargetMode="External"/><Relationship Id="rId5" Type="http://schemas.openxmlformats.org/officeDocument/2006/relationships/hyperlink" Target="http://www.sec.gov/cgi-bin/browse-edgar?action=getcompany&amp;CIK=0000899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628</Words>
  <Characters>3387</Characters>
  <CharactersWithSpaces>3956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