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74" w:lineRule="exact"/>
        <w:rPr>
          <w:sz w:val="24"/>
          <w:szCs w:val="24"/>
          <w:color w:val="auto"/>
        </w:rPr>
      </w:pPr>
    </w:p>
    <w:p>
      <w:pPr>
        <w:ind w:left="38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-5080</wp:posOffset>
            </wp:positionV>
            <wp:extent cx="723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0-26642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MYRIAD GENETICS,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tbl>
      <w:tblPr>
        <w:tblLayout w:type="fixed"/>
        <w:tblInd w:w="106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3400" w:type="dxa"/>
            <w:vAlign w:val="bottom"/>
            <w:gridSpan w:val="3"/>
          </w:tcPr>
          <w:p>
            <w:pPr>
              <w:jc w:val="center"/>
              <w:ind w:right="26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4240" w:type="dxa"/>
            <w:vAlign w:val="bottom"/>
            <w:gridSpan w:val="5"/>
          </w:tcPr>
          <w:p>
            <w:pPr>
              <w:jc w:val="right"/>
              <w:ind w:right="940"/>
              <w:spacing w:after="0" w:line="184" w:lineRule="exact"/>
              <w:rPr>
                <w:sz w:val="20"/>
                <w:szCs w:val="20"/>
                <w:color w:val="auto"/>
              </w:rPr>
            </w:pPr>
            <w:r>
              <w:rPr>
                <w:rFonts w:ascii="Times New Roman" w:cs="Times New Roman" w:eastAsia="Times New Roman" w:hAnsi="Times New Roman"/>
                <w:sz w:val="18"/>
                <w:szCs w:val="18"/>
                <w:b w:val="1"/>
                <w:bCs w:val="1"/>
                <w:color w:val="auto"/>
              </w:rPr>
              <w:t>87-0494517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240" w:type="dxa"/>
            <w:vAlign w:val="bottom"/>
            <w:gridSpan w:val="5"/>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38"/>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322 North 2200 West, Salt Lake City, UT</w:t>
            </w:r>
          </w:p>
        </w:tc>
        <w:tc>
          <w:tcPr>
            <w:tcW w:w="1480" w:type="dxa"/>
            <w:vAlign w:val="bottom"/>
          </w:tcPr>
          <w:p>
            <w:pPr>
              <w:spacing w:after="0"/>
              <w:rPr>
                <w:sz w:val="19"/>
                <w:szCs w:val="19"/>
                <w:color w:val="auto"/>
              </w:rPr>
            </w:pPr>
          </w:p>
        </w:tc>
        <w:tc>
          <w:tcPr>
            <w:tcW w:w="3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4"/>
            <w:vMerge w:val="restart"/>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gridSpan w:val="4"/>
            <w:vMerge w:val="continue"/>
          </w:tcPr>
          <w:p>
            <w:pPr>
              <w:spacing w:after="0"/>
              <w:rPr>
                <w:sz w:val="19"/>
                <w:szCs w:val="19"/>
                <w:color w:val="auto"/>
              </w:rPr>
            </w:pPr>
          </w:p>
        </w:tc>
        <w:tc>
          <w:tcPr>
            <w:tcW w:w="2420" w:type="dxa"/>
            <w:vAlign w:val="bottom"/>
          </w:tcPr>
          <w:p>
            <w:pPr>
              <w:spacing w:after="0"/>
              <w:rPr>
                <w:sz w:val="19"/>
                <w:szCs w:val="19"/>
                <w:color w:val="auto"/>
              </w:rPr>
            </w:pPr>
          </w:p>
        </w:tc>
        <w:tc>
          <w:tcPr>
            <w:tcW w:w="18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(801) 584-3600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6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spacing w:after="0"/>
              <w:rPr>
                <w:sz w:val="18"/>
                <w:szCs w:val="18"/>
                <w:color w:val="auto"/>
              </w:rPr>
            </w:pP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MYGN</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7"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964"/>
        </w:trPr>
        <w:tc>
          <w:tcPr>
            <w:tcW w:w="2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right="154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May 1, 2024, the registrant had 90,507,981 shares of $0.01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45" w:right="49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6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4"/>
                <w:szCs w:val="24"/>
                <w:color w:val="auto"/>
              </w:rPr>
            </w:pPr>
          </w:p>
        </w:tc>
        <w:tc>
          <w:tcPr>
            <w:tcW w:w="7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(unaudited) and December 31, 2023</w:t>
            </w:r>
          </w:p>
        </w:tc>
        <w:tc>
          <w:tcPr>
            <w:tcW w:w="1720" w:type="dxa"/>
            <w:vAlign w:val="bottom"/>
            <w:gridSpan w:val="4"/>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100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 (unaudited)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1000" w:type="dxa"/>
            <w:vAlign w:val="bottom"/>
          </w:tcPr>
          <w:p>
            <w:pPr>
              <w:spacing w:after="0"/>
              <w:rPr>
                <w:sz w:val="24"/>
                <w:szCs w:val="24"/>
                <w:color w:val="auto"/>
              </w:rPr>
            </w:pPr>
          </w:p>
        </w:tc>
        <w:tc>
          <w:tcPr>
            <w:tcW w:w="82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2024 and 2023</w:t>
            </w:r>
          </w:p>
        </w:tc>
        <w:tc>
          <w:tcPr>
            <w:tcW w:w="140" w:type="dxa"/>
            <w:vAlign w:val="bottom"/>
            <w:tcBorders>
              <w:top w:val="single" w:sz="8" w:color="0000FF"/>
            </w:tcBorders>
          </w:tcPr>
          <w:p>
            <w:pPr>
              <w:spacing w:after="0"/>
              <w:rPr>
                <w:sz w:val="24"/>
                <w:szCs w:val="24"/>
                <w:color w:val="auto"/>
              </w:rPr>
            </w:pPr>
          </w:p>
        </w:tc>
        <w:tc>
          <w:tcPr>
            <w:tcW w:w="480" w:type="dxa"/>
            <w:vAlign w:val="bottom"/>
            <w:gridSpan w:val="2"/>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100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804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2"/>
        </w:trPr>
        <w:tc>
          <w:tcPr>
            <w:tcW w:w="100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2023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1000" w:type="dxa"/>
            <w:vAlign w:val="bottom"/>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7420" w:type="dxa"/>
            <w:vAlign w:val="bottom"/>
            <w:tcBorders>
              <w:top w:val="single" w:sz="8" w:color="0000FF"/>
            </w:tcBorders>
            <w:gridSpan w:val="11"/>
          </w:tcPr>
          <w:p>
            <w:pPr>
              <w:spacing w:after="0"/>
              <w:rPr>
                <w:sz w:val="17"/>
                <w:szCs w:val="17"/>
                <w:color w:val="auto"/>
              </w:rPr>
            </w:pPr>
          </w:p>
        </w:tc>
        <w:tc>
          <w:tcPr>
            <w:tcW w:w="6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2"/>
        </w:trPr>
        <w:tc>
          <w:tcPr>
            <w:tcW w:w="100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 (unaudited)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100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580" w:type="dxa"/>
            <w:vAlign w:val="bottom"/>
            <w:tcBorders>
              <w:top w:val="single" w:sz="8" w:color="0000FF"/>
            </w:tcBorders>
            <w:gridSpan w:val="5"/>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4"/>
                <w:szCs w:val="24"/>
                <w:color w:val="auto"/>
              </w:rPr>
            </w:pPr>
          </w:p>
        </w:tc>
        <w:tc>
          <w:tcPr>
            <w:tcW w:w="2440" w:type="dxa"/>
            <w:vAlign w:val="bottom"/>
            <w:gridSpan w:val="5"/>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53"/>
        </w:trPr>
        <w:tc>
          <w:tcPr>
            <w:tcW w:w="10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56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40" w:type="dxa"/>
            <w:vAlign w:val="bottom"/>
            <w:gridSpan w:val="11"/>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20" w:type="dxa"/>
            <w:vAlign w:val="bottom"/>
            <w:gridSpan w:val="8"/>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6560" w:type="dxa"/>
            <w:vAlign w:val="bottom"/>
            <w:gridSpan w:val="9"/>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560" w:type="dxa"/>
            <w:vAlign w:val="bottom"/>
            <w:gridSpan w:val="12"/>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88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50"/>
        </w:trPr>
        <w:tc>
          <w:tcPr>
            <w:tcW w:w="84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taxes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7"/>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90.5 million and 89.9 million shares outstanding at March 31, 2024 and December 31, 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64"/>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33"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5563870</wp:posOffset>
            </wp:positionH>
            <wp:positionV relativeFrom="paragraph">
              <wp:posOffset>39370</wp:posOffset>
            </wp:positionV>
            <wp:extent cx="1586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7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 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4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39370</wp:posOffset>
            </wp:positionV>
            <wp:extent cx="159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7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available-for-sale debt securities, net of tax</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 of an investment in a foreign entity,</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8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5"/>
              </w:rPr>
              <w:t>Myriad Genetics,</w:t>
            </w:r>
          </w:p>
        </w:tc>
      </w:tr>
      <w:tr>
        <w:trPr>
          <w:trHeight w:val="148"/>
        </w:trPr>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3"/>
              </w:rPr>
              <w:t>Inc.</w:t>
            </w:r>
          </w:p>
        </w:tc>
      </w:tr>
      <w:tr>
        <w:trPr>
          <w:trHeight w:val="148"/>
        </w:trPr>
        <w:tc>
          <w:tcPr>
            <w:tcW w:w="48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80"/>
        </w:trPr>
        <w:tc>
          <w:tcPr>
            <w:tcW w:w="4820" w:type="dxa"/>
            <w:vAlign w:val="bottom"/>
          </w:tcPr>
          <w:p>
            <w:pPr>
              <w:spacing w:after="0"/>
              <w:rPr>
                <w:sz w:val="15"/>
                <w:szCs w:val="15"/>
                <w:color w:val="auto"/>
              </w:rPr>
            </w:pPr>
          </w:p>
        </w:tc>
        <w:tc>
          <w:tcPr>
            <w:tcW w:w="8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equity</w:t>
            </w:r>
          </w:p>
        </w:tc>
      </w:tr>
      <w:tr>
        <w:trPr>
          <w:trHeight w:val="29"/>
        </w:trPr>
        <w:tc>
          <w:tcPr>
            <w:tcW w:w="4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1,260.1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885.8</w:t>
            </w:r>
          </w:p>
        </w:tc>
      </w:tr>
      <w:tr>
        <w:trPr>
          <w:trHeight w:val="182"/>
        </w:trPr>
        <w:tc>
          <w:tcPr>
            <w:tcW w:w="48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4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1,262.7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835.2</w:t>
            </w:r>
          </w:p>
        </w:tc>
      </w:tr>
      <w:tr>
        <w:trPr>
          <w:trHeight w:val="95"/>
        </w:trPr>
        <w:tc>
          <w:tcPr>
            <w:tcW w:w="482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1,415.5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182"/>
        </w:trPr>
        <w:tc>
          <w:tcPr>
            <w:tcW w:w="48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5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4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w:t>
            </w:r>
          </w:p>
        </w:tc>
      </w:tr>
      <w:tr>
        <w:trPr>
          <w:trHeight w:val="21"/>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3"/>
        </w:trPr>
        <w:tc>
          <w:tcPr>
            <w:tcW w:w="8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3"/>
        </w:trPr>
        <w:tc>
          <w:tcPr>
            <w:tcW w:w="8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Unrecognized tax benefits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Impairment of goodwill and long-lived assets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Gain on termination of lease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Gain on acquisition</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3"/>
        </w:trPr>
        <w:tc>
          <w:tcPr>
            <w:tcW w:w="8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taxes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
        </w:trPr>
        <w:tc>
          <w:tcPr>
            <w:tcW w:w="8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Tenant improvement allowance received</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revenues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8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internal-use software costs</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and sales of marketable investment securities</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37"/>
        </w:trPr>
        <w:tc>
          <w:tcPr>
            <w:tcW w:w="8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 withheld for common stock issued under stock-based compensation plans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8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on finance leases</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7"/>
        </w:trPr>
        <w:tc>
          <w:tcPr>
            <w:tcW w:w="8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cash equivalents, and restricted cash</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7"/>
        </w:trPr>
        <w:tc>
          <w:tcPr>
            <w:tcW w:w="8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88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37"/>
        </w:trPr>
        <w:tc>
          <w:tcPr>
            <w:tcW w:w="8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Myriad Genetics, Inc. (together with its subsidiaries, the “Company” or “Myriad”) is a leading genetic testing and precision medicine company dedicated to advancing health and well-being for all. Myriad provides insights that help people take control of their health and enable healthcare providers to better detect, treat, and prevent disease. Myriad develops and offers tests that help assess the risk of developing disease or disease progression and guide treatment decisions across medical specialties where genetic insights can significantly improve patient care and lower health care costs. The Company currently operates as a single reporting segment. The Company’s principal executive office is located in Salt Lake City, Utah.</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Company have been prepared in accordance with United States ("U.S.") generally accepted accounting principles (“GAAP”) for interim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 The Condensed Consolidated Financial Statements herein should be read in conjunction with the Company’s audited Consolidated Financial Statements and notes thereto included in the Company’s Annual Report on Form 10-K for the year ended December 31, 2023 (the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seasonality in its business, particularly in the quarter ended March 31. Due to the annual reset of patient deductibles at the beginning of the year, the Company has historically experienced a decrease in test volumes and reduction in the average revenue per test in the quarter ended March 31. For the quarter ended March 31, 2024 and 2023, the Company did not experience this seasonality impact to the same extent as prior years. Additionally, operating results for the three months ended March 31, 2024 may not necessarily be indicative of results to be expected for any other interim period or for the full year and historical patterns of seasonality may continue in future periods.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which enhances the disclosures required for reportable segments in annual and interim consolidated financial statements. ASU 2023-07 is effective for the Company for annual reporting periods beginning after December 15, 2023 and for interim periods within fiscal years December 15, 2024. Early adoption is permitted. The Company is currently evaluating the impact of ASU 2023-07 on its segment disclosures.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which requires enhanced income tax disclosures, including disaggregation of information on the rate reconciliation table and disaggregated information related to income taxes paid. The amendments in ASU 2023-09 are effective for annual periods beginning after December 15, 2024. The Company is currently evaluating the impact of ASU 2023-09 on its income tax disclosures.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generates revenue by performing genetic testing. Testing revenues are primarily derived from the following categories of products: Hereditary Cancer (MyRisk, BRACAnalysis, BRACAnalysis CDx), Tumor Profiling (MyChoice CDx, Prolaris, Precise Tumor, and EndoPredict), Prenatal (Foresight, Prequel, and SneakPeek), and Pharmacogenomics (GeneSight). Revenue is recorded at the estimated transaction price. The Company has determined that the communication of test results indicates transfer of control for revenue recognition purposes.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 regarding the composition of the Company’s total revenue by product type and by geographical region, either U.S. or rest of world (“RoW”):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80" w:type="dxa"/>
            <w:vAlign w:val="bottom"/>
          </w:tcPr>
          <w:p>
            <w:pPr>
              <w:spacing w:after="0"/>
              <w:rPr>
                <w:sz w:val="16"/>
                <w:szCs w:val="16"/>
                <w:color w:val="auto"/>
              </w:rPr>
            </w:pPr>
          </w:p>
        </w:tc>
        <w:tc>
          <w:tcPr>
            <w:tcW w:w="104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4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30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communicating the test results to customers, in exchange for consideration from the customer. The Company has the right to bill its customers upon the completion of performance obligations and thus does not record contract assets. Occasionally, customers make payments prior to the Company’s performance of its contractual obligations. When this occurs, the Company records a contract liability as Deferred revenue, which is included in Accrued liabilities in the Condensed Consolidated Balance Sheets.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the Company includes an estimate of the expected amount of consideration as revenue.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In determining the expected value, the Company considers the probability of the variable consideration for each possible scenario. The Company also has significant experience with historical discount patterns and uses this experience to estimate transaction prices.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estimate of revenue is affected by assumptions in payor behavior such as changes in payor mix, payor collections, current customer contractual requirements, and experience with collections from third-party payors. When assessing the total consideration for insurance carriers and patients, revenues are further constrained for estimated refunds. The Company reserves certain amounts in Accrued liabilities in the Company’s Condensed Consolidated Balance Sheets in anticipation of requests for refunds of payments made previously by insurance carriers, which are accounted for as reductions in revenues in the Condensed Consolidated Statements of Operations and Comprehensive Loss.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primarily driven by changes in the estimated transaction price due to contractual adjustments, obtaining updated information from payors and patients that was unknown at the time the performance obligation was met, and settlements with third-party payors. As a result of this new information, the Company updates its estimate of the amounts to be recognized for previously delivered tests. During the quarter ended March 31, 2024, the Company recognized $3.0 million in revenue due to a retroactive coverage change by a payor for one of its prenatal products. Revenue recognized due to a change in estimate for tests in which the performance obligation was met in prior periods was immaterial. During the three months ended March 31, 2023, the impact of the amounts to be recognized for previously delivered tests was not material to the Company's Condensed Consolidated Statements of Operations.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related to costs to obtain or fulfill a contract since the amortization period for such costs will be one year or less. Accordingly, no costs incurred to obtain or fulfill a contract have been capitalized. The Company also applies the practical expedient for not adjusting revenue recognized for the effects of the time value of money. This practical expedient has been elected because the Company collects very little cash from customers under payment terms and the vast majority of payment terms have a payback period of less than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healthcare programs are funded by the U.S. and state governments. The Company only has one payor, Medicare, that represents greater than 10% of its revenues. Revenues received from Medicare represented 12% and 11% of total revenue for the three months ended March 31, 2024 and March 31, 2023, respectively. Concentrations of credit risk are mitigated due to the number of the Company’s customers as well as their dispersion across many geographic regions. The Company has only one payor that accounted for more than 10% of accounts receivable at March 31, 2024 and December 31, 2023. The balance of accounts receivable from the payor represented 15% and 12% of the total accounts receivable balance as of March 31, 2024 and December 31, 2023, respectively. The Company does not require collateral from its customers.</w:t>
      </w:r>
    </w:p>
    <w:p>
      <w:pPr>
        <w:spacing w:after="0" w:line="18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INVESTMENT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debt securities classified as available-for-sale securities by major security type and class of security at March 31, 2024 and December 31, 2023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40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3"/>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w:t>
            </w:r>
          </w:p>
        </w:tc>
        <w:tc>
          <w:tcPr>
            <w:tcW w:w="1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agency issues</w:t>
            </w:r>
          </w:p>
        </w:tc>
        <w:tc>
          <w:tcPr>
            <w:tcW w:w="1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20" w:type="dxa"/>
            <w:vAlign w:val="bottom"/>
          </w:tcPr>
          <w:p>
            <w:pPr>
              <w:spacing w:after="0"/>
              <w:rPr>
                <w:sz w:val="24"/>
                <w:szCs w:val="24"/>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maturities of debt securities classified as available-for-sale securities were as follows at March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7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a security sold, or amount reclassified out of accumulated other comprehensive income or loss into net loss, is determined based on the specific identification method. The Company does not intend to sell these available-for-sale debt securities, and it is not more likely than not that the Company will be required to sell these securities prior to recovery of their amortized cost basis. Additional information relating to fair value of marketable investment securities can be found in Note 4.</w:t>
      </w:r>
    </w:p>
    <w:p>
      <w:pPr>
        <w:spacing w:after="0" w:line="28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Company’s financial instruments are valued using quoted prices in active markets or based on other observable inputs. 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 For Level 3 contingent consideration related to the acquisitions of Sividon Diagnostics GmbH ("Sividon") and Gateway Genomics, LLC ("Gateway"), the Company reassesses the fair value of each expected contingent consideration and the corresponding liability each reporting period using the Monte Carlo Method, which is consistent with the initial measurement of the expected contingent consideration liability. This fair value measurement is considered a Level 3 measurement because the Company estimates projections during the expected measurement periods of approximately 11.25 years and 1 year for Sividon and Gateway, respectively, utilizing various potential pay-out scenarios. Probabilities were applied to each potential scenario and the resulting values were discounted using a rate that considers weighted average cost of capital as well as a specific risk premium associated with the riskiness of the contingent consideration itself, the related projections, and the overall business. The contingent consideration liabilities are classified as components of Accrued liabilities and Other long-term liabilities in the Company’s Condensed Consolidated Balance Sheets. Changes to contingent consideration liabilities are reflected in Selling, general and administrative expense in the Company’s Condensed Consolidated Statements of Operations. Changes to the unobservable inputs could have a material impact on the Company’s financial statements.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it considers a Level 2 measurement, is estimated using discounted cash flow analyses, based on the Company’s current estimated incremental borrowing rates for similar borrowing arrangements. The fair value of the Company’s long-term debt is estimated to be $39.8 million at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that the Company re-measures on a regular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7"/>
              </w:rPr>
              <w:t>3.8</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w w:val="97"/>
              </w:rPr>
              <w:t>6.8</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7"/>
              </w:rPr>
              <w:t>0.6</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(5.4)</w:t>
            </w:r>
          </w:p>
        </w:tc>
      </w:tr>
      <w:tr>
        <w:trPr>
          <w:trHeight w:val="264"/>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w w:val="97"/>
              </w:rPr>
              <w:t>5.8</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are primarily comprised of exchange traded funds and accrued interest.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6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7"/>
              </w:rPr>
              <w:t>2.2</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ind w:left="553"/>
              <w:spacing w:after="0"/>
              <w:rPr>
                <w:sz w:val="20"/>
                <w:szCs w:val="20"/>
                <w:color w:val="auto"/>
              </w:rPr>
            </w:pPr>
            <w:r>
              <w:rPr>
                <w:rFonts w:ascii="Times New Roman" w:cs="Times New Roman" w:eastAsia="Times New Roman" w:hAnsi="Times New Roman"/>
                <w:sz w:val="18"/>
                <w:szCs w:val="18"/>
                <w:color w:val="auto"/>
                <w:w w:val="97"/>
              </w:rPr>
              <w:t>8.3</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7"/>
              </w:rPr>
              <w:t>0.5</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center"/>
              <w:ind w:left="533"/>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w w:val="97"/>
              </w:rPr>
              <w:t>5.6</w:t>
            </w: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are primarily comprised of exchange traded funds and accrued interest.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the contingent consideration during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5100" w:type="dxa"/>
            <w:vAlign w:val="bottom"/>
            <w:tcBorders>
              <w:bottom w:val="single" w:sz="8" w:color="CCEEFF"/>
            </w:tcBorders>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the Statements of Operations</w:t>
            </w:r>
          </w:p>
        </w:tc>
        <w:tc>
          <w:tcPr>
            <w:tcW w:w="4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 recognized in Other comprehensive loss</w:t>
            </w:r>
          </w:p>
        </w:tc>
        <w:tc>
          <w:tcPr>
            <w:tcW w:w="4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March 31, 2024</w:t>
            </w:r>
          </w:p>
        </w:tc>
        <w:tc>
          <w:tcPr>
            <w:tcW w:w="48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820" w:type="dxa"/>
            <w:vAlign w:val="bottom"/>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plant and equipment at March 31, 2024 and December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FF0FC"/>
              <w:right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7"/>
        </w:trPr>
        <w:tc>
          <w:tcPr>
            <w:tcW w:w="84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right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84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FF0FC"/>
              <w:right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incurred $5.7 million of accelerated depreciation of leasehold improvements and equipment in connection with the Company's decision to cease the use of its corporate headquarters in Salt Lake City and transition corporate support operations to its new facility in west Salt Lake City. The Company formally assigned the previous corporate headquarters lease to a third party as of December 31, 2023. See Note 15 for further discussion.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during the respective periods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634"/>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2024 are as follows: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consist of amortizable assets of developed technologies, customer relationships, and trademarks. The following summarizes the amounts reported as intangible assets: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March 31, 2024</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428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428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80" w:type="dxa"/>
            <w:vAlign w:val="bottom"/>
          </w:tcPr>
          <w:p>
            <w:pPr>
              <w:jc w:val="center"/>
              <w:ind w:left="29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85"/>
              </w:rPr>
              <w:t>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2023</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Developed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97"/>
        </w:trPr>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-899160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-556895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-213995</wp:posOffset>
            </wp:positionV>
            <wp:extent cx="71323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during the respective periods for these intangible assets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7"/>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621"/>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accrued liabilities at March 31, 2024 and December 31, 2023 were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8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payable and reserves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 accrual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2023, the Company entered into an asset-based revolving credit facility (the “ABL Facility”) with an initial maximum principal amount of $90.0 million, with JPMorgan Chase Bank, N.A. as administrative agent and issuing bank, the other lender parties thereto, and certain of the Company's domestic subsidiaries (the "Guarantors"). On October 31, 2023, the Company entered into an amendment to the ABL Facility to increase the maximum principal amount of the available revolving line of credit by $25.0 million for a total maximum principal commitment of $115.0 million under the ABL Facility, which was effected through a new commitment provided by a new lender, Goldman Sachs Bank USA. The ABL Facility matures on June 30, 2026. The obligations of the Company are guaranteed by the Guarantors, and the ABL Facility is secured by substantially all of the assets of the Company and the Guarantors. The Company had long-term debt of $40.0 million under the ABL Facility at March 31, 2024 and December 31, 2023, net of $1.3 million and $1.5 million of debt issuance costs, respectively. Proceeds from the ABL Facility were or will be used for the working capital needs and general corporate purposes of the Company and its subsidiaries.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subject to a borrowing base, which is the lesser of (a) 85% of the Company's and the Guarantor's eligible accounts receivable plus certain cash held in a segregated and fully-blocked account with the administrative agent in an amount up to $20.0 million ("Eligible Cash") minus any reserves established by the administrative agent in accordance with the ABL Facility, and (b) the aggregate amount of cash collections from eligible accounts of the Company and the Guarantors for the 60 consecutive days most recently ended. Subject to certain conditions, the Company can freely withdraw cash from the Eligible Cash account, provided that any reduction in the Eligible Cash amount will have a corresponding reduction in the borrowing base.</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Loans outstanding under the ABL Facility will bear interest at a rate per annum equal to, at the option of the Company, either (a) the greatest of (i) the daily Prime Rate, (ii) the daily NYFRB Rate plus 0.50%, and (iii) the monthly Adjusted Term SOFR Rate (as defined below) plus 1.00% (the “ABR”) plus an applicable margin ranging from 1.00% to 1.50% depending on the aggregate average unused availability under the ABL Facility during the prior quarter or</w:t>
      </w:r>
    </w:p>
    <w:p>
      <w:pPr>
        <w:spacing w:after="0" w:line="1" w:lineRule="exact"/>
        <w:rPr>
          <w:sz w:val="20"/>
          <w:szCs w:val="20"/>
          <w:color w:val="auto"/>
        </w:rPr>
      </w:pPr>
    </w:p>
    <w:p>
      <w:pPr>
        <w:jc w:val="both"/>
        <w:ind w:firstLine="8"/>
        <w:spacing w:after="0" w:line="253"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a tenor of one, three or six months (at the Company’s election) plus 0.10% (the “Adjusted Term SOFR Rate”) plus an applicable margin ranging from 2.00% to 2.50% depending on the average unused availability under the ABL Facility during the prior quarter, with an ABR floor of 1.00% and an Adjusted Term SOFR Rate floor of 0.00%. Under the ABL Facility the undrawn fee ranges from 37.5 to 50 basis points based on the daily amount of the available revolving commitment. The weighted average interest rate for borrowings under the ABL Facility as of March 31, 2024 was 8.71%.</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without premium or penalty. The ABL Facility is also subject to customary mandatory prepayments with the proceeds of unpermitted indebtedness and upon the occurrence of an over-advance. Voluntary and mandatory prepayments and all other payments of the ABL Facility must be accompanied by payment of accrued interest on the principal amount repaid or prepaid.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Facility contains customary loan terms, interest rates, representations and warranties and affirmative and negative covenants, in each case, subject to customary limitations, exceptions and exclusions. Covenants under the ABL Facility limit or restrict the Company and its subsidiaries' ability to incur liens, incur indebtedness, dispose of assets, make investments, make certain restricted payments, merge or consolidate and enter into certain speculative hedging arrangements. The ABL Facility requires the Company and the Guarantors, on a consolidated basis, to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than the greater of (a) $10.6 million and (b) 12.5% of the lesser of the maximum commitment amount and the borrowing base for a period of 30 consecutive days. As of March 31, 2024, availability under the ABL Facility was $41.3 million. In addition, the ABL Facility includes a number of customary events of default. If any event of default occurs (subject, in certain instances, to specified grace periods), the principal, premium, if any, interest and any other monetary obligations on all the then-outstanding amounts under the ABL Facility may become due and payable immediately.</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terms of the ABL Facility, if (i) an event of default has occurred and is continuing or (ii) availability under the ABL Facility is less than the greater of (a) $12.5 million and (b) 15% of the lesser of the maximum commitment amount and the borrowing base, the Company will become subject to cash dominion, upon which the administrative agent will apply funds credited to a collection account to first prepay any outstanding protective advances, second to prepay any revolving loans and third, to cash collateralize any outstanding letter of credit exposure. Such cash dominion period will end when availability has remained in excess of the greater of (i) $12.5 million and (ii) 15% of the lesser of the maximum commitment amount and the borrowing base for a period of 45 consecutive days and no event of default is continuing.</w:t>
      </w:r>
    </w:p>
    <w:p>
      <w:pPr>
        <w:sectPr>
          <w:pgSz w:w="11900" w:h="16838" w:orient="portrait"/>
          <w:cols w:equalWidth="0" w:num="1">
            <w:col w:w="11240"/>
          </w:cols>
          <w:pgMar w:left="320" w:top="121" w:right="339" w:bottom="1440" w:gutter="0" w:footer="0" w:header="0"/>
        </w:sectPr>
      </w:pPr>
    </w:p>
    <w:p>
      <w:pPr>
        <w:spacing w:after="0" w:line="38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long-term liabilities at March 31, 2024 and December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045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Escrow liability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settlement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60" w:lineRule="exact"/>
        <w:rPr>
          <w:sz w:val="20"/>
          <w:szCs w:val="20"/>
          <w:color w:val="auto"/>
        </w:rPr>
      </w:pPr>
    </w:p>
    <w:p>
      <w:pPr>
        <w:ind w:left="1004" w:hanging="1004"/>
        <w:spacing w:after="0"/>
        <w:tabs>
          <w:tab w:leader="none" w:pos="100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w:t>
      </w:r>
    </w:p>
    <w:p>
      <w:pPr>
        <w:spacing w:after="0" w:line="38" w:lineRule="exact"/>
        <w:rPr>
          <w:rFonts w:ascii="Times New Roman" w:cs="Times New Roman" w:eastAsia="Times New Roman" w:hAnsi="Times New Roman"/>
          <w:sz w:val="17"/>
          <w:szCs w:val="17"/>
          <w:color w:val="auto"/>
        </w:rPr>
      </w:pPr>
    </w:p>
    <w:p>
      <w:pPr>
        <w:ind w:left="100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31" w:lineRule="exact"/>
        <w:rPr>
          <w:sz w:val="20"/>
          <w:szCs w:val="20"/>
          <w:color w:val="auto"/>
        </w:rPr>
      </w:pPr>
    </w:p>
    <w:p>
      <w:pPr>
        <w:ind w:left="924" w:hanging="924"/>
        <w:spacing w:after="0"/>
        <w:tabs>
          <w:tab w:leader="none" w:pos="92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840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60" w:lineRule="exact"/>
        <w:rPr>
          <w:sz w:val="20"/>
          <w:szCs w:val="20"/>
          <w:color w:val="auto"/>
        </w:rPr>
      </w:pPr>
    </w:p>
    <w:p>
      <w:pPr>
        <w:ind w:left="1005" w:hanging="1005"/>
        <w:spacing w:after="0"/>
        <w:tabs>
          <w:tab w:leader="none" w:pos="100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38" w:lineRule="exact"/>
        <w:rPr>
          <w:rFonts w:ascii="Times New Roman" w:cs="Times New Roman" w:eastAsia="Times New Roman" w:hAnsi="Times New Roman"/>
          <w:sz w:val="17"/>
          <w:szCs w:val="17"/>
          <w:color w:val="auto"/>
        </w:rPr>
      </w:pPr>
    </w:p>
    <w:p>
      <w:pPr>
        <w:ind w:left="10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w:t>
      </w:r>
    </w:p>
    <w:p>
      <w:pPr>
        <w:spacing w:after="0" w:line="31" w:lineRule="exact"/>
        <w:rPr>
          <w:sz w:val="20"/>
          <w:szCs w:val="20"/>
          <w:color w:val="auto"/>
        </w:rPr>
      </w:pPr>
    </w:p>
    <w:p>
      <w:pPr>
        <w:ind w:left="925" w:hanging="925"/>
        <w:spacing w:after="0"/>
        <w:tabs>
          <w:tab w:leader="none" w:pos="92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840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7676" w:space="720"/>
            <w:col w:w="1224" w:space="315"/>
            <w:col w:w="1305"/>
          </w:cols>
          <w:pgMar w:left="320" w:top="121"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as of March 31, 2024 consisted of the long-term portion of contingent consideration related to the acquisition of Sividon.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23, 2023 (the "Effective Date"), the Company and Ravgen, Inc. ("Ravgen") entered into a settlement agreement pursuant to which the parties agreed to settle a pending lawsuit. Subject to the terms of the settlement agreement, the Company agreed to pay Ravgen a contingent payment of $21.25 million payable in five annual installments, with (1) the first installment of $5.0 million payable on the later of (a) 30 days after notification in writing by Ravgen of the successful conclusion in favor of Ravgen of all of Ravgen's litigations and patent reexaminations pending as of the Effective Date and (b) January 1, 2026 (the "Contingent Payment Date"); (2) the second installment of $5.0 million on the first anniversary of the Contingent Payment Date; (3) the third installment of $5.0 million on the second anniversary of the Contingent Payment Date; (4) the fourth installment of $5.0 million on the third anniversary of the Contingent Payment Date; and (5) $1.25 million on the fourth anniversary of the Contingent Payment Date. Additionally, the Company agreed to pay Ravgen a minimum of $12.75 million in three installment payments of which $7.75 million is outstanding as of March 31, 2024. The remaining payments will be made in two installments: (1) $5.0 million on or before October 31, 2024 and (2) $2.75 million on or before October 31, 2025. The Company has accrued $5.0 million in Accrued Liabilities and $24.0 million in Other long-term liabilities for these payments in the Company's Condensed Consolidated Balance Sheet as of March 31,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AND COMMON STOCKHOLDERS' EQUITY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 million shares of preferred stock, par value $0.01 per share. There were no shares of preferred stock outstanding at March 31, 2024.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150.0 million shares of common stock, par value $0.01 per share. There were 90.5 million shares of common stock issued and outstanding at March 31, 2024.</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31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common stock issued and outstanding</w:t>
      </w:r>
    </w:p>
    <w:p>
      <w:pPr>
        <w:spacing w:after="0" w:line="63"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Common stock issued upon exercise of options, vesting of restricted stock units, and purchases under employee stock purchase plan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75"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89.9</w:t>
      </w:r>
      <w:r>
        <w:rPr>
          <w:sz w:val="20"/>
          <w:szCs w:val="20"/>
          <w:color w:val="auto"/>
        </w:rPr>
        <w:tab/>
      </w:r>
      <w:r>
        <w:rPr>
          <w:rFonts w:ascii="Times New Roman" w:cs="Times New Roman" w:eastAsia="Times New Roman" w:hAnsi="Times New Roman"/>
          <w:sz w:val="17"/>
          <w:szCs w:val="17"/>
          <w:color w:val="auto"/>
        </w:rPr>
        <w:t>81.2</w:t>
      </w:r>
    </w:p>
    <w:p>
      <w:pPr>
        <w:spacing w:after="0" w:line="279"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0.6</w:t>
      </w:r>
      <w:r>
        <w:rPr>
          <w:sz w:val="20"/>
          <w:szCs w:val="20"/>
          <w:color w:val="auto"/>
        </w:rPr>
        <w:tab/>
      </w:r>
      <w:r>
        <w:rPr>
          <w:rFonts w:ascii="Times New Roman" w:cs="Times New Roman" w:eastAsia="Times New Roman" w:hAnsi="Times New Roman"/>
          <w:sz w:val="17"/>
          <w:szCs w:val="17"/>
          <w:color w:val="auto"/>
        </w:rPr>
        <w:t>0.3</w:t>
      </w:r>
    </w:p>
    <w:p>
      <w:pPr>
        <w:spacing w:after="0" w:line="77"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90.5</w:t>
      </w:r>
      <w:r>
        <w:rPr>
          <w:sz w:val="20"/>
          <w:szCs w:val="20"/>
          <w:color w:val="auto"/>
        </w:rPr>
        <w:tab/>
      </w:r>
      <w:r>
        <w:rPr>
          <w:rFonts w:ascii="Times New Roman" w:cs="Times New Roman" w:eastAsia="Times New Roman" w:hAnsi="Times New Roman"/>
          <w:sz w:val="17"/>
          <w:szCs w:val="17"/>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1817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shares of common stock outstanding. Diluted earnings per share is computed based on the weighted-average number of shares of common stock, including the dilutive effect of common stock equivalents, outstanding. In periods when the Company has a net loss, stock awards are excluded from the calculation of diluted net loss per share as their inclusion would have an antidilutive effect.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earnings per share (“EPS”) computations: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2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900" w:type="dxa"/>
            <w:vAlign w:val="bottom"/>
            <w:gridSpan w:val="4"/>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FF0FC"/>
              <w:right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used to compute basic EPS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14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and dilutive securities used to compute diluted EPS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outstanding options and restricted stock units (“RSUs”) were excluded from the computation of diluted earnings per share because the effect would have been anti-dilutive. These potential dilutive shares of common stock, which may be dilutive to future diluted earnings per share,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00" w:type="dxa"/>
            <w:vAlign w:val="bottom"/>
            <w:gridSpan w:val="4"/>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460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4600" w:type="dxa"/>
            <w:vAlign w:val="bottom"/>
            <w:gridSpan w:val="2"/>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options and RSUs excluded from EPS computation</w:t>
            </w:r>
          </w:p>
        </w:tc>
        <w:tc>
          <w:tcPr>
            <w:tcW w:w="3280" w:type="dxa"/>
            <w:vAlign w:val="bottom"/>
            <w:tcBorders>
              <w:top w:val="single" w:sz="8" w:color="CFF0FC"/>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850"/>
        </w:trPr>
        <w:tc>
          <w:tcPr>
            <w:tcW w:w="5120" w:type="dxa"/>
            <w:vAlign w:val="bottom"/>
          </w:tcPr>
          <w:p>
            <w:pPr>
              <w:spacing w:after="0"/>
              <w:rPr>
                <w:sz w:val="24"/>
                <w:szCs w:val="24"/>
                <w:color w:val="auto"/>
              </w:rPr>
            </w:pPr>
          </w:p>
        </w:tc>
        <w:tc>
          <w:tcPr>
            <w:tcW w:w="3280" w:type="dxa"/>
            <w:vAlign w:val="bottom"/>
          </w:tcPr>
          <w:p>
            <w:pPr>
              <w:jc w:val="right"/>
              <w:ind w:right="2599"/>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stock and restricted stock unit awards to employees, consultants, and directors. Stockholders have subsequently approved amendments to the 2017 Plan increasing the shares available to grant thereunder, including most recently at the Company's annual meeting of stockholders held on June 1, 2023, when stockholders approved an amendment to the 2017 Plan to increase the aggregate number of shares of common stock available thereunder for the granting of awards by an additional 4.8 million shares. As of March 31, 2024, the Company had 2.5 million shares of common stock available for grant under the 2017 Plan. If an RSU awarded under the 2017 Plan is cancelled or forfeited without the issuance of shares of common stock, the unissued or reacquired shares that were subject to the RSU will again be available for issuance pursuant to the 2017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performance-based RSUs ("PSUs") awarded to certain employees may be increased or reduced based on certain additional performance and market metrics. RSUs granted to non-employee directors vest in full upon the earlier of the completion of one year of service following the date of the grant or the date of the next annual meeting of stockholders following such grant. Options granted to the Company's President and Chief Executive Officer as an inducement to his employment expire on August 13, 2027.</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and market conditions associated with PSU awards granted during the three months ended March 31, 2024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2024 through December 31, 2026, and the revenue and adjusted earnings per share metrics will be measured based on fiscal year 2026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are recognized over the performance period.</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three months ended March 31, 2024 is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37"/>
        </w:trPr>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97"/>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bl>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was $0.3 million of total unrecognized stock-based compensation expense related to stock options that will be recognized over a weighted-average period of 0.4 years. There were no options granted during the three months ended March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awards activity under the Company’s equity plan and inducement awards, including PSU awards,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400" w:type="dxa"/>
            <w:vAlign w:val="bottom"/>
          </w:tcPr>
          <w:p>
            <w:pPr>
              <w:spacing w:after="0"/>
              <w:rPr>
                <w:sz w:val="15"/>
                <w:szCs w:val="15"/>
                <w:color w:val="auto"/>
              </w:rPr>
            </w:pP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8400" w:type="dxa"/>
            <w:vAlign w:val="bottom"/>
          </w:tcPr>
          <w:p>
            <w:pPr>
              <w:spacing w:after="0"/>
              <w:rPr>
                <w:sz w:val="15"/>
                <w:szCs w:val="15"/>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40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2023</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7"/>
        </w:trPr>
        <w:tc>
          <w:tcPr>
            <w:tcW w:w="8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7"/>
        </w:trPr>
        <w:tc>
          <w:tcPr>
            <w:tcW w:w="8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RSUs canceled</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6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March 31, 2024</w:t>
            </w:r>
          </w:p>
        </w:tc>
        <w:tc>
          <w:tcPr>
            <w:tcW w:w="9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1"/>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Shares are issued under the Amended and Restated 2012 Purchase Plan twice yearly at the end of each offering period and the number of shares that may be purchased by any participant during an offering period is limited to 5,000 shares. The first offering period of 2024 started on December 1, 2023 and will end on May 31, 2024. The second offering period of 2024 will begin on June 1, 2024 and will end on November 30, 2024. As of March 31, 2024, 1.3 million shares of common stock were available for issuance under the Amended and Restated 2012 Purchase Plan. Shares purchased under, and compensation expense associated with, the Amended and Restated 2012 Purchase Plan for the three months ended March 31, 2024 and 2023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37"/>
        </w:trPr>
        <w:tc>
          <w:tcPr>
            <w:tcW w:w="8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7"/>
                <w:szCs w:val="17"/>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the plan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and included in the Condensed Consolidated Statements of Operations and Comprehensive Loss was allocated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3"/>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was $104.2 million of total unrecognized stock-based compensation expense related to RSUs that is expected to be recognized over a weighted-average period of 2.5 years. The Company recognizes forfeitures as they occur. In the event that a PSU is determined to be improbable of vesting, the Company records an adjustment to reverse all previously recognized expense associated with the equity award in the current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determine the Company’s quarterly provision for income taxes, the Company used an estimated annual effective tax rate that is based on expected annual income and statutory tax rates in the various jurisdictions in which the Company operates. Certain significant or unusual items are separately recognized in the quarter during which they occur and can be a source of variability in the effective tax rate from quarter to quarter.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there was $0.1 million in income tax expense, or approximately (0.4)% of pre-tax loss, compared to an income tax expense of $2.1 million, or approximately (4.0)% of pre-tax loss, for the three months ended March 31, 2023. For the three months ended March 31, 2024, the Company’s effective tax rate differs from the U.S. federal statutory rate primarily due to the recognition of valuation allowances. Due to the Company's cumulative loss and the exhaustion of future taxable income from the reversal of taxable temporary differences, the Company's estimated annual effective tax rate for the current year includes a valuation allowance against the majority of the current year increase in deferred tax assets. For the three months ended March 31, 2023, the Company’s effective tax rate differs from the U.S. federal statutory rate primarily due to the recognition of valuation allowances and uncertain tax positions.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legal contingencies to determine the degree of probability and range of possible loss for potential accrual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of March 31, 2024, except as noted below,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Derivative Actions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9, 2021, a stockholder derivative complaint was filed in the Delaware Court of Chancery against the Company's former President and Chief Executive Officer, Mark C. Capone, its former Chief Financial Officer, R. Bryan Riggsbee, its former Executive Vice President of Clinical Development, Bryan M. Dechairo, and certain of the Company's current and former directors, Lawrence C. Best, Walter Gilbert, John T. Henderson, Heiner Dreismann, Dennis Langer, Lee N. Newcomer, S. Louise Phanstiel, and Colleen F. Reitan (collectively, the "Individual Defendants"), and the Company, as nominal defendant. The complaint is premised upon similar allegations that were set forth in the securities class action lawsuit that was settled and then dismissed by the U.S. District Court for the District of Utah in December 2023 (the "Securities Class Action"), including that the Individual Defendants made false and misleading statements regarding the Company's business and operations. The plaintiff, Donna Hickock, asserts breach of fiduciary duty and unjust enrichment claims against the Individual Defendants and seeks, on behalf of the Company, damages allegedly sustained by the Company as a result of the alleged breaches, or disgorgement or restitution, from each of the Individual Defendants, plus interest. Plaintiff Hickock also seeks legal and other costs and fees relating to this action. On November 19, 2021, this action was stayed by the Delaware Court of Chancery pending the resolution of the securities class action lawsuit.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2022, a stockholder derivative complaint was filed in the Delaware Court of Chancery against the Individual Defendants, and the Company, as nominal defendant. The action is premised upon similar allegations as set forth in the Securities Class Action and the Hickock stockholder derivative action. The plaintiff, Esther Kogus, asserts that the Individual Defendants breached their fiduciary duties and also asserts unjust enrichment and aiding and abetting breaches of fiduciary duty claims against the Individual Defendants. Plaintiff Kogus seeks, on behalf of the Company, damages allegedly sustained by the Company as a result of the alleged breaches and claims, and restitution from the Individual Defendants. On behalf of herself, plaintiff Kogus seeks legal and other costs and fees relating to this action.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2022, the Delaware Court of Chancery consolidated the Hickock and Kogus derivative actions and stayed the consolidated action. On April 19, 2024, the Court of Chancery ordered that Leo Shumacher be substituted for Ms. Kogus as a plaintiff in this consolidated action.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17, 2021, a stockholder derivative complaint was filed in the U.S. District Court in the District of Delaware against the Individual Defendants, and the Company, as nominal defendant. The action is premised upon similar allegations as set forth in the Securities Class Action and Hickock stockholder derivative action. The plaintiff, Karen Marcey, asserts that the Individual Defendants violated U.S. securities laws and breached their fiduciary duties, and also asserts unjust enrichment, waste of corporate assets and insider trading claims against all or some of the Individual Defendants. Plaintiff Marcey seeks, on behalf of the Company, damages allegedly sustained by the Company as a result of the alleged violations and restitution from the Individual Defendants, plus interest and, on behalf of herself, legal and other costs and fees relating to this action. On January 4, 2022, this action was stayed by the U.S. District Court for the District of Delaware pending the resolution of the securities class action lawsuit.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parties across all of the foregoing stockholder derivative actions entered into a global stipulation of settlement to resolve the actions (the "Settlement"). On May 3, 2024, the parties submitted the Settlement to the Delaware Court of Chancery for approval. As part of the Settlement, (i) the Company agreed to adopt or implement certain corporate governance reforms; and (ii) the parties agreed that plaintiffs' counsel will apply to the court for an award of attorneys' fees and expenses not to exceed $950,000 to be paid by the Company, and that the Individual Defendants and the Company will not oppose or object to the requested fee award. The Settlement contains no admission of liability, wrongdoing or responsibility by any of the parties. The Settlement is subject to approval by the Delaware Court of Chancery.</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accrued $950,000 for the pending settlement of the foregoing stockholder derivative actions, which is included in Accrued Liabilities in the Company’s Condensed Consolidated Balance Sheet as of March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supplemental cash flow information for the three months ended March 31, 2024 and March 31,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8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Tenant improvement allowance not yet received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and capitalization of internal-use software in accounts payable and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that agrees to the amounts included in the Condensed Consolidated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 spaces and research and development laboratory facilities, vehicles, and office equipment with remaining lease terms ranging from approximately one to fifteen years. Operating leases are included in Operating lease right-of-use assets, Noncurrent operating lease liabilities, and Current maturities of operating lease liabilities in the Condensed Consolidated Balance Sheets. Finance leases are included in Other assets, Accrued liabilities, and Other long-term liabilities in the Condensed Consolidated Balance Sheets.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increase in remote and hybrid work and the Company's need to ensure its facilities are designed to handle future growth, the Company has been executing on a multi-year strategy to reset its real estate footprint. As part of that strategy, during the three months ended March 31, 2023, the Company took full possession of the remaining phases of the west Salt Lake City facility and recognized an additional $5.9 million right-of-use asset and corresponding lease liability, net of tenant improvement allowance not yet received. Also during the three months ended March 31, 2023, the Company decided to cease the use of its corporate headquarters in Salt Lake City and transition corporate support operations to its new facility in west Salt Lake City, and as of December 31, 2023, the Company had formally assigned the lease for its previous corporate headquarters to a third party.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terminated the lease for one of its Salt Lake City facilities. As a result of the termination, the short-term lease liability of $3.1 million associated with the lease was removed from the Company's Condensed Consolidated Balance Sheets. The total net gain recognized associated with the termination of the lease was $1.2 million, which is included in Selling, general, and administrative expense in the Condensed Consolidated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except as noted above, the Company expects to continue to occupy its existing facilities until the expiration of the leases.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currency translation adjustments are included in Accumulated other comprehensive loss as a separate component of Stockholders’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cumulative translation adjustments included in Accumulated other comprehensive loss (in millions):</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9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translation adjustments</w:t>
            </w:r>
          </w:p>
        </w:tc>
        <w:tc>
          <w:tcPr>
            <w:tcW w:w="520" w:type="dxa"/>
            <w:vAlign w:val="bottom"/>
          </w:tcPr>
          <w:p>
            <w:pPr>
              <w:spacing w:after="0"/>
              <w:rPr>
                <w:sz w:val="19"/>
                <w:szCs w:val="19"/>
                <w:color w:val="auto"/>
              </w:rPr>
            </w:pP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 of an investment in a foreign entity</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0.7</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March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the Company acquired from Intermountain Health select assets for an immaterial amount from its Intermountain Precision Genomics ("IPG") laboratory business, including the Precise Tumor Test, the Precise Liquid Test, and IPG's CLIA-certified laboratory in St. George, Utah ("Precise acquisition"). In connection with the Precise acquisition, the Company recognized a gain of $2.2 million, which is included in Other income in the Company's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10, 2024, the Company amended the lease for its west Salt Lake City, Utah headquarters to include approximately 63,000 additional square feet in anticipation of future operating needs. The lease has a term of 12 years, which is expected to commence in fiscal year 2026. Total future rent payments for the additional space are approximately $18.2 million.</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2024, the Company signed a definitive agreement to sell its EndoPredict business to Eurobio Scientific ("Eurobio") for $10.0 million plus contingent consideration subject to certain earn-out conditions. As part of the transaction, the Company will license the rights to continue to produce and sell EndoPredict as a laboratory developed test in the U.S. and will license to Eurobio the right to sell Prolaris in vitro diagnostic kits outside the U.S. The closing of the transaction is subject to customary closing conditions.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and shares in millions, except per share data</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the unaudited Condensed Consolidated Financial Statements and the related notes thereto included in this Quarterly Report on Form 10-Q and the audited Consolidated Financial Statements and notes thereto and Management’s Discussion and Analysis of Financial Condition and Results of Operations for the year ended December 31, 2023 included in our Annual Report on Form 10-K filed with the SEC on February 28, 2024.</w:t>
      </w:r>
    </w:p>
    <w:p>
      <w:pPr>
        <w:spacing w:after="0" w:line="8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“us,” “our,” “Myriad” and the “Company” as used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refer to Myriad Genetics, Inc., a Delaware corporation, and its subsidiaries.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Solely for convenience, trademarks, trade names and service marks referred to in this Quarterly Report on Form 10-Q may appear without the ®, ™ or SM symbols, but such references are not intended to indicate, in any way, that we will not assert, to the fullest extent under applicable law, our rights or the right of the applicable licensor to these trademarks, trade names and service marks.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22" w:lineRule="exact"/>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such “forward-looking statements” within the meaning of the Private Securities Litigation Reform Act of 1995.</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and are subject to a number of known and unknown risks and uncertainties that could cause actual results, conditions, and events to differ materially and adversely from those anticipated. These risks include, but are not limited to:</w:t>
      </w:r>
    </w:p>
    <w:p>
      <w:pPr>
        <w:spacing w:after="0" w:line="3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our new tests at comparable levels to our existing tests;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 and the transition of such facilities to our new laboratory testing facilities;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ind w:left="660" w:hanging="328"/>
        <w:spacing w:after="0" w:line="24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 "Risk Factors" contained in Item 1A of our Annual Report on Form 10-K filed with the SEC on February 28, 2024 and this Quarterly Report on Form 10-Q.</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Quarterly Report on Form 10-Q, or in any document incorporated by reference might not occur. Stockholders are cautioned not to place undue reliance on the forward-looking statements, which speak only as of the date of this Quarterly Report on Form 10-Q. We are not under any obligation, and we expressly disclaim any obligation, to update or alter any forward-looking statements, whether as a result of new information, future events or otherwise except as required by law. All forward-looking statements in this Quarterly Report on Form 10-Q attributable to us or to any person acting on our behalf are expressly qualified in their entirety by the cautionary statements contained or referred to in this section.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genetic testing and precision medicine company dedicated to advancing health and well-being for all. We develop and offer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Personalized genetic data and digital and virtual consumer trends are converging to change traditional models of care. We believe significant growth opportunities exist to help patient populations with pressing health care needs through innovative genetic and precision medicine solutions and services. Our focus is on innovation and growth in three key areas where we have specialized products, capabilities, and expertise: Oncology, Women's Health, and Pharmacogenomics. The pillars of our long-term growth strategy are founded on investments in science and innovation, technology-enabled operations, an elevated customer experience, strong commercial execution, and scalable operations. We believe our path to continued growth is driven by articulating our clinical differentiation, raising awareness with patients who we believe would benefit from testing products, and innovation that improves clinical outcomes, ease of use, and access. By investing in tech-enabled commercial tools, new laboratory facilities, advanced automation, and standardized processes and technology, we believe we will be able to reduce complexity and cost while enhancing our ability to scale and grow. We plan to expand some of our current products, such as our Foresight Universal Plus Test, which is an expanded carrier screening test that we anticipate launching in the second half of 2024. We also plan to launch new products, such as FirstGene, Precise Liquid, and Precise minimal residual disease, which we expect will help accelerate our growth. We intend to develop and enhance our products to support growth, improve patient and provider experience, and reach more patients of all backgrounds. We are committed to disciplined management of a key set of initiatives to fulfill our mission and drive long-term growth and profitability.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significant business updates and financial highlights include the following:</w:t>
      </w:r>
    </w:p>
    <w:p>
      <w:pPr>
        <w:spacing w:after="0" w:line="158"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First quarter 2024 testing volumes grew 9% year-over-year, driven by 13% growth year-over-year in GeneSight test volumes, 9% growth year-over-year in hereditary cancer test volumes, and 9% growth year-over-year in Prenatal test volumes, partially offset by a 16% decrease year-over-year in Tumor Profiling.</w:t>
      </w:r>
    </w:p>
    <w:p>
      <w:pPr>
        <w:spacing w:after="0" w:line="11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12% year-over-year for the quarter ended March 31, 2024.</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1, 2024, we acquired select assets from Intermountain Healthcare's Intermountain Precision Genomics (IPG) laboratory business, including the Precise Tumor Test, the Precise Liquid Test, and IPG's CLIA-certified laboratory in St. George, Utah.</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named George Daneker Jr., MD as President and Chief Clinical Officer of Oncology.</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announced a collaboration with the National Cancer Center Hospital East to study the prognostic and predictive value of molecular residual disease (MRD) testing.</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announced that a foundational patent granted for MRD with an early priority date and a patent granted for SneakPeek Snap Device.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2024 and 2023 are discussed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0" w:type="dxa"/>
            <w:vAlign w:val="bottom"/>
          </w:tcPr>
          <w:p>
            <w:pPr>
              <w:spacing w:after="0"/>
              <w:rPr>
                <w:sz w:val="17"/>
                <w:szCs w:val="17"/>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12.4</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181.2</w:t>
            </w:r>
          </w:p>
        </w:tc>
        <w:tc>
          <w:tcPr>
            <w:tcW w:w="12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10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Test revenues increased $21.0 million for the three months ended March 31, 2024 compared to the same period in the prior year primarily due to an increase in testing volume across the majority of our products. Hereditary Cancer revenues increased $12.4 million compared to the same period in the prior year due to a 9% increase in testing volume and a 7% increase in average revenue per test. Prenatal revenues increased $8.1 million compared to the same period in the prior year due to a 9% increase in testing volume and a 12% increase in average revenue per test due in part to retroactive coverage by a payor for one of our tests. Pharmacogenomics revenues increased $6.9 million compared to the same period in the prior year due primarily to a 13% increase in testing volume and a 7% increase in the average revenue per test. Tumor Profiling revenues decreased $6.4 million compared to the same period in the prior year due primarily to a decrease in volume for MyChoice CDx, which is largely driven by MyChoice CDx studies in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total revenue</w:t>
            </w:r>
          </w:p>
        </w:tc>
        <w:tc>
          <w:tcPr>
            <w:tcW w:w="92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testing revenue for the three months ended March 31, 2024 increased $5.4 million compared to the same period in the prior year primarily due to an increase in volumes in Pharmacogenomics, Hereditary Cancer, and Prenatal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2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9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2024 increased by $2.4 million compared to the same period in the prior year primarily due to a $2.5 million increase in compensation costs driven largely by an increase in the average compensation expense per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decreased by $11.1 million for the three months ended March 31, 2024 compared to the same period in the prior year primarily due to a $3.6 million decrease in depreciation expense driven by $5.7 million of accelerated depreciation in the prior period in connection with our decision to cease the use of our former corporate headquarters, a $2.8 million decrease in sales and marketing expenses, and a $1.7 million decrease in consulting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20" w:type="dxa"/>
            <w:vAlign w:val="bottom"/>
            <w:vMerge w:val="continue"/>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820" w:type="dxa"/>
            <w:vAlign w:val="bottom"/>
            <w:shd w:val="clear" w:color="auto" w:fill="CFF0FC"/>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for the three months ended March 31, 2024 as compared to the same period in the prior year due primarily to the $2.2 million gain recognized on the Precise acquisition in the current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U.S. federal effective rate of 21.0% and a blended state income tax rate of approximately 3.4%. Certain significant or unusual items are separately recognized during the period in which they occur and can be a source of variability in the effective tax rates from period to period.</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2024, there was $0.1 million income tax expense and our effective tax rate was (0.4)%. For the three months ended March 31, 2024, our effective tax rate differs from the U.S. federal statutory rate primarily due to the recognition of valuation allowances.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 For the three months ended March 31, 2023, our effective tax rate differs from the U.S. federal statutory rate primarily due to valuation allowances and uncertain tax positions.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cash equivalents and marketable investment securities, our expected cash flows from operations, and, in certain circumstances as discussed below, amounts available for borrowing under our asset-based revolving credit facility with JPMorgan Chase Bank, N.A., as administrative agent and issuing bank, and the other lender parties thereto (the "ABL Facility"). As of March 31, 2024, we had cash, cash equivalents and marketable investment securities of $104.3 million and availability under the ABL Facility was $41.3 million, subject to the minimum availability requirement under the ABL Facility. Our capital deployment strategy focuses on use of resources in the key areas of research and development, technology and acquisitions. We believe that investing organically through research and development and new product development or acquisitively to support our business strategy provides the best return on invested capital.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ABL Facility has a total maximum principal commitment of $115.0 million. The ABL Facility requires that we and our subsidiaries guaranteeing the indebtedness, on a consolidated basis,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of (a) $10.6 million and (b) 12.5% of the lesser of the maximum commitment amount and the borrowing base for a period of 30 consecutive days. As of March 31, 2024, we had $40.0 million outstanding under the ABL Facility and availability under the ABL Facility was $41.3 million, subject to the minimum availability requirement under the ABL Facility.</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capital expenditures, and litigation related costs not covered by, or above the limits set forth in, our insurance. In addition, we are subject to covenants under our ABL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ABL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purchase commitments or other agreements that may materially impact our liquidity position in future periods. In April 2024, we entered into an amendment of our lease in west Salt Lake City, Utah to include approximately 63,000 additional square feet. The lease has a term of 12 years, which is expected to commence in the second half of 2026. Total future rent payments for the additional space are approximately $18.2 million.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technical nature of our business and our focus on science, research, and development, we are highly dependent upon our ability to attract and retain highly qualified and experienced management, scientific, and technical personnel. Loss of the services of or failure to recruit additional key management, scientific, and technical personnel and other qualified personnel who are necessary to operate our business would adversely affect our business, and it may have a material adverse effect on our business as a whole. Additionally, disruptions to our supply chain could cause shortages of critical materials required to conduct our business, which may have a material adverse effect on our business as a whole. In addition, as discussed below, inflation has had, and may continue to have, an impact on the costs we incur to attract and retain qualified personnel, costs to generate sales and produce testing results, and costs of laboratory supplies.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cash, cash equivalents and marketable investment securities as of the dates set forth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investment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cash, cash equivalents, and marketable investment securities as of March 31, 2024 as compared to December 31, 2023 was primarily driven by $18.6 million in cash used by operations, $6.7 million used for capital expenditures, and $8.7 million used for the payment of withholding tax for the issuance of common stock, net of proceeds from the issuance of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Condensed Consolidated Cash Flow Statement: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less cash for operating activities for the three months ended March 31, 2024 compared to the same period in the prior year, primarily due to an improvement in core operations driven by a 12% increase in revenues and a 12% decrease in expenses as a percentage of revenue, partially offset by the receipt of $13.2 million in tenant improvement allowance reimbursements in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flows used in investing activities for the three months ended March 31, 2024 compared to the same period in the prior year was primarily due to the $56.6 million decrease in cash flows from marketable investment securities, partially offset by a $16.8 million decrease in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flows used in financing activities for the three months ended March 31, 2024 compared to the same period in the prior year was due to a $3.8 million increase in cash used for the payment of withholding tax for the issuance of common stock, net of proceeds from the issuance of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has had, and may continue to have, an impact on the labor costs we incur to attract and retain qualified personnel, costs to generate sales and produce testing results, and costs of laboratory supplies. Inflationary costs have impacted our profitability and may continue to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additional funding.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policies which are both important to the presentation of a company’s financial condition and results and require management’s most difficult, subjective or complex judgments, often as a result of the need to make estimates about the effect of matters that are inherently uncertain. For a further discussion of our critical accounting estimates, see our Annual Report on Form 10-K filed with the SEC on February 28, 2024. No significant changes to our accounting policies took place during the three months ended March 31, 2024.</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and foreign currency exchange risks.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primarily through borrowings under our ABL Facility. Our ABL Facility has a variable interest rate based on the Prime Rate, the NYFRB Rate, or the Secured Overnight Financing Rate ("SOFR"). An incremental change in the borrowing rate of 100 basis points would increase or decrease our annual interest expense by $0.4 million based on our $40.0 million debt outstanding on our ABL Facility as of March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may continue to be exposed to fluctuations in foreign currencies with regard to certain agreements with service providers. While our expenses are predominantly denominated in U.S. dollars, approximately 9% of our revenues are denominated in other currencies, primarily in Japanese yen. A hypothetical 10% change in the value of the Japanese yen relative to the U.S. dollar would result in a 1% change in our revenues. Although we also have certain operations denominated in euros, Swiss francs, and British pounds, among other currencies, those operations are subject to less overall market risk due to the revenue and expenses being denominated in the same currency. During the three months ended March 31, 2024, our revenues were not materially impacted by foreign currency fluctuations but may be in the future. We do not currently utilize hedging strategies to mitigate foreign currency risk.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investment portfolio in accordance with our written investment policy. Our investment policy specifies credit quality standards for our investments and limits the amount of credit exposure to any single issue, issuer or type of investment. Our investments consist of debt securities of various types and maturities of one year or less and are classified as available-for-sale.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investment policy guidelines are intended to ensure the preservation of principal, market conditions can result in high levels of uncertainty. Our ability to trade or redeem the securities in which we invest, including certain corporate bonds, may become difficult. Valuation and pricing of these securities can also become variable and subject to uncertainty. As of March 31, 2024, the unrealized losses in our investment portfolio were determined to be immaterial. We do not utilize derivative financial instruments to manage our interest rate risks.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March 31, 2024, our Disclosure Controls were effective to provide reasonable assurance that information required to be disclosed by us in the reports we file or submit under the Exchange Act is recorded, processed, summarized and reported within the time period specified in the SEC's rules and forms and is accumulated and communicated to our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current legal proceedings, see Note 13, "Commitments and Contingencies" in Notes to Condensed Consolidated Financial Statements, which are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“Item 1A. Risk Factors” included in our Annual Report on Form 10-K filed with the SEC on February 28, 2024 and this Quarterly Report on Form 10-Q,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on Form 10-K, other than the updates to the risk factors set forth below. We may disclose changes to risk factors or additional risk factors from time to time in our future filings with the SEC.</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currently rely on a small number of suppliers, or, in some cases, single-source suppliers, to provide our gene sequencing equipment, content enrichment equipment, multiplex protein analysis equipment, robots, and specialty reagents and other laboratory supplies required in connection with our testing and research and development activities. We believe that currently there are limited alternative suppliers of the equipment, robots, reagents and certain other supplies that we use in our business. The equipment, robots, reagents or other supplies may not remain available in commercial quantities at acceptable costs. In addition, we rely upon a limited number of commercial delivery services to provide us with laboratory supplies, and the disruption of such delivery services could adversely impact our business. If we are unable to obtain when needed additional or alternative equipment or robots, or an adequate supply of reagents or other ingredients or supplies at commercially reasonable rates, our ability to continue to identify genes and perform testing would be adversely affected. In addition, any loss or failure to perform by a single-source supplier could have a disruptive effect on our business, including our ability to perform testing, and could adversely affect our results of operations.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rely on third-party laboratories and phlebotomy clinics to perform specimen collection services for us for patients taking some of our tests such as the Myriad Genetics Prequel® non-invasive prenatal screening test. In some locations, we rely on a limited number of third-party laboratories and</w:t>
      </w:r>
    </w:p>
    <w:p>
      <w:pPr>
        <w:jc w:val="both"/>
        <w:spacing w:after="0"/>
        <w:rPr>
          <w:sz w:val="20"/>
          <w:szCs w:val="20"/>
          <w:color w:val="auto"/>
        </w:rPr>
      </w:pPr>
      <w:r>
        <w:rPr>
          <w:rFonts w:ascii="Times New Roman" w:cs="Times New Roman" w:eastAsia="Times New Roman" w:hAnsi="Times New Roman"/>
          <w:sz w:val="18"/>
          <w:szCs w:val="18"/>
          <w:color w:val="auto"/>
        </w:rPr>
        <w:t>phlebotomy clinics to perform these specimen collection services for us. The inability or refusal of a third-party laboratory or phlebotomy clinic to provide these services to us could significantly impede our ability to test patients and, consequently, could adversely affect our business. In addition, the consolidation of large laboratories and phlebotomy clinics may decrease the specimen collection facility options that are available to us, thus amplifying the risk if access to the remaining laboratories and phlebotomy clinics is denied.</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the spread of disease globally could further adversely affect our manufacturing and supply chain. Parts of our direct and indirect supply chain are located overseas and both international and domestic components have been subject to disruption as a result of COVID-19 and responses to it. We have experienced and may in the future experience a shortage of certain laboratory supplies and equipment, and we may experience a suspension of services from other laboratories or third parties as a result of a global pandemic and responses to it. Political, administrative, legislative, legal or regulatory actions in response to a global pandemic could create additional supply shortages, disruptions or other uncertainties affecting our research and business. If the supplies and components necessary to manufacture our products become unavailable or are disrupted, then we may not be able to successfully perform our research or operate our business on a timely basis or at all.</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 disruption in the global supply chain related to hostilities in Ukraine and the Middle East could impact our supply chain. For example, Houthi forces have attacked freighters in the Red Sea due to the ongoing conflict between Israel and Gaza. While we have not experienced material supply chain disruptions related to these global hostilities to date, we are unable to predict how these conflicts will develop or guarantee that we will not experience material supply chain disruptions in the future.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the FDA regulates tests performed by laboratories like ours could result in delay or additional expense in offering our tests and tests that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laboratory developed tests (LDTs) and has generally not required laboratories that furnish LDTs to comply with the agency’s requirements for medical devices (e.g., establishment registration, device listing, quality systems regulations, premarket clearance or premarket approval, and post-market controls). As of December 31, 2023, none of our products other than MyChoice CDx and BRACAnalysis CDx are marketed by us under the FDA's requirements for medical devices. In recent years, the FDA publicly announced its intention to regulate certain LDTs and issued two draft guidance documents that set forth a proposed phased-in risk-based regulatory framework that would apply varying levels of FDA oversight to LDTs. However, these guidance documents were not finalized, and in 2017, the FDA issued an informal discussion paper reflecting some of the feedback the FDA had received on the proposed LDT regulatory system.</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Subsequently, in October 2023, the FDA issued a proposed rule to regulate LDTs under the current medical device framework and proposed to phase out the current enforcement discretion policy; the public comment period ended in early December 2023. The agency’s final rule was released to the public on April 29, 2024 and then officially published in the Federal Register on May 6, 2024, with an effective date of July 5, 2024.</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FDA has stated that if premarket submissions are pending review it will continue to exercise enforcement discretion with respect to those tests. Litigation challenging the agency’s authority to adopt this final rule is highly likely, although the outcome of such litigation is uncertain. Litigation challenging the final rule may also have an impact on the FDA’s plans to implement these new LDT requirements, making the potential implementation timeline somewhat uncertain. Affected stakeholders continue to press for a comprehensive legislative solution to create a harmonized paradigm for oversight of LDTs by both the FDA and CMS, instead of implementation of the administrative agency action, which may be disruptive to the industry and to patient access to certain diagnostic tests. Until any regulatory changes become effective, the FDA is expected to continue to exercise enforcement discretion; although it may attempt to regulate certain LDTs on a case-by-case basis at any time, which could result in delay or additional expense in offering our tests and tests that we may develop in the future.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for several years bipartisan members of Congress have been negotiating legislation with the FDA and industry stakeholders to regulate in vitro clinical tests including LDTs under a shared FDA/CMS framework. Most recently, reform legislation entitled the Verifying Accurate, Leading-edge IVCT Development (VALID) Act received increasing congressional support. As drafted and re-introduced for consideration by the current Congress, the VALID Act would codify into law the term “in vitro clinical test” (IVCT) to create a new medical product category separate from medical devices that includes products currently regulated as in vitro diagnostics (IVDs) as well as LDTs. If enacted, the VALID Act's regulatory framework would give the FDA the authority to ensure IVCTs are both analytically and clinically valid while CMS would retain the authority to ensure the quality of operations within laboratories. All LDTs on the market prior to enactment of the legislation would be grandfathered and not subject to the new regulation. The FDA’s October 2023 publication of the LDT proposed rule that would apply the existing medical device framework to laboratory-developed products renewed stakeholder calls for a more targeted approach to modernizing federal oversight of clinical diagnostic tests. Most recently, on March 21, 2024, the House Energy and Commerce held a subcommittee hearing titled “Evaluating Approaches to Diagnostic Test Regulation and the Impact of the FDA’s Proposed Rule.” The private witnesses testifying at the hearing expressed broad support for the bipartisan VALID Act instead of the FDA’s proposal to use its medical device authorities. It remains possible that congressional action in this area could displace the need for the FDA to implement its recently finalized rulemaking.</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It is unclear whether Congress will take action, through the VALID Act or otherwise, to supersede FDA’s recent final rule with comprehensive diagnostic reform legislation, or whether such legislation would be signed into law by the President. In addition, at this time it is unclear what testing and data may be required to support any required FDA clearance or approval of our tests, should the final rule be fully implemented as envisioned by FDA and HHS. If the VALID Act is enacted, or if the FDA were to fully implement the final rule to regulate most LDTs as medical devices, it could have a materially adverse impact on our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GeneSight Psychotropic test could be disruptive to our business.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further above, the FDA has long claimed authority to regulate LDTs but has exercised its “enforcement discretion” to limit enforcement of in vitro diagnostic regulatory requirements on this category of products. In May 2024, the FDA issued a final rule to regulate LDTs under the current medical device framework and proposed to phase out the current enforcement discretion policy. Further, the FDA has from time to time appeared to increase its attention to the marketing of pharmacogenomic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pharmacogenomic tests where the FDA believed the relationship between genetic variations and a medication’s effects had not been established, including a warning letter to Inova Genomics Laboratory.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early 2019, we provided the FDA with clinical evidence and other information to support our GeneSight Psychotropic test. Later that year, the FDA requested changes to the GeneSight test offering. Although we disagreed that changes to the test were required, we submitted a proposal regarding the reporting of GeneSight test results to healthcare providers that we believed addressed the FDA’s principal concerns and would not affect the benefits that we believe are provided by the GeneSight test.</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Since submitting our proposal to the FDA, we engaged with our trade association in their efforts to defend the offering of pharmacogenomic tests and to monitor broader developments across the stakeholder community. In response to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pharmacogenomics.” Although the announcement again asserted that some pharmacogenomic test offerings may be potentially dangerous, the agency also acknowledged that pharmacogenomic testing “offers promise for informing the selection or dosing of some medications for certain individuals” when there is sufficient evidence demonstrating a relationship between how a person's genes may impact their metabolism of a drug or how they may respond to the drug. In conjunction with the announcement, the FDA also released an updated “Table of Pharmacogenomic Associations,” which lists gene-drug interactions that the agency believes are supported by FDA-approved drug labeling and/or “sufficient scientific evidence based on published literature.” The Table has been updated periodically since that time. Based on our discussions with the agency and these developments, we have not implemented our proposal to the FDA regarding the GeneSight test. While we see these developments as signaling a positive shift in the FDA’s approach to regulating pharmacogenomic tests, we cannot predict with certainty the outcome of this matter, its timing or whether the ultimate form of the GeneSight Psychotropic Mental Health Medication test offering, if it must be changed, will have an adverse effect on our revenues from the test.</w:t>
      </w: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ectPr>
          <w:pgSz w:w="11900" w:h="16838" w:orient="portrait"/>
          <w:cols w:equalWidth="0" w:num="1">
            <w:col w:w="11100"/>
          </w:cols>
          <w:pgMar w:left="320" w:top="121" w:right="47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302(a)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302(a) 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pursuant to Section 906 of the Sarbanes-Oxley Act of 2002 (Furnished).</w:t>
      </w:r>
    </w:p>
    <w:p>
      <w:pPr>
        <w:spacing w:after="0" w:line="131"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2024 has been formatted in Inline XBRL.</w:t>
      </w:r>
    </w:p>
    <w:p>
      <w:pPr>
        <w:spacing w:after="0" w:line="200" w:lineRule="exact"/>
        <w:rPr>
          <w:sz w:val="20"/>
          <w:szCs w:val="20"/>
          <w:color w:val="auto"/>
        </w:rPr>
      </w:pPr>
    </w:p>
    <w:p>
      <w:pPr>
        <w:sectPr>
          <w:pgSz w:w="11900" w:h="16838" w:orient="portrait"/>
          <w:cols w:equalWidth="0" w:num="2">
            <w:col w:w="700" w:space="640"/>
            <w:col w:w="9760"/>
          </w:cols>
          <w:pgMar w:left="320" w:top="12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MYRIAD GENETICS, INC.</w:t>
            </w:r>
          </w:p>
        </w:tc>
      </w:tr>
      <w:tr>
        <w:trPr>
          <w:trHeight w:val="52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74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Paul J. Diaz</w:t>
            </w:r>
          </w:p>
        </w:tc>
      </w:tr>
      <w:tr>
        <w:trPr>
          <w:trHeight w:val="27"/>
        </w:trPr>
        <w:tc>
          <w:tcPr>
            <w:tcW w:w="3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J. Diaz</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74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Scott J. Leffler</w:t>
            </w:r>
          </w:p>
        </w:tc>
      </w:tr>
      <w:tr>
        <w:trPr>
          <w:trHeight w:val="27"/>
        </w:trPr>
        <w:tc>
          <w:tcPr>
            <w:tcW w:w="3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 Leffler</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74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Natalie Munk</w:t>
            </w:r>
          </w:p>
        </w:tc>
      </w:tr>
      <w:tr>
        <w:trPr>
          <w:trHeight w:val="27"/>
        </w:trPr>
        <w:tc>
          <w:tcPr>
            <w:tcW w:w="3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6"/>
        </w:trPr>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Natalie Munk</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37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Diaz, certify that:</w:t>
      </w:r>
    </w:p>
    <w:p>
      <w:pPr>
        <w:spacing w:after="0" w:line="225"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Paul J.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Paul J. Diaz</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J. Leffler, certify that:</w:t>
      </w:r>
    </w:p>
    <w:p>
      <w:pPr>
        <w:spacing w:after="0" w:line="225"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9057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May 8, 2024</w:t>
            </w:r>
          </w:p>
        </w:tc>
        <w:tc>
          <w:tcPr>
            <w:tcW w:w="0" w:type="dxa"/>
            <w:vAlign w:val="bottom"/>
          </w:tcPr>
          <w:p>
            <w:pPr>
              <w:spacing w:after="0"/>
              <w:rPr>
                <w:sz w:val="1"/>
                <w:szCs w:val="1"/>
                <w:color w:val="auto"/>
              </w:rPr>
            </w:pPr>
          </w:p>
        </w:tc>
      </w:tr>
      <w:tr>
        <w:trPr>
          <w:trHeight w:val="29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Paul J. Diaz</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 Scott J. Leffler</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Scott</w:t>
            </w:r>
          </w:p>
        </w:tc>
        <w:tc>
          <w:tcPr>
            <w:tcW w:w="5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Paul J. Diaz</w:t>
            </w:r>
          </w:p>
        </w:tc>
        <w:tc>
          <w:tcPr>
            <w:tcW w:w="580" w:type="dxa"/>
            <w:vAlign w:val="bottom"/>
            <w:vMerge w:val="continue"/>
          </w:tcPr>
          <w:p>
            <w:pPr>
              <w:spacing w:after="0"/>
              <w:rPr>
                <w:sz w:val="17"/>
                <w:szCs w:val="17"/>
                <w:color w:val="auto"/>
              </w:rPr>
            </w:pP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Leffler</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lowerLetter"/>
      <w:start w:val="2"/>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2024-05-08T07:25:45Z</dcterms:created>
  <dcterms:modified xsi:type="dcterms:W3CDTF">2024-05-08T07:25:45Z</dcterms:modified>
</cp:coreProperties>
</file>