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11656866.xml.htm"/>
      <w:bookmarkStart w:id="1" w:name="kswkform4a_17116568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Leffler Scott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03/14/2024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03/18/2024</w:t>
            </w:r>
            <w:r>
              <w:rPr/>
              <w:t xml:space="preserve"> </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46,905</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164,675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time-based restricted stock units granted pursuant to the Company's 2017 Employee, Director and Consultant Equity Incentive Plan. Each restricted stock unit represents a contingent right to receive one share of the Company's common stock and vests in three equal annual installments beginning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amendment corrects the number of restricted stock units granted to the reporting person on March 14, 2024, which was incorrectly under reported by 810 restricted stock units on the original filing as a result of a clerical error.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Scott J. Leffler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2406" TargetMode="External"/><Relationship Id="rId4" Type="http://schemas.openxmlformats.org/officeDocument/2006/relationships/hyperlink" Target="http://www.sec.gov/cgi-bin/browse-edgar?action=getcompany&amp;CIK=00008999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3558</Characters>
  <CharactersWithSpaces>4153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