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9,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Myriad Genetics, Inc. (the “Company”) previously announced by press release that it will hold an Investor Event on October 9, 2024 — in person at the Westin Grand Central Hotel in New York City and via a simultaneous live webcast. In connection with the Investor Event, the Company is disclosing certain preliminary financial data for the third quarter of 2024, specifically that the Company expects third quarter 2024 revenue of between approximately $210 million and $212 million, despite the divestiture of the Company's EndoPredict business in Europe, which closed on August 1, 2024.</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based partially on the Company's preliminary results for the third quarter of 2024, the Company is reaffirming its previously issued revenue and non-GAAP financial guidance for the full-year 2024 previously provided on August 6, 2024 during its second quarter 2024 earnings call. This guidance included full year 2024 revenue expectations of between $835 million and $845 million.</w:t>
      </w:r>
    </w:p>
    <w:p>
      <w:pPr>
        <w:spacing w:after="0" w:line="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 in the process of finalizing its financial results for the third quarter of 2024 and the forgoing financial guidance, data, and other information is based on available information to date and is derived from preliminary, unaudited internal financial reports. This preliminary, unaudited financial information and data may change in connection with the finalization of the Company’s financial statements for the third quarter 2024, and therefore, the foregoing financial guidance, data, and other information may not represent the Company’s actual financial results for the third quarter of 2024 or thereafter.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the Company's full-year 2024 financial guidance, expected 2024 revenue growth and the preliminary third quarter 2024 financial results.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include, but are not limited to: the risk that sales and profit margins of the Company’s existing tests may decline; the risk that the Company may not be able to operate its business on a profitable basis; risks related to changes in the Company's financial results from the preliminary results reported in this Current Report on Form 8-K resulting from the finalization of the Company's financial statements for the third quarter of 2024;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operating covenants under the Company’s credit or lending agreements; the risk that the Company may not be able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updated in the Company's Quarterly Report on Form 10-Q filed with the SEC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6"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October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2024-10-09T05:13:43Z</dcterms:created>
  <dcterms:modified xsi:type="dcterms:W3CDTF">2024-10-09T05:13:43Z</dcterms:modified>
</cp:coreProperties>
</file>