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620395</wp:posOffset>
            </wp:positionV>
            <wp:extent cx="690054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0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)</w:t>
      </w:r>
    </w:p>
    <w:p>
      <w:pPr>
        <w:sectPr>
          <w:pgSz w:w="11900" w:h="16838" w:orient="portrait"/>
          <w:cols w:equalWidth="0" w:num="1">
            <w:col w:w="10139"/>
          </w:cols>
          <w:pgMar w:left="320" w:top="976" w:right="1440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 w:line="184" w:lineRule="exact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 xml:space="preserve">☒  </w:t>
      </w:r>
      <w:r>
        <w:rPr>
          <w:rFonts w:ascii="Arial" w:cs="Arial" w:eastAsia="Arial" w:hAnsi="Arial"/>
          <w:sz w:val="16"/>
          <w:szCs w:val="16"/>
          <w:color w:val="auto"/>
        </w:rPr>
        <w:t>Filed by a Party other than the Registrant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 w:line="184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  <w:r>
        <w:rPr>
          <w:rFonts w:ascii="Arial" w:cs="Arial" w:eastAsia="Arial" w:hAnsi="Arial"/>
          <w:sz w:val="16"/>
          <w:szCs w:val="16"/>
          <w:color w:val="auto"/>
        </w:rPr>
        <w:tab/>
        <w:t>Preliminary Proxy Statement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100" w:space="180"/>
            <w:col w:w="4859"/>
          </w:cols>
          <w:pgMar w:left="320" w:top="976" w:right="1440" w:bottom="1440" w:gutter="0" w:footer="0" w:header="0"/>
          <w:type w:val="continuous"/>
        </w:sectPr>
      </w:pPr>
    </w:p>
    <w:p>
      <w:pPr>
        <w:spacing w:after="0" w:line="184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ab/>
        <w:t>Confidential, for Use of the Commission Only (as permitted by Rule 14a-6(e)(2))</w:t>
      </w:r>
    </w:p>
    <w:p>
      <w:pPr>
        <w:spacing w:after="0" w:line="184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  <w:r>
        <w:rPr>
          <w:rFonts w:ascii="Arial" w:cs="Arial" w:eastAsia="Arial" w:hAnsi="Arial"/>
          <w:sz w:val="16"/>
          <w:szCs w:val="16"/>
          <w:color w:val="auto"/>
        </w:rPr>
        <w:tab/>
        <w:t>Definitive Proxy Statement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Under Rule 14a-12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Myriad Genetics, Inc.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 of Registrant as Specified In Its Charter)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the appropriate box):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23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14a-6(j)(1)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976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500380</wp:posOffset>
            </wp:positionV>
            <wp:extent cx="6172200" cy="8006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00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☒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2024-04-17T15:37:29Z</dcterms:created>
  <dcterms:modified xsi:type="dcterms:W3CDTF">2024-04-17T15:37:29Z</dcterms:modified>
</cp:coreProperties>
</file>