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As filed with the Securities and Exchange Commission on June 4, 2026</w:t>
      </w:r>
    </w:p>
    <w:p>
      <w:pPr>
        <w:spacing w:after="0" w:line="233" w:lineRule="exact"/>
        <w:rPr>
          <w:sz w:val="24"/>
          <w:szCs w:val="24"/>
          <w:color w:val="auto"/>
        </w:rPr>
      </w:pPr>
    </w:p>
    <w:p>
      <w:pPr>
        <w:jc w:val="right"/>
        <w:spacing w:after="0" w:line="173" w:lineRule="exact"/>
        <w:rPr>
          <w:sz w:val="20"/>
          <w:szCs w:val="20"/>
          <w:color w:val="auto"/>
        </w:rPr>
      </w:pPr>
      <w:r>
        <w:rPr>
          <w:rFonts w:ascii="Times New Roman" w:cs="Times New Roman" w:eastAsia="Times New Roman" w:hAnsi="Times New Roman"/>
          <w:sz w:val="15"/>
          <w:szCs w:val="15"/>
          <w:color w:val="auto"/>
        </w:rPr>
        <w:t xml:space="preserve">REGISTRATION NO. 333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14" w:lineRule="exact"/>
        <w:rPr>
          <w:sz w:val="24"/>
          <w:szCs w:val="24"/>
          <w:color w:val="auto"/>
        </w:rPr>
      </w:pPr>
    </w:p>
    <w:p>
      <w:pPr>
        <w:jc w:val="center"/>
        <w:spacing w:after="0" w:line="322" w:lineRule="exact"/>
        <w:rPr>
          <w:sz w:val="20"/>
          <w:szCs w:val="20"/>
          <w:color w:val="auto"/>
        </w:rPr>
      </w:pPr>
      <w:r>
        <w:rPr>
          <w:rFonts w:ascii="Times New Roman" w:cs="Times New Roman" w:eastAsia="Times New Roman" w:hAnsi="Times New Roman"/>
          <w:sz w:val="28"/>
          <w:szCs w:val="28"/>
          <w:b w:val="1"/>
          <w:bCs w:val="1"/>
          <w:color w:val="auto"/>
        </w:rPr>
        <w:t>FORM S</w:t>
      </w:r>
      <w:r>
        <w:rPr>
          <w:rFonts w:ascii="MS PGothic" w:cs="MS PGothic" w:eastAsia="MS PGothic" w:hAnsi="MS PGothic"/>
          <w:sz w:val="28"/>
          <w:szCs w:val="28"/>
          <w:color w:val="auto"/>
          <w:strike w:val="1"/>
        </w:rPr>
        <w:t>‑</w:t>
      </w:r>
      <w:r>
        <w:rPr>
          <w:rFonts w:ascii="Times New Roman" w:cs="Times New Roman" w:eastAsia="Times New Roman" w:hAnsi="Times New Roman"/>
          <w:sz w:val="28"/>
          <w:szCs w:val="28"/>
          <w:b w:val="1"/>
          <w:bCs w:val="1"/>
          <w:color w:val="auto"/>
        </w:rPr>
        <w:t>8</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 UNDER THE SECURITIES ACT OF 1933</w:t>
      </w:r>
    </w:p>
    <w:p>
      <w:pPr>
        <w:spacing w:after="0" w:line="248" w:lineRule="exact"/>
        <w:rPr>
          <w:sz w:val="24"/>
          <w:szCs w:val="24"/>
          <w:color w:val="auto"/>
        </w:rPr>
      </w:pPr>
    </w:p>
    <w:tbl>
      <w:tblPr>
        <w:tblLayout w:type="fixed"/>
        <w:tblInd w:w="1840" w:type="dxa"/>
        <w:tblCellMar>
          <w:top w:w="0" w:type="dxa"/>
          <w:left w:w="0" w:type="dxa"/>
          <w:bottom w:w="0" w:type="dxa"/>
          <w:right w:w="0" w:type="dxa"/>
        </w:tblCellMar>
      </w:tblPr>
      <w:tr>
        <w:trPr>
          <w:trHeight w:val="426"/>
        </w:trPr>
        <w:tc>
          <w:tcPr>
            <w:tcW w:w="1740" w:type="dxa"/>
            <w:vAlign w:val="bottom"/>
          </w:tcPr>
          <w:p>
            <w:pPr>
              <w:spacing w:after="0"/>
              <w:rPr>
                <w:sz w:val="24"/>
                <w:szCs w:val="24"/>
                <w:color w:val="auto"/>
              </w:rPr>
            </w:pPr>
          </w:p>
        </w:tc>
        <w:tc>
          <w:tcPr>
            <w:tcW w:w="4880" w:type="dxa"/>
            <w:vAlign w:val="bottom"/>
          </w:tcPr>
          <w:p>
            <w:pPr>
              <w:jc w:val="center"/>
              <w:ind w:right="724"/>
              <w:spacing w:after="0"/>
              <w:rPr>
                <w:sz w:val="20"/>
                <w:szCs w:val="20"/>
                <w:color w:val="auto"/>
              </w:rPr>
            </w:pPr>
            <w:r>
              <w:rPr>
                <w:rFonts w:ascii="Times New Roman" w:cs="Times New Roman" w:eastAsia="Times New Roman" w:hAnsi="Times New Roman"/>
                <w:sz w:val="32"/>
                <w:szCs w:val="32"/>
                <w:b w:val="1"/>
                <w:bCs w:val="1"/>
                <w:color w:val="auto"/>
              </w:rPr>
              <w:t>MYRIAD GENETICS, INC.</w:t>
            </w:r>
          </w:p>
        </w:tc>
      </w:tr>
      <w:tr>
        <w:trPr>
          <w:trHeight w:val="180"/>
        </w:trPr>
        <w:tc>
          <w:tcPr>
            <w:tcW w:w="1740" w:type="dxa"/>
            <w:vAlign w:val="bottom"/>
          </w:tcPr>
          <w:p>
            <w:pPr>
              <w:spacing w:after="0"/>
              <w:rPr>
                <w:sz w:val="15"/>
                <w:szCs w:val="15"/>
                <w:color w:val="auto"/>
              </w:rPr>
            </w:pPr>
          </w:p>
        </w:tc>
        <w:tc>
          <w:tcPr>
            <w:tcW w:w="4880" w:type="dxa"/>
            <w:vAlign w:val="bottom"/>
          </w:tcPr>
          <w:p>
            <w:pPr>
              <w:jc w:val="center"/>
              <w:ind w:right="72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Exact name of registrant as specified in its charter)</w:t>
            </w:r>
          </w:p>
        </w:tc>
      </w:tr>
      <w:tr>
        <w:trPr>
          <w:trHeight w:val="302"/>
        </w:trPr>
        <w:tc>
          <w:tcPr>
            <w:tcW w:w="1740" w:type="dxa"/>
            <w:vAlign w:val="bottom"/>
          </w:tcPr>
          <w:p>
            <w:pPr>
              <w:jc w:val="center"/>
              <w:ind w:right="1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4880" w:type="dxa"/>
            <w:vAlign w:val="bottom"/>
          </w:tcPr>
          <w:p>
            <w:pPr>
              <w:jc w:val="center"/>
              <w:ind w:left="3864"/>
              <w:spacing w:after="0"/>
              <w:rPr>
                <w:sz w:val="20"/>
                <w:szCs w:val="20"/>
                <w:color w:val="auto"/>
              </w:rPr>
            </w:pPr>
            <w:r>
              <w:rPr>
                <w:rFonts w:ascii="Times New Roman" w:cs="Times New Roman" w:eastAsia="Times New Roman" w:hAnsi="Times New Roman"/>
                <w:sz w:val="15"/>
                <w:szCs w:val="15"/>
                <w:b w:val="1"/>
                <w:bCs w:val="1"/>
                <w:color w:val="auto"/>
              </w:rPr>
              <w:t>87-0494517</w:t>
            </w:r>
          </w:p>
        </w:tc>
      </w:tr>
      <w:tr>
        <w:trPr>
          <w:trHeight w:val="299"/>
        </w:trPr>
        <w:tc>
          <w:tcPr>
            <w:tcW w:w="1740" w:type="dxa"/>
            <w:vAlign w:val="bottom"/>
          </w:tcPr>
          <w:p>
            <w:pPr>
              <w:jc w:val="center"/>
              <w:ind w:right="1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State or other jurisdiction</w:t>
            </w:r>
          </w:p>
        </w:tc>
        <w:tc>
          <w:tcPr>
            <w:tcW w:w="4880" w:type="dxa"/>
            <w:vAlign w:val="bottom"/>
          </w:tcPr>
          <w:p>
            <w:pPr>
              <w:jc w:val="center"/>
              <w:ind w:left="388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I.R.S. Employer</w:t>
            </w:r>
          </w:p>
        </w:tc>
      </w:tr>
      <w:tr>
        <w:trPr>
          <w:trHeight w:val="294"/>
        </w:trPr>
        <w:tc>
          <w:tcPr>
            <w:tcW w:w="1740" w:type="dxa"/>
            <w:vAlign w:val="bottom"/>
          </w:tcPr>
          <w:p>
            <w:pPr>
              <w:jc w:val="center"/>
              <w:ind w:right="13"/>
              <w:spacing w:after="0"/>
              <w:rPr>
                <w:sz w:val="20"/>
                <w:szCs w:val="20"/>
                <w:color w:val="auto"/>
              </w:rPr>
            </w:pPr>
            <w:r>
              <w:rPr>
                <w:rFonts w:ascii="Times New Roman" w:cs="Times New Roman" w:eastAsia="Times New Roman" w:hAnsi="Times New Roman"/>
                <w:sz w:val="12"/>
                <w:szCs w:val="12"/>
                <w:i w:val="1"/>
                <w:iCs w:val="1"/>
                <w:color w:val="auto"/>
              </w:rPr>
              <w:t>of incorporation or organization</w:t>
            </w:r>
            <w:r>
              <w:rPr>
                <w:rFonts w:ascii="Times New Roman" w:cs="Times New Roman" w:eastAsia="Times New Roman" w:hAnsi="Times New Roman"/>
                <w:sz w:val="12"/>
                <w:szCs w:val="12"/>
                <w:color w:val="auto"/>
              </w:rPr>
              <w:t>)</w:t>
            </w:r>
          </w:p>
        </w:tc>
        <w:tc>
          <w:tcPr>
            <w:tcW w:w="4880" w:type="dxa"/>
            <w:vAlign w:val="bottom"/>
          </w:tcPr>
          <w:p>
            <w:pPr>
              <w:jc w:val="center"/>
              <w:ind w:left="3884"/>
              <w:spacing w:after="0"/>
              <w:rPr>
                <w:sz w:val="20"/>
                <w:szCs w:val="20"/>
                <w:color w:val="auto"/>
              </w:rPr>
            </w:pPr>
            <w:r>
              <w:rPr>
                <w:rFonts w:ascii="Times New Roman" w:cs="Times New Roman" w:eastAsia="Times New Roman" w:hAnsi="Times New Roman"/>
                <w:sz w:val="12"/>
                <w:szCs w:val="12"/>
                <w:i w:val="1"/>
                <w:iCs w:val="1"/>
                <w:color w:val="auto"/>
              </w:rPr>
              <w:t>Identification No.</w:t>
            </w:r>
            <w:r>
              <w:rPr>
                <w:rFonts w:ascii="Times New Roman" w:cs="Times New Roman" w:eastAsia="Times New Roman" w:hAnsi="Times New Roman"/>
                <w:sz w:val="12"/>
                <w:szCs w:val="12"/>
                <w:color w:val="auto"/>
              </w:rPr>
              <w:t>)</w:t>
            </w:r>
          </w:p>
        </w:tc>
      </w:tr>
      <w:tr>
        <w:trPr>
          <w:trHeight w:val="275"/>
        </w:trPr>
        <w:tc>
          <w:tcPr>
            <w:tcW w:w="1740" w:type="dxa"/>
            <w:vAlign w:val="bottom"/>
          </w:tcPr>
          <w:p>
            <w:pPr>
              <w:spacing w:after="0"/>
              <w:rPr>
                <w:sz w:val="23"/>
                <w:szCs w:val="23"/>
                <w:color w:val="auto"/>
              </w:rPr>
            </w:pPr>
          </w:p>
        </w:tc>
        <w:tc>
          <w:tcPr>
            <w:tcW w:w="4880" w:type="dxa"/>
            <w:vAlign w:val="bottom"/>
          </w:tcPr>
          <w:p>
            <w:pPr>
              <w:jc w:val="center"/>
              <w:ind w:right="724"/>
              <w:spacing w:after="0"/>
              <w:rPr>
                <w:sz w:val="20"/>
                <w:szCs w:val="20"/>
                <w:color w:val="auto"/>
              </w:rPr>
            </w:pPr>
            <w:r>
              <w:rPr>
                <w:rFonts w:ascii="Times New Roman" w:cs="Times New Roman" w:eastAsia="Times New Roman" w:hAnsi="Times New Roman"/>
                <w:sz w:val="15"/>
                <w:szCs w:val="15"/>
                <w:b w:val="1"/>
                <w:bCs w:val="1"/>
                <w:color w:val="auto"/>
              </w:rPr>
              <w:t>322 North 2200 West</w:t>
            </w:r>
          </w:p>
        </w:tc>
      </w:tr>
      <w:tr>
        <w:trPr>
          <w:trHeight w:val="161"/>
        </w:trPr>
        <w:tc>
          <w:tcPr>
            <w:tcW w:w="1740" w:type="dxa"/>
            <w:vAlign w:val="bottom"/>
          </w:tcPr>
          <w:p>
            <w:pPr>
              <w:spacing w:after="0"/>
              <w:rPr>
                <w:sz w:val="14"/>
                <w:szCs w:val="14"/>
                <w:color w:val="auto"/>
              </w:rPr>
            </w:pPr>
          </w:p>
        </w:tc>
        <w:tc>
          <w:tcPr>
            <w:tcW w:w="4880" w:type="dxa"/>
            <w:vAlign w:val="bottom"/>
          </w:tcPr>
          <w:p>
            <w:pPr>
              <w:jc w:val="center"/>
              <w:ind w:right="724"/>
              <w:spacing w:after="0" w:line="161" w:lineRule="exact"/>
              <w:rPr>
                <w:sz w:val="20"/>
                <w:szCs w:val="20"/>
                <w:color w:val="auto"/>
              </w:rPr>
            </w:pPr>
            <w:r>
              <w:rPr>
                <w:rFonts w:ascii="Times New Roman" w:cs="Times New Roman" w:eastAsia="Times New Roman" w:hAnsi="Times New Roman"/>
                <w:sz w:val="15"/>
                <w:szCs w:val="15"/>
                <w:b w:val="1"/>
                <w:bCs w:val="1"/>
                <w:color w:val="auto"/>
                <w:w w:val="99"/>
              </w:rPr>
              <w:t>Salt Lake City, Utah 84116</w:t>
            </w:r>
          </w:p>
        </w:tc>
      </w:tr>
      <w:tr>
        <w:trPr>
          <w:trHeight w:val="165"/>
        </w:trPr>
        <w:tc>
          <w:tcPr>
            <w:tcW w:w="1740" w:type="dxa"/>
            <w:vAlign w:val="bottom"/>
          </w:tcPr>
          <w:p>
            <w:pPr>
              <w:spacing w:after="0"/>
              <w:rPr>
                <w:sz w:val="14"/>
                <w:szCs w:val="14"/>
                <w:color w:val="auto"/>
              </w:rPr>
            </w:pPr>
          </w:p>
        </w:tc>
        <w:tc>
          <w:tcPr>
            <w:tcW w:w="4880" w:type="dxa"/>
            <w:vAlign w:val="bottom"/>
          </w:tcPr>
          <w:p>
            <w:pPr>
              <w:jc w:val="center"/>
              <w:ind w:right="70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Address of Principal Executive Offices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i w:val="1"/>
                <w:iCs w:val="1"/>
                <w:color w:val="auto"/>
              </w:rPr>
              <w:t>Zip Code)</w:t>
            </w:r>
          </w:p>
        </w:tc>
      </w:tr>
      <w:tr>
        <w:trPr>
          <w:trHeight w:val="675"/>
        </w:trPr>
        <w:tc>
          <w:tcPr>
            <w:tcW w:w="1740" w:type="dxa"/>
            <w:vAlign w:val="bottom"/>
          </w:tcPr>
          <w:p>
            <w:pPr>
              <w:spacing w:after="0"/>
              <w:rPr>
                <w:sz w:val="24"/>
                <w:szCs w:val="24"/>
                <w:color w:val="auto"/>
              </w:rPr>
            </w:pPr>
          </w:p>
        </w:tc>
        <w:tc>
          <w:tcPr>
            <w:tcW w:w="4880" w:type="dxa"/>
            <w:vAlign w:val="bottom"/>
          </w:tcPr>
          <w:p>
            <w:pPr>
              <w:jc w:val="center"/>
              <w:ind w:right="704"/>
              <w:spacing w:after="0"/>
              <w:rPr>
                <w:sz w:val="20"/>
                <w:szCs w:val="20"/>
                <w:color w:val="auto"/>
              </w:rPr>
            </w:pPr>
            <w:r>
              <w:rPr>
                <w:rFonts w:ascii="Times New Roman" w:cs="Times New Roman" w:eastAsia="Times New Roman" w:hAnsi="Times New Roman"/>
                <w:sz w:val="15"/>
                <w:szCs w:val="15"/>
                <w:b w:val="1"/>
                <w:bCs w:val="1"/>
                <w:color w:val="auto"/>
              </w:rPr>
              <w:t>MYRIAD GENETICS, INC. AMENDED AND RESTATED</w:t>
            </w:r>
          </w:p>
        </w:tc>
      </w:tr>
      <w:tr>
        <w:trPr>
          <w:trHeight w:val="161"/>
        </w:trPr>
        <w:tc>
          <w:tcPr>
            <w:tcW w:w="1740" w:type="dxa"/>
            <w:vAlign w:val="bottom"/>
          </w:tcPr>
          <w:p>
            <w:pPr>
              <w:spacing w:after="0"/>
              <w:rPr>
                <w:sz w:val="14"/>
                <w:szCs w:val="14"/>
                <w:color w:val="auto"/>
              </w:rPr>
            </w:pPr>
          </w:p>
        </w:tc>
        <w:tc>
          <w:tcPr>
            <w:tcW w:w="4880" w:type="dxa"/>
            <w:vAlign w:val="bottom"/>
          </w:tcPr>
          <w:p>
            <w:pPr>
              <w:jc w:val="center"/>
              <w:ind w:right="724"/>
              <w:spacing w:after="0" w:line="161" w:lineRule="exact"/>
              <w:rPr>
                <w:sz w:val="20"/>
                <w:szCs w:val="20"/>
                <w:color w:val="auto"/>
              </w:rPr>
            </w:pPr>
            <w:r>
              <w:rPr>
                <w:rFonts w:ascii="Times New Roman" w:cs="Times New Roman" w:eastAsia="Times New Roman" w:hAnsi="Times New Roman"/>
                <w:sz w:val="15"/>
                <w:szCs w:val="15"/>
                <w:b w:val="1"/>
                <w:bCs w:val="1"/>
                <w:color w:val="auto"/>
              </w:rPr>
              <w:t>2012 EMPLOYEE STOCK PURCHASE PLAN</w:t>
            </w:r>
          </w:p>
        </w:tc>
      </w:tr>
      <w:tr>
        <w:trPr>
          <w:trHeight w:val="165"/>
        </w:trPr>
        <w:tc>
          <w:tcPr>
            <w:tcW w:w="1740" w:type="dxa"/>
            <w:vAlign w:val="bottom"/>
          </w:tcPr>
          <w:p>
            <w:pPr>
              <w:spacing w:after="0"/>
              <w:rPr>
                <w:sz w:val="14"/>
                <w:szCs w:val="14"/>
                <w:color w:val="auto"/>
              </w:rPr>
            </w:pPr>
          </w:p>
        </w:tc>
        <w:tc>
          <w:tcPr>
            <w:tcW w:w="4880" w:type="dxa"/>
            <w:vAlign w:val="bottom"/>
          </w:tcPr>
          <w:p>
            <w:pPr>
              <w:jc w:val="center"/>
              <w:ind w:right="724"/>
              <w:spacing w:after="0"/>
              <w:rPr>
                <w:sz w:val="20"/>
                <w:szCs w:val="20"/>
                <w:color w:val="auto"/>
              </w:rPr>
            </w:pPr>
            <w:r>
              <w:rPr>
                <w:rFonts w:ascii="Times New Roman" w:cs="Times New Roman" w:eastAsia="Times New Roman" w:hAnsi="Times New Roman"/>
                <w:sz w:val="12"/>
                <w:szCs w:val="12"/>
                <w:i w:val="1"/>
                <w:iCs w:val="1"/>
                <w:color w:val="auto"/>
              </w:rPr>
              <w:t>(Full title of the plan)</w:t>
            </w:r>
          </w:p>
        </w:tc>
      </w:tr>
      <w:tr>
        <w:trPr>
          <w:trHeight w:val="368"/>
        </w:trPr>
        <w:tc>
          <w:tcPr>
            <w:tcW w:w="1740" w:type="dxa"/>
            <w:vAlign w:val="bottom"/>
          </w:tcPr>
          <w:p>
            <w:pPr>
              <w:spacing w:after="0"/>
              <w:rPr>
                <w:sz w:val="24"/>
                <w:szCs w:val="24"/>
                <w:color w:val="auto"/>
              </w:rPr>
            </w:pPr>
          </w:p>
        </w:tc>
        <w:tc>
          <w:tcPr>
            <w:tcW w:w="4880" w:type="dxa"/>
            <w:vAlign w:val="bottom"/>
          </w:tcPr>
          <w:p>
            <w:pPr>
              <w:jc w:val="center"/>
              <w:ind w:right="724"/>
              <w:spacing w:after="0"/>
              <w:rPr>
                <w:sz w:val="20"/>
                <w:szCs w:val="20"/>
                <w:color w:val="auto"/>
              </w:rPr>
            </w:pPr>
            <w:r>
              <w:rPr>
                <w:rFonts w:ascii="Times New Roman" w:cs="Times New Roman" w:eastAsia="Times New Roman" w:hAnsi="Times New Roman"/>
                <w:sz w:val="15"/>
                <w:szCs w:val="15"/>
                <w:b w:val="1"/>
                <w:bCs w:val="1"/>
                <w:color w:val="auto"/>
              </w:rPr>
              <w:t>SAMRAAT S. RAHA</w:t>
            </w:r>
          </w:p>
        </w:tc>
      </w:tr>
      <w:tr>
        <w:trPr>
          <w:trHeight w:val="160"/>
        </w:trPr>
        <w:tc>
          <w:tcPr>
            <w:tcW w:w="1740" w:type="dxa"/>
            <w:vAlign w:val="bottom"/>
          </w:tcPr>
          <w:p>
            <w:pPr>
              <w:spacing w:after="0"/>
              <w:rPr>
                <w:sz w:val="13"/>
                <w:szCs w:val="13"/>
                <w:color w:val="auto"/>
              </w:rPr>
            </w:pPr>
          </w:p>
        </w:tc>
        <w:tc>
          <w:tcPr>
            <w:tcW w:w="4880" w:type="dxa"/>
            <w:vAlign w:val="bottom"/>
          </w:tcPr>
          <w:p>
            <w:pPr>
              <w:jc w:val="center"/>
              <w:ind w:right="724"/>
              <w:spacing w:after="0" w:line="161" w:lineRule="exact"/>
              <w:rPr>
                <w:sz w:val="20"/>
                <w:szCs w:val="20"/>
                <w:color w:val="auto"/>
              </w:rPr>
            </w:pPr>
            <w:r>
              <w:rPr>
                <w:rFonts w:ascii="Times New Roman" w:cs="Times New Roman" w:eastAsia="Times New Roman" w:hAnsi="Times New Roman"/>
                <w:sz w:val="15"/>
                <w:szCs w:val="15"/>
                <w:b w:val="1"/>
                <w:bCs w:val="1"/>
                <w:color w:val="auto"/>
              </w:rPr>
              <w:t>PRESIDENT AND CHIEF EXECUTIVE OFFICER</w:t>
            </w:r>
          </w:p>
        </w:tc>
      </w:tr>
      <w:tr>
        <w:trPr>
          <w:trHeight w:val="160"/>
        </w:trPr>
        <w:tc>
          <w:tcPr>
            <w:tcW w:w="1740" w:type="dxa"/>
            <w:vAlign w:val="bottom"/>
          </w:tcPr>
          <w:p>
            <w:pPr>
              <w:spacing w:after="0"/>
              <w:rPr>
                <w:sz w:val="13"/>
                <w:szCs w:val="13"/>
                <w:color w:val="auto"/>
              </w:rPr>
            </w:pPr>
          </w:p>
        </w:tc>
        <w:tc>
          <w:tcPr>
            <w:tcW w:w="4880" w:type="dxa"/>
            <w:vAlign w:val="bottom"/>
          </w:tcPr>
          <w:p>
            <w:pPr>
              <w:jc w:val="center"/>
              <w:ind w:right="724"/>
              <w:spacing w:after="0" w:line="161" w:lineRule="exact"/>
              <w:rPr>
                <w:sz w:val="20"/>
                <w:szCs w:val="20"/>
                <w:color w:val="auto"/>
              </w:rPr>
            </w:pPr>
            <w:r>
              <w:rPr>
                <w:rFonts w:ascii="Times New Roman" w:cs="Times New Roman" w:eastAsia="Times New Roman" w:hAnsi="Times New Roman"/>
                <w:sz w:val="15"/>
                <w:szCs w:val="15"/>
                <w:b w:val="1"/>
                <w:bCs w:val="1"/>
                <w:color w:val="auto"/>
              </w:rPr>
              <w:t>MYRIAD GENETICS, INC.</w:t>
            </w:r>
          </w:p>
        </w:tc>
      </w:tr>
      <w:tr>
        <w:trPr>
          <w:trHeight w:val="160"/>
        </w:trPr>
        <w:tc>
          <w:tcPr>
            <w:tcW w:w="1740" w:type="dxa"/>
            <w:vAlign w:val="bottom"/>
          </w:tcPr>
          <w:p>
            <w:pPr>
              <w:spacing w:after="0"/>
              <w:rPr>
                <w:sz w:val="13"/>
                <w:szCs w:val="13"/>
                <w:color w:val="auto"/>
              </w:rPr>
            </w:pPr>
          </w:p>
        </w:tc>
        <w:tc>
          <w:tcPr>
            <w:tcW w:w="4880" w:type="dxa"/>
            <w:vAlign w:val="bottom"/>
          </w:tcPr>
          <w:p>
            <w:pPr>
              <w:jc w:val="center"/>
              <w:ind w:right="724"/>
              <w:spacing w:after="0" w:line="161" w:lineRule="exact"/>
              <w:rPr>
                <w:sz w:val="20"/>
                <w:szCs w:val="20"/>
                <w:color w:val="auto"/>
              </w:rPr>
            </w:pPr>
            <w:r>
              <w:rPr>
                <w:rFonts w:ascii="Times New Roman" w:cs="Times New Roman" w:eastAsia="Times New Roman" w:hAnsi="Times New Roman"/>
                <w:sz w:val="15"/>
                <w:szCs w:val="15"/>
                <w:b w:val="1"/>
                <w:bCs w:val="1"/>
                <w:color w:val="auto"/>
              </w:rPr>
              <w:t>322 North 2200 West</w:t>
            </w:r>
          </w:p>
        </w:tc>
      </w:tr>
      <w:tr>
        <w:trPr>
          <w:trHeight w:val="160"/>
        </w:trPr>
        <w:tc>
          <w:tcPr>
            <w:tcW w:w="1740" w:type="dxa"/>
            <w:vAlign w:val="bottom"/>
          </w:tcPr>
          <w:p>
            <w:pPr>
              <w:spacing w:after="0"/>
              <w:rPr>
                <w:sz w:val="13"/>
                <w:szCs w:val="13"/>
                <w:color w:val="auto"/>
              </w:rPr>
            </w:pPr>
          </w:p>
        </w:tc>
        <w:tc>
          <w:tcPr>
            <w:tcW w:w="4880" w:type="dxa"/>
            <w:vAlign w:val="bottom"/>
          </w:tcPr>
          <w:p>
            <w:pPr>
              <w:jc w:val="center"/>
              <w:ind w:right="724"/>
              <w:spacing w:after="0" w:line="161" w:lineRule="exact"/>
              <w:rPr>
                <w:sz w:val="20"/>
                <w:szCs w:val="20"/>
                <w:color w:val="auto"/>
              </w:rPr>
            </w:pPr>
            <w:r>
              <w:rPr>
                <w:rFonts w:ascii="Times New Roman" w:cs="Times New Roman" w:eastAsia="Times New Roman" w:hAnsi="Times New Roman"/>
                <w:sz w:val="15"/>
                <w:szCs w:val="15"/>
                <w:b w:val="1"/>
                <w:bCs w:val="1"/>
                <w:color w:val="auto"/>
                <w:w w:val="99"/>
              </w:rPr>
              <w:t>Salt Lake City, Utah 84116</w:t>
            </w:r>
          </w:p>
        </w:tc>
      </w:tr>
      <w:tr>
        <w:trPr>
          <w:trHeight w:val="155"/>
        </w:trPr>
        <w:tc>
          <w:tcPr>
            <w:tcW w:w="1740" w:type="dxa"/>
            <w:vAlign w:val="bottom"/>
          </w:tcPr>
          <w:p>
            <w:pPr>
              <w:spacing w:after="0"/>
              <w:rPr>
                <w:sz w:val="13"/>
                <w:szCs w:val="13"/>
                <w:color w:val="auto"/>
              </w:rPr>
            </w:pPr>
          </w:p>
        </w:tc>
        <w:tc>
          <w:tcPr>
            <w:tcW w:w="4880" w:type="dxa"/>
            <w:vAlign w:val="bottom"/>
          </w:tcPr>
          <w:p>
            <w:pPr>
              <w:jc w:val="center"/>
              <w:ind w:right="704"/>
              <w:spacing w:after="0" w:line="155" w:lineRule="exact"/>
              <w:rPr>
                <w:sz w:val="20"/>
                <w:szCs w:val="20"/>
                <w:color w:val="auto"/>
              </w:rPr>
            </w:pPr>
            <w:r>
              <w:rPr>
                <w:rFonts w:ascii="Times New Roman" w:cs="Times New Roman" w:eastAsia="Times New Roman" w:hAnsi="Times New Roman"/>
                <w:sz w:val="15"/>
                <w:szCs w:val="15"/>
                <w:b w:val="1"/>
                <w:bCs w:val="1"/>
                <w:color w:val="auto"/>
              </w:rPr>
              <w:t>(801) 584-3600</w:t>
            </w:r>
          </w:p>
        </w:tc>
      </w:tr>
      <w:tr>
        <w:trPr>
          <w:trHeight w:val="146"/>
        </w:trPr>
        <w:tc>
          <w:tcPr>
            <w:tcW w:w="1740" w:type="dxa"/>
            <w:vAlign w:val="bottom"/>
          </w:tcPr>
          <w:p>
            <w:pPr>
              <w:spacing w:after="0"/>
              <w:rPr>
                <w:sz w:val="12"/>
                <w:szCs w:val="12"/>
                <w:color w:val="auto"/>
              </w:rPr>
            </w:pPr>
          </w:p>
        </w:tc>
        <w:tc>
          <w:tcPr>
            <w:tcW w:w="4880" w:type="dxa"/>
            <w:vAlign w:val="bottom"/>
          </w:tcPr>
          <w:p>
            <w:pPr>
              <w:jc w:val="center"/>
              <w:ind w:right="704"/>
              <w:spacing w:after="0" w:line="14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Name and address of agent for service</w:t>
            </w:r>
            <w:r>
              <w:rPr>
                <w:rFonts w:ascii="Times New Roman" w:cs="Times New Roman" w:eastAsia="Times New Roman" w:hAnsi="Times New Roman"/>
                <w:sz w:val="13"/>
                <w:szCs w:val="13"/>
                <w:color w:val="auto"/>
              </w:rPr>
              <w:t>)</w:t>
            </w:r>
          </w:p>
        </w:tc>
      </w:tr>
      <w:tr>
        <w:trPr>
          <w:trHeight w:val="175"/>
        </w:trPr>
        <w:tc>
          <w:tcPr>
            <w:tcW w:w="1740" w:type="dxa"/>
            <w:vAlign w:val="bottom"/>
          </w:tcPr>
          <w:p>
            <w:pPr>
              <w:spacing w:after="0"/>
              <w:rPr>
                <w:sz w:val="15"/>
                <w:szCs w:val="15"/>
                <w:color w:val="auto"/>
              </w:rPr>
            </w:pPr>
          </w:p>
        </w:tc>
        <w:tc>
          <w:tcPr>
            <w:tcW w:w="4880" w:type="dxa"/>
            <w:vAlign w:val="bottom"/>
          </w:tcPr>
          <w:p>
            <w:pPr>
              <w:jc w:val="center"/>
              <w:ind w:right="704"/>
              <w:spacing w:after="0"/>
              <w:rPr>
                <w:sz w:val="20"/>
                <w:szCs w:val="20"/>
                <w:color w:val="auto"/>
              </w:rPr>
            </w:pPr>
            <w:r>
              <w:rPr>
                <w:rFonts w:ascii="Times New Roman" w:cs="Times New Roman" w:eastAsia="Times New Roman" w:hAnsi="Times New Roman"/>
                <w:sz w:val="13"/>
                <w:szCs w:val="13"/>
                <w:i w:val="1"/>
                <w:iCs w:val="1"/>
                <w:color w:val="auto"/>
              </w:rPr>
              <w:t>(Telephone number, including area code, of agent for service)</w:t>
            </w:r>
          </w:p>
        </w:tc>
      </w:tr>
    </w:tbl>
    <w:p>
      <w:pPr>
        <w:spacing w:after="0" w:line="223" w:lineRule="exact"/>
        <w:rPr>
          <w:sz w:val="24"/>
          <w:szCs w:val="24"/>
          <w:color w:val="auto"/>
        </w:rPr>
      </w:pPr>
    </w:p>
    <w:p>
      <w:pPr>
        <w:ind w:right="120"/>
        <w:spacing w:after="0" w:line="31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920" w:type="dxa"/>
            <w:vAlign w:val="bottom"/>
          </w:tcPr>
          <w:p>
            <w:pPr>
              <w:jc w:val="right"/>
              <w:ind w:right="2024"/>
              <w:spacing w:after="0"/>
              <w:rPr>
                <w:sz w:val="20"/>
                <w:szCs w:val="20"/>
                <w:color w:val="auto"/>
              </w:rPr>
            </w:pPr>
            <w:r>
              <w:rPr>
                <w:rFonts w:ascii="Times New Roman" w:cs="Times New Roman" w:eastAsia="Times New Roman" w:hAnsi="Times New Roman"/>
                <w:sz w:val="15"/>
                <w:szCs w:val="15"/>
                <w:color w:val="auto"/>
              </w:rPr>
              <w:t>[ ]</w:t>
            </w:r>
          </w:p>
        </w:tc>
        <w:tc>
          <w:tcPr>
            <w:tcW w:w="4540" w:type="dxa"/>
            <w:vAlign w:val="bottom"/>
          </w:tcPr>
          <w:p>
            <w:pPr>
              <w:ind w:left="2100"/>
              <w:spacing w:after="0"/>
              <w:rPr>
                <w:sz w:val="20"/>
                <w:szCs w:val="20"/>
                <w:color w:val="auto"/>
              </w:rPr>
            </w:pPr>
            <w:r>
              <w:rPr>
                <w:rFonts w:ascii="Times New Roman" w:cs="Times New Roman" w:eastAsia="Times New Roman" w:hAnsi="Times New Roman"/>
                <w:sz w:val="15"/>
                <w:szCs w:val="15"/>
                <w:color w:val="auto"/>
              </w:rPr>
              <w:t>Accelerated filer</w:t>
            </w:r>
          </w:p>
        </w:tc>
        <w:tc>
          <w:tcPr>
            <w:tcW w:w="1000" w:type="dxa"/>
            <w:vAlign w:val="bottom"/>
          </w:tcPr>
          <w:p>
            <w:pPr>
              <w:ind w:left="800"/>
              <w:spacing w:after="0"/>
              <w:rPr>
                <w:sz w:val="20"/>
                <w:szCs w:val="20"/>
                <w:color w:val="auto"/>
              </w:rPr>
            </w:pPr>
            <w:r>
              <w:rPr>
                <w:rFonts w:ascii="Times New Roman" w:cs="Times New Roman" w:eastAsia="Times New Roman" w:hAnsi="Times New Roman"/>
                <w:sz w:val="15"/>
                <w:szCs w:val="15"/>
                <w:color w:val="auto"/>
                <w:w w:val="86"/>
              </w:rPr>
              <w:t>[X]</w:t>
            </w:r>
          </w:p>
        </w:tc>
      </w:tr>
      <w:tr>
        <w:trPr>
          <w:trHeight w:val="334"/>
        </w:trPr>
        <w:tc>
          <w:tcPr>
            <w:tcW w:w="206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920" w:type="dxa"/>
            <w:vAlign w:val="bottom"/>
          </w:tcPr>
          <w:p>
            <w:pPr>
              <w:jc w:val="right"/>
              <w:ind w:right="2024"/>
              <w:spacing w:after="0"/>
              <w:rPr>
                <w:sz w:val="20"/>
                <w:szCs w:val="20"/>
                <w:color w:val="auto"/>
              </w:rPr>
            </w:pPr>
            <w:r>
              <w:rPr>
                <w:rFonts w:ascii="Times New Roman" w:cs="Times New Roman" w:eastAsia="Times New Roman" w:hAnsi="Times New Roman"/>
                <w:sz w:val="15"/>
                <w:szCs w:val="15"/>
                <w:color w:val="auto"/>
              </w:rPr>
              <w:t>[ ]</w:t>
            </w:r>
          </w:p>
        </w:tc>
        <w:tc>
          <w:tcPr>
            <w:tcW w:w="4540" w:type="dxa"/>
            <w:vAlign w:val="bottom"/>
          </w:tcPr>
          <w:p>
            <w:pPr>
              <w:ind w:left="21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0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 ]</w:t>
            </w:r>
          </w:p>
        </w:tc>
      </w:tr>
      <w:tr>
        <w:trPr>
          <w:trHeight w:val="334"/>
        </w:trPr>
        <w:tc>
          <w:tcPr>
            <w:tcW w:w="2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4540" w:type="dxa"/>
            <w:vAlign w:val="bottom"/>
          </w:tcPr>
          <w:p>
            <w:pPr>
              <w:ind w:left="2100"/>
              <w:spacing w:after="0"/>
              <w:rPr>
                <w:sz w:val="20"/>
                <w:szCs w:val="20"/>
                <w:color w:val="auto"/>
              </w:rPr>
            </w:pPr>
            <w:r>
              <w:rPr>
                <w:rFonts w:ascii="Times New Roman" w:cs="Times New Roman" w:eastAsia="Times New Roman" w:hAnsi="Times New Roman"/>
                <w:sz w:val="15"/>
                <w:szCs w:val="15"/>
                <w:color w:val="auto"/>
              </w:rPr>
              <w:t>Emerging growth company</w:t>
            </w:r>
          </w:p>
        </w:tc>
        <w:tc>
          <w:tcPr>
            <w:tcW w:w="1000" w:type="dxa"/>
            <w:vAlign w:val="bottom"/>
          </w:tcPr>
          <w:p>
            <w:pPr>
              <w:ind w:left="800"/>
              <w:spacing w:after="0"/>
              <w:rPr>
                <w:sz w:val="20"/>
                <w:szCs w:val="20"/>
                <w:color w:val="auto"/>
              </w:rPr>
            </w:pPr>
            <w:r>
              <w:rPr>
                <w:rFonts w:ascii="Times New Roman" w:cs="Times New Roman" w:eastAsia="Times New Roman" w:hAnsi="Times New Roman"/>
                <w:sz w:val="15"/>
                <w:szCs w:val="15"/>
                <w:color w:val="auto"/>
              </w:rPr>
              <w:t>[ ]</w:t>
            </w:r>
          </w:p>
        </w:tc>
      </w:tr>
    </w:tbl>
    <w:p>
      <w:pPr>
        <w:spacing w:after="0" w:line="164" w:lineRule="exact"/>
        <w:rPr>
          <w:sz w:val="24"/>
          <w:szCs w:val="24"/>
          <w:color w:val="auto"/>
        </w:rPr>
      </w:pPr>
    </w:p>
    <w:p>
      <w:pPr>
        <w:spacing w:after="0" w:line="405" w:lineRule="auto"/>
        <w:rPr>
          <w:sz w:val="20"/>
          <w:szCs w:val="20"/>
          <w:color w:val="auto"/>
        </w:rPr>
      </w:pPr>
      <w:r>
        <w:rPr>
          <w:rFonts w:ascii="Times New Roman" w:cs="Times New Roman" w:eastAsia="Times New Roman" w:hAnsi="Times New Roman"/>
          <w:sz w:val="15"/>
          <w:szCs w:val="15"/>
          <w:color w:val="auto"/>
        </w:rPr>
        <w:t>If an emerging growth company, indicate by check mark if the registrant has elected not to use the extended transition period for complying with any new or revised financial accounting standards provided pursuant to Section 7(a)(2)(B) of the Securities Act. [ ]</w:t>
      </w:r>
    </w:p>
    <w:p>
      <w:pPr>
        <w:sectPr>
          <w:pgSz w:w="11900" w:h="16838" w:orient="portrait"/>
          <w:cols w:equalWidth="0" w:num="1">
            <w:col w:w="11240"/>
          </w:cols>
          <w:pgMar w:left="320" w:top="1440" w:right="339" w:bottom="1440" w:gutter="0" w:footer="0" w:header="0"/>
        </w:sectPr>
      </w:pPr>
    </w:p>
    <w:bookmarkStart w:id="1" w:name="page2"/>
    <w:bookmarkEnd w:id="1"/>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EXPLANATORY NOTE</w:t>
      </w:r>
    </w:p>
    <w:p>
      <w:pPr>
        <w:spacing w:after="0" w:line="255"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This Registration Statement on Form S-8 registers 4,000,000 additional shares of common stock, par value $0.01 per share (“Common Stock”), for issuance under the Myriad Genetics, Inc. Amended and Restated 2012 Employee Stock Purchase Plan (the “Purchase Plan”), which was approved by the stockholders of Myriad Genetics, Inc. (the “Registrant”) at its annual meeting of stockholders on June 4, 2026. The Purchase Plan provides eligible employees with an opportunity to purchase shares of Common Stock, at a discount, on a tax-favored basis through payroll deductions in compliance with Section 423 of the Internal Revenue Code of 1986, as amended.</w:t>
      </w:r>
    </w:p>
    <w:p>
      <w:pPr>
        <w:spacing w:after="0" w:line="218"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This Registration Statement registers additional securities of the same class as other securities for which the registration statements filed on Form S-8 (SEC File Nos. 333-185325 and 333-265441) of the Registrant are effective. The information contained in the Registrant’s registration statements on Form S-8 (SEC File Nos. 333-185325 and 333-265441), except for Part II, Item 3 “Incorporation of Documents by Reference”, Item 6 “Indemnification of Directors and Officers” and Item 8 “Exhibits”, is hereby incorporated by reference pursuant to General Instruction E of Form S-8.</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8"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INFORMATION REQUIRED IN THE REGISTRATION STATEMENT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3. Incorporation of Documents by Reference</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Registrant hereby incorporates by reference into this Registration Statement the following documents previously filed by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Registrant with the Securities and Exchange Commission (the “Commission”):</w:t>
      </w:r>
    </w:p>
    <w:p>
      <w:pPr>
        <w:spacing w:after="0" w:line="224" w:lineRule="exact"/>
        <w:rPr>
          <w:sz w:val="20"/>
          <w:szCs w:val="20"/>
          <w:color w:val="auto"/>
        </w:rPr>
      </w:pPr>
    </w:p>
    <w:p>
      <w:pPr>
        <w:ind w:left="640" w:hanging="313"/>
        <w:spacing w:after="0" w:line="276" w:lineRule="auto"/>
        <w:tabs>
          <w:tab w:leader="none" w:pos="630" w:val="left"/>
        </w:tabs>
        <w:numPr>
          <w:ilvl w:val="0"/>
          <w:numId w:val="1"/>
        </w:numPr>
        <w:rPr>
          <w:rFonts w:ascii="Times New Roman" w:cs="Times New Roman" w:eastAsia="Times New Roman" w:hAnsi="Times New Roman"/>
          <w:sz w:val="20"/>
          <w:szCs w:val="20"/>
          <w:color w:val="0000FF"/>
        </w:rPr>
      </w:pPr>
      <w:hyperlink r:id="rId8">
        <w:r>
          <w:rPr>
            <w:rFonts w:ascii="Times New Roman" w:cs="Times New Roman" w:eastAsia="Times New Roman" w:hAnsi="Times New Roman"/>
            <w:sz w:val="20"/>
            <w:szCs w:val="20"/>
            <w:u w:val="single" w:color="auto"/>
            <w:color w:val="0000FF"/>
          </w:rPr>
          <w:t>the Registrant’s Annual Report on Form 10-K for the fiscal year ended December 31, 2025 filed with the Commission on February 24,</w:t>
        </w:r>
      </w:hyperlink>
      <w:r>
        <w:rPr>
          <w:rFonts w:ascii="Times New Roman" w:cs="Times New Roman" w:eastAsia="Times New Roman" w:hAnsi="Times New Roman"/>
          <w:sz w:val="20"/>
          <w:szCs w:val="20"/>
          <w:u w:val="single" w:color="auto"/>
          <w:color w:val="0000FF"/>
        </w:rPr>
        <w:t xml:space="preserve"> </w:t>
      </w:r>
      <w:hyperlink r:id="rId8">
        <w:r>
          <w:rPr>
            <w:rFonts w:ascii="Times New Roman" w:cs="Times New Roman" w:eastAsia="Times New Roman" w:hAnsi="Times New Roman"/>
            <w:sz w:val="20"/>
            <w:szCs w:val="20"/>
            <w:u w:val="single" w:color="auto"/>
            <w:color w:val="0000FF"/>
          </w:rPr>
          <w:t>2026</w:t>
        </w:r>
        <w:r>
          <w:rPr>
            <w:rFonts w:ascii="Times New Roman" w:cs="Times New Roman" w:eastAsia="Times New Roman" w:hAnsi="Times New Roman"/>
            <w:sz w:val="20"/>
            <w:szCs w:val="20"/>
            <w:color w:val="000000"/>
          </w:rPr>
          <w:t>;</w:t>
        </w:r>
      </w:hyperlink>
    </w:p>
    <w:p>
      <w:pPr>
        <w:spacing w:after="0" w:line="179" w:lineRule="exact"/>
        <w:rPr>
          <w:rFonts w:ascii="Times New Roman" w:cs="Times New Roman" w:eastAsia="Times New Roman" w:hAnsi="Times New Roman"/>
          <w:sz w:val="20"/>
          <w:szCs w:val="20"/>
          <w:color w:val="0000FF"/>
        </w:rPr>
      </w:pPr>
    </w:p>
    <w:p>
      <w:pPr>
        <w:ind w:left="640" w:hanging="313"/>
        <w:spacing w:after="0"/>
        <w:tabs>
          <w:tab w:leader="none" w:pos="640" w:val="left"/>
        </w:tabs>
        <w:numPr>
          <w:ilvl w:val="0"/>
          <w:numId w:val="1"/>
        </w:numPr>
        <w:rPr>
          <w:rFonts w:ascii="Times New Roman" w:cs="Times New Roman" w:eastAsia="Times New Roman" w:hAnsi="Times New Roman"/>
          <w:sz w:val="20"/>
          <w:szCs w:val="20"/>
          <w:color w:val="0000FF"/>
        </w:rPr>
      </w:pPr>
      <w:hyperlink r:id="rId9">
        <w:r>
          <w:rPr>
            <w:rFonts w:ascii="Times New Roman" w:cs="Times New Roman" w:eastAsia="Times New Roman" w:hAnsi="Times New Roman"/>
            <w:sz w:val="20"/>
            <w:szCs w:val="20"/>
            <w:u w:val="single" w:color="auto"/>
            <w:color w:val="0000FF"/>
          </w:rPr>
          <w:t>the Registrant’s Quarterly Report on Form 10-Q for the quarter ended March 31, 2026 filed with the Commission on May 6, 2026</w:t>
        </w:r>
      </w:hyperlink>
      <w:r>
        <w:rPr>
          <w:rFonts w:ascii="Times New Roman" w:cs="Times New Roman" w:eastAsia="Times New Roman" w:hAnsi="Times New Roman"/>
          <w:sz w:val="20"/>
          <w:szCs w:val="20"/>
          <w:color w:val="000000"/>
        </w:rPr>
        <w:t>;</w:t>
      </w:r>
    </w:p>
    <w:p>
      <w:pPr>
        <w:spacing w:after="0" w:line="250" w:lineRule="exact"/>
        <w:rPr>
          <w:rFonts w:ascii="Times New Roman" w:cs="Times New Roman" w:eastAsia="Times New Roman" w:hAnsi="Times New Roman"/>
          <w:sz w:val="20"/>
          <w:szCs w:val="20"/>
          <w:color w:val="0000FF"/>
        </w:rPr>
      </w:pPr>
    </w:p>
    <w:p>
      <w:pPr>
        <w:jc w:val="both"/>
        <w:ind w:left="640" w:hanging="313"/>
        <w:spacing w:after="0" w:line="256" w:lineRule="auto"/>
        <w:tabs>
          <w:tab w:leader="none" w:pos="630" w:val="left"/>
        </w:tabs>
        <w:numPr>
          <w:ilvl w:val="0"/>
          <w:numId w:val="1"/>
        </w:numPr>
        <w:rPr>
          <w:rFonts w:ascii="Times New Roman" w:cs="Times New Roman" w:eastAsia="Times New Roman" w:hAnsi="Times New Roman"/>
          <w:sz w:val="20"/>
          <w:szCs w:val="20"/>
          <w:color w:val="0000FF"/>
        </w:rPr>
      </w:pPr>
      <w:hyperlink r:id="rId10">
        <w:r>
          <w:rPr>
            <w:rFonts w:ascii="Times New Roman" w:cs="Times New Roman" w:eastAsia="Times New Roman" w:hAnsi="Times New Roman"/>
            <w:sz w:val="20"/>
            <w:szCs w:val="20"/>
            <w:u w:val="single" w:color="auto"/>
            <w:color w:val="0000FF"/>
          </w:rPr>
          <w:t>the Registrant’s Definitive Proxy Statement on Schedule 14A, filed with the Commission on April 14, 2026 (</w:t>
        </w:r>
      </w:hyperlink>
      <w:r>
        <w:rPr>
          <w:rFonts w:ascii="Times New Roman" w:cs="Times New Roman" w:eastAsia="Times New Roman" w:hAnsi="Times New Roman"/>
          <w:sz w:val="20"/>
          <w:szCs w:val="20"/>
          <w:color w:val="000000"/>
        </w:rPr>
        <w:t>excluding</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those portions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that are not incorporated by reference into the Registrant’s Annual Report on Form 10-K for the fiscal year ended December 31, 2025); and</w:t>
      </w:r>
    </w:p>
    <w:p>
      <w:pPr>
        <w:spacing w:after="0" w:line="212" w:lineRule="exact"/>
        <w:rPr>
          <w:rFonts w:ascii="Times New Roman" w:cs="Times New Roman" w:eastAsia="Times New Roman" w:hAnsi="Times New Roman"/>
          <w:sz w:val="20"/>
          <w:szCs w:val="20"/>
          <w:color w:val="0000FF"/>
        </w:rPr>
      </w:pPr>
    </w:p>
    <w:p>
      <w:pPr>
        <w:jc w:val="both"/>
        <w:ind w:left="640" w:hanging="313"/>
        <w:spacing w:after="0" w:line="250" w:lineRule="auto"/>
        <w:tabs>
          <w:tab w:leader="none" w:pos="628" w:val="left"/>
        </w:tabs>
        <w:numPr>
          <w:ilvl w:val="0"/>
          <w:numId w:val="1"/>
        </w:numPr>
        <w:rPr>
          <w:rFonts w:ascii="Times New Roman" w:cs="Times New Roman" w:eastAsia="Times New Roman" w:hAnsi="Times New Roman"/>
          <w:sz w:val="20"/>
          <w:szCs w:val="20"/>
          <w:color w:val="0000FF"/>
        </w:rPr>
      </w:pPr>
      <w:hyperlink r:id="rId11">
        <w:r>
          <w:rPr>
            <w:rFonts w:ascii="Times New Roman" w:cs="Times New Roman" w:eastAsia="Times New Roman" w:hAnsi="Times New Roman"/>
            <w:sz w:val="20"/>
            <w:szCs w:val="20"/>
            <w:u w:val="single" w:color="auto"/>
            <w:color w:val="0000FF"/>
          </w:rPr>
          <w:t>the description of the Registrant’s common stock included in the description of securities filed as Exhibit 4.2 to the Registrant’s</w:t>
        </w:r>
      </w:hyperlink>
      <w:r>
        <w:rPr>
          <w:rFonts w:ascii="Times New Roman" w:cs="Times New Roman" w:eastAsia="Times New Roman" w:hAnsi="Times New Roman"/>
          <w:sz w:val="20"/>
          <w:szCs w:val="20"/>
          <w:u w:val="single" w:color="auto"/>
          <w:color w:val="0000FF"/>
        </w:rPr>
        <w:t xml:space="preserve"> </w:t>
      </w:r>
      <w:hyperlink r:id="rId11">
        <w:r>
          <w:rPr>
            <w:rFonts w:ascii="Times New Roman" w:cs="Times New Roman" w:eastAsia="Times New Roman" w:hAnsi="Times New Roman"/>
            <w:sz w:val="20"/>
            <w:szCs w:val="20"/>
            <w:u w:val="single" w:color="auto"/>
            <w:color w:val="0000FF"/>
          </w:rPr>
          <w:t>Annual Report on Form 10-KT for the transition period ended December 31, 2020, filed with the Commission on March 16, 2021</w:t>
        </w:r>
        <w:r>
          <w:rPr>
            <w:rFonts w:ascii="Times New Roman" w:cs="Times New Roman" w:eastAsia="Times New Roman" w:hAnsi="Times New Roman"/>
            <w:sz w:val="20"/>
            <w:szCs w:val="20"/>
            <w:color w:val="000000"/>
          </w:rPr>
          <w:t>, as</w:t>
        </w:r>
      </w:hyperlink>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such description has been amended, and any amendment or report the Registrant may file with the Commission for the purpose of updating such description.</w:t>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641"/>
        <w:spacing w:after="0" w:line="248" w:lineRule="auto"/>
        <w:rPr>
          <w:sz w:val="20"/>
          <w:szCs w:val="20"/>
          <w:color w:val="auto"/>
        </w:rPr>
      </w:pPr>
      <w:r>
        <w:rPr>
          <w:rFonts w:ascii="Times New Roman" w:cs="Times New Roman" w:eastAsia="Times New Roman" w:hAnsi="Times New Roman"/>
          <w:sz w:val="20"/>
          <w:szCs w:val="20"/>
          <w:color w:val="auto"/>
        </w:rPr>
        <w:t>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Item 6. Indemnification of Directors and Officers</w:t>
      </w:r>
      <w:r>
        <w:rPr>
          <w:rFonts w:ascii="Times New Roman" w:cs="Times New Roman" w:eastAsia="Times New Roman" w:hAnsi="Times New Roman"/>
          <w:sz w:val="20"/>
          <w:szCs w:val="20"/>
          <w:color w:val="auto"/>
        </w:rPr>
        <w:t>.</w:t>
      </w:r>
    </w:p>
    <w:p>
      <w:pPr>
        <w:spacing w:after="0" w:line="251" w:lineRule="exact"/>
        <w:rPr>
          <w:sz w:val="20"/>
          <w:szCs w:val="20"/>
          <w:color w:val="auto"/>
        </w:rPr>
      </w:pPr>
    </w:p>
    <w:p>
      <w:pPr>
        <w:jc w:val="both"/>
        <w:ind w:firstLine="641"/>
        <w:spacing w:after="0" w:line="248" w:lineRule="auto"/>
        <w:rPr>
          <w:sz w:val="20"/>
          <w:szCs w:val="20"/>
          <w:color w:val="auto"/>
        </w:rPr>
      </w:pPr>
      <w:r>
        <w:rPr>
          <w:rFonts w:ascii="Times New Roman" w:cs="Times New Roman" w:eastAsia="Times New Roman" w:hAnsi="Times New Roman"/>
          <w:sz w:val="20"/>
          <w:szCs w:val="20"/>
          <w:color w:val="auto"/>
        </w:rPr>
        <w:t>Section 145(a) of the General Corporation Law of the State of Delaware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or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cause to believe the person’s conduct was unlawful.</w:t>
      </w:r>
    </w:p>
    <w:p>
      <w:pPr>
        <w:spacing w:after="0" w:line="209" w:lineRule="exact"/>
        <w:rPr>
          <w:sz w:val="20"/>
          <w:szCs w:val="20"/>
          <w:color w:val="auto"/>
        </w:rPr>
      </w:pPr>
    </w:p>
    <w:p>
      <w:pPr>
        <w:jc w:val="both"/>
        <w:ind w:firstLine="641"/>
        <w:spacing w:after="0" w:line="280" w:lineRule="auto"/>
        <w:rPr>
          <w:sz w:val="20"/>
          <w:szCs w:val="20"/>
          <w:color w:val="auto"/>
        </w:rPr>
      </w:pPr>
      <w:r>
        <w:rPr>
          <w:rFonts w:ascii="Times New Roman" w:cs="Times New Roman" w:eastAsia="Times New Roman" w:hAnsi="Times New Roman"/>
          <w:sz w:val="18"/>
          <w:szCs w:val="18"/>
          <w:color w:val="auto"/>
        </w:rPr>
        <w:t>Section 145(b)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the person in connection with the defense or settlement of such action or suit if the person acted under similar standards,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ectPr>
          <w:pgSz w:w="11900" w:h="16838" w:orient="portrait"/>
          <w:cols w:equalWidth="0" w:num="1">
            <w:col w:w="11240"/>
          </w:cols>
          <w:pgMar w:left="320" w:top="1399" w:right="339" w:bottom="1440" w:gutter="0" w:footer="0" w:header="0"/>
        </w:sectPr>
      </w:pPr>
    </w:p>
    <w:bookmarkStart w:id="3" w:name="page4"/>
    <w:bookmarkEnd w:id="3"/>
    <w:p>
      <w:pPr>
        <w:jc w:val="both"/>
        <w:ind w:firstLine="641"/>
        <w:spacing w:after="0" w:line="248" w:lineRule="auto"/>
        <w:rPr>
          <w:sz w:val="20"/>
          <w:szCs w:val="20"/>
          <w:color w:val="auto"/>
        </w:rPr>
      </w:pPr>
      <w:r>
        <w:rPr>
          <w:rFonts w:ascii="Times New Roman" w:cs="Times New Roman" w:eastAsia="Times New Roman" w:hAnsi="Times New Roman"/>
          <w:sz w:val="20"/>
          <w:szCs w:val="20"/>
          <w:color w:val="auto"/>
        </w:rPr>
        <w:t>Section 145 further provides that to the extent a present or former director or officer of a corporation has been successful on the merits or otherwise in the defense of any action, suit or proceeding referred to in subsections (a) and (b) or in the defense of any claim, issue or matter therein, such person shall be indemnified against expenses (including attorneys’ fees) actually and reasonably incurred by such person in connection therewith; that indemnification and advancement of expenses provided by, or granted pursuant to, Section 145 shall not be deemed exclusive of any other rights to which the indemnified party may be entitled; and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or incurred by such person in any such capacity or arising out of such person’s status as such, whether or not the corporation would have the power to indemnify him against such liabilities under Section 145.</w:t>
      </w:r>
    </w:p>
    <w:p>
      <w:pPr>
        <w:spacing w:after="0" w:line="212" w:lineRule="exact"/>
        <w:rPr>
          <w:sz w:val="20"/>
          <w:szCs w:val="20"/>
          <w:color w:val="auto"/>
        </w:rPr>
      </w:pPr>
    </w:p>
    <w:p>
      <w:pPr>
        <w:jc w:val="both"/>
        <w:ind w:firstLine="641"/>
        <w:spacing w:after="0" w:line="253" w:lineRule="auto"/>
        <w:rPr>
          <w:sz w:val="20"/>
          <w:szCs w:val="20"/>
          <w:color w:val="auto"/>
        </w:rPr>
      </w:pPr>
      <w:r>
        <w:rPr>
          <w:rFonts w:ascii="Times New Roman" w:cs="Times New Roman" w:eastAsia="Times New Roman" w:hAnsi="Times New Roman"/>
          <w:sz w:val="20"/>
          <w:szCs w:val="20"/>
          <w:color w:val="auto"/>
        </w:rPr>
        <w:t>In addition, the Registrant’s Restated Certificate of Incorporation, as amended, and the Registrant’s Restated By-Laws provide for indemnification of and advancement of expenses to its directors and officers to the fullest extent permitted by the Delaware General Corporation Law. The Restated Certificate of Incorporation, as amended, and the Restated By-Laws also permit the Board of Directors to authorize the Registrant to purchase and maintain insurance against liabilities asserted against any of its directors, officers, employees or agents arising out of their capacity as such, and Registrant has purchased such insurance.</w:t>
      </w:r>
    </w:p>
    <w:p>
      <w:pPr>
        <w:spacing w:after="0" w:line="204" w:lineRule="exact"/>
        <w:rPr>
          <w:sz w:val="20"/>
          <w:szCs w:val="20"/>
          <w:color w:val="auto"/>
        </w:rPr>
      </w:pPr>
    </w:p>
    <w:p>
      <w:pPr>
        <w:jc w:val="both"/>
        <w:ind w:firstLine="641"/>
        <w:spacing w:after="0" w:line="250" w:lineRule="auto"/>
        <w:rPr>
          <w:sz w:val="20"/>
          <w:szCs w:val="20"/>
          <w:color w:val="auto"/>
        </w:rPr>
      </w:pPr>
      <w:r>
        <w:rPr>
          <w:rFonts w:ascii="Times New Roman" w:cs="Times New Roman" w:eastAsia="Times New Roman" w:hAnsi="Times New Roman"/>
          <w:sz w:val="20"/>
          <w:szCs w:val="20"/>
          <w:color w:val="auto"/>
        </w:rPr>
        <w:t>The Registrant has also entered into indemnification agreements with its directors and certain of its officers and key employees. These agreements provide each indemnitee with more comprehensive indemnification and advancement rights than are provided by the Registrant in its Restated Certificate of Incorporation, as amended, and its Restated By-Laws in certain circumstances and contain presumptions and procedures designed to ensure that the indemnification and advancement rights granted to each indemnitee in these agreements will be provided on a timely basis. Each agreement provides that the Registrant’s obligations under the agreement will continue during the time the indemnitee serves the Registrant and continues thereafter so long as the indemnitee is subject to any possible proceeding by reason of the indemnitee’s service to the Registrant.</w:t>
      </w:r>
    </w:p>
    <w:p>
      <w:pPr>
        <w:spacing w:after="0" w:line="207"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Insofar as indemnification for liabilities under the Securities Act may be permitted to the Registrant’s directors, officers, or controlling persons pursuant to the Registrant’s Restated Certificate of Incorporation, as amended, the Registrant’s Restated By-laws, indemnification agreements the Registrant has entered with these persons and the Delaware General Corporation Law, the Registrant has been informed that in the opinion of the Commission such indemnification is against public policy as expressed in the Securities Act and is therefore unenforceable.</w:t>
      </w:r>
    </w:p>
    <w:p>
      <w:pPr>
        <w:spacing w:after="0" w:line="185" w:lineRule="exact"/>
        <w:rPr>
          <w:sz w:val="20"/>
          <w:szCs w:val="20"/>
          <w:color w:val="auto"/>
        </w:rPr>
      </w:pPr>
    </w:p>
    <w:p>
      <w:pPr>
        <w:jc w:val="both"/>
        <w:ind w:firstLine="641"/>
        <w:spacing w:after="0" w:line="248" w:lineRule="auto"/>
        <w:rPr>
          <w:sz w:val="20"/>
          <w:szCs w:val="20"/>
          <w:color w:val="auto"/>
        </w:rPr>
      </w:pPr>
      <w:r>
        <w:rPr>
          <w:rFonts w:ascii="Times New Roman" w:cs="Times New Roman" w:eastAsia="Times New Roman" w:hAnsi="Times New Roman"/>
          <w:sz w:val="20"/>
          <w:szCs w:val="20"/>
          <w:color w:val="auto"/>
        </w:rPr>
        <w:t>As permitted by the Delaware General Corporation Law, the Registrant’s Restated Certificate of Incorporation, as amended, provides that the Registrant’s directors and officers shall not be personally liable to the Registrant or its stockholders for monetary damages for breach of fiduciary duty as a director or officer, except for liability (i) for any breach of the director’s or officer’s duty of loyalty to the Registrant or its stockholders, (ii) for acts or omissions not in good faith or which involve intentional misconduct or a knowing violation of law, (iii) with respect to directors, under Section 174 of the Delaware General Corporation Law, relating to prohibited dividends or distributions or the repurchase or redemption of stock, (iv) for any transaction from which the director or officer derives an improper personal benefit or (v) with respect to officers, in any action by or in the right of the Registrant. As a result of this provision, the Registrant and its stockholders may be unable to obtain monetary damages from a director or officer for breach of his or her duty of care.</w:t>
      </w:r>
    </w:p>
    <w:p>
      <w:pPr>
        <w:sectPr>
          <w:pgSz w:w="11900" w:h="16838" w:orient="portrait"/>
          <w:cols w:equalWidth="0" w:num="1">
            <w:col w:w="11240"/>
          </w:cols>
          <w:pgMar w:left="320" w:top="1399" w:right="339" w:bottom="1440" w:gutter="0" w:footer="0" w:header="0"/>
        </w:sectPr>
      </w:pPr>
    </w:p>
    <w:bookmarkStart w:id="4" w:name="page5"/>
    <w:bookmarkEnd w:id="4"/>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Exhibits</w:t>
      </w:r>
      <w:r>
        <w:rPr>
          <w:rFonts w:ascii="Times New Roman" w:cs="Times New Roman" w:eastAsia="Times New Roman" w:hAnsi="Times New Roman"/>
          <w:sz w:val="18"/>
          <w:szCs w:val="18"/>
          <w:color w:val="auto"/>
        </w:rPr>
        <w:t>.</w:t>
      </w:r>
    </w:p>
    <w:p>
      <w:pPr>
        <w:sectPr>
          <w:pgSz w:w="11900" w:h="16838" w:orient="portrait"/>
          <w:cols w:equalWidth="0" w:num="1">
            <w:col w:w="11080"/>
          </w:cols>
          <w:pgMar w:left="320" w:top="1440" w:right="499" w:bottom="1440" w:gutter="0" w:footer="0" w:header="0"/>
        </w:sect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2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3120"/>
        <w:spacing w:after="0"/>
        <w:tabs>
          <w:tab w:leader="none" w:pos="6520" w:val="left"/>
        </w:tabs>
        <w:rPr>
          <w:sz w:val="20"/>
          <w:szCs w:val="20"/>
          <w:color w:val="auto"/>
        </w:rPr>
      </w:pPr>
      <w:r>
        <w:rPr>
          <w:rFonts w:ascii="Times New Roman" w:cs="Times New Roman" w:eastAsia="Times New Roman" w:hAnsi="Times New Roman"/>
          <w:sz w:val="18"/>
          <w:szCs w:val="18"/>
          <w:b w:val="1"/>
          <w:bCs w:val="1"/>
          <w:color w:val="auto"/>
        </w:rPr>
        <w:t>Incorporated by</w:t>
      </w:r>
      <w:r>
        <w:rPr>
          <w:sz w:val="20"/>
          <w:szCs w:val="20"/>
          <w:color w:val="auto"/>
        </w:rPr>
        <w:tab/>
      </w:r>
      <w:r>
        <w:rPr>
          <w:rFonts w:ascii="Times New Roman" w:cs="Times New Roman" w:eastAsia="Times New Roman" w:hAnsi="Times New Roman"/>
          <w:sz w:val="17"/>
          <w:szCs w:val="17"/>
          <w:b w:val="1"/>
          <w:bCs w:val="1"/>
          <w:color w:val="auto"/>
        </w:rPr>
        <w:t>SEC</w:t>
      </w:r>
    </w:p>
    <w:p>
      <w:pPr>
        <w:spacing w:after="0" w:line="33" w:lineRule="exact"/>
        <w:rPr>
          <w:sz w:val="20"/>
          <w:szCs w:val="20"/>
          <w:color w:val="auto"/>
        </w:rPr>
      </w:pPr>
    </w:p>
    <w:p>
      <w:pPr>
        <w:jc w:val="right"/>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Reference herein from</w:t>
      </w:r>
      <w:r>
        <w:rPr>
          <w:sz w:val="20"/>
          <w:szCs w:val="20"/>
          <w:color w:val="auto"/>
        </w:rPr>
        <w:tab/>
      </w:r>
      <w:r>
        <w:rPr>
          <w:rFonts w:ascii="Times New Roman" w:cs="Times New Roman" w:eastAsia="Times New Roman" w:hAnsi="Times New Roman"/>
          <w:sz w:val="17"/>
          <w:szCs w:val="17"/>
          <w:b w:val="1"/>
          <w:bCs w:val="1"/>
          <w:color w:val="auto"/>
        </w:rPr>
        <w:t>File/Registration</w:t>
      </w:r>
    </w:p>
    <w:p>
      <w:pPr>
        <w:spacing w:after="0" w:line="30" w:lineRule="exact"/>
        <w:rPr>
          <w:sz w:val="20"/>
          <w:szCs w:val="20"/>
          <w:color w:val="auto"/>
        </w:rPr>
      </w:pPr>
    </w:p>
    <w:p>
      <w:pPr>
        <w:spacing w:after="0"/>
        <w:tabs>
          <w:tab w:leader="none" w:pos="3040" w:val="left"/>
          <w:tab w:leader="none" w:pos="4820" w:val="left"/>
          <w:tab w:leader="none" w:pos="6360" w:val="left"/>
        </w:tabs>
        <w:rPr>
          <w:sz w:val="20"/>
          <w:szCs w:val="20"/>
          <w:color w:val="auto"/>
        </w:rPr>
      </w:pPr>
      <w:r>
        <w:rPr>
          <w:rFonts w:ascii="Times New Roman" w:cs="Times New Roman" w:eastAsia="Times New Roman" w:hAnsi="Times New Roman"/>
          <w:sz w:val="18"/>
          <w:szCs w:val="18"/>
          <w:b w:val="1"/>
          <w:bCs w:val="1"/>
          <w:color w:val="auto"/>
        </w:rPr>
        <w:t>Item</w:t>
      </w:r>
      <w:r>
        <w:rPr>
          <w:sz w:val="20"/>
          <w:szCs w:val="20"/>
          <w:color w:val="auto"/>
        </w:rPr>
        <w:tab/>
      </w:r>
      <w:r>
        <w:rPr>
          <w:rFonts w:ascii="Times New Roman" w:cs="Times New Roman" w:eastAsia="Times New Roman" w:hAnsi="Times New Roman"/>
          <w:sz w:val="18"/>
          <w:szCs w:val="18"/>
          <w:b w:val="1"/>
          <w:bCs w:val="1"/>
          <w:color w:val="auto"/>
        </w:rPr>
        <w:t>Form or Schedule</w:t>
      </w:r>
      <w:r>
        <w:rPr>
          <w:sz w:val="20"/>
          <w:szCs w:val="20"/>
          <w:color w:val="auto"/>
        </w:rPr>
        <w:tab/>
      </w:r>
      <w:r>
        <w:rPr>
          <w:rFonts w:ascii="Times New Roman" w:cs="Times New Roman" w:eastAsia="Times New Roman" w:hAnsi="Times New Roman"/>
          <w:sz w:val="18"/>
          <w:szCs w:val="18"/>
          <w:b w:val="1"/>
          <w:bCs w:val="1"/>
          <w:color w:val="auto"/>
        </w:rPr>
        <w:t>Filing Date</w:t>
      </w:r>
      <w:r>
        <w:rPr>
          <w:sz w:val="20"/>
          <w:szCs w:val="20"/>
          <w:color w:val="auto"/>
        </w:rPr>
        <w:tab/>
      </w: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63500</wp:posOffset>
            </wp:positionV>
            <wp:extent cx="6362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extLst>
                    </a:blip>
                    <a:srcRect/>
                    <a:stretch>
                      <a:fillRect/>
                    </a:stretch>
                  </pic:blipFill>
                  <pic:spPr bwMode="auto">
                    <a:xfrm>
                      <a:off x="0" y="0"/>
                      <a:ext cx="6362065" cy="825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3020" w:space="720"/>
            <w:col w:w="7340"/>
          </w:cols>
          <w:pgMar w:left="320" w:top="1440" w:right="4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5.1*</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23.1*</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23.2*</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u w:val="single" w:color="auto"/>
            <w:color w:val="0000FF"/>
          </w:rPr>
          <w:t>Restated Certificate of Incorporation, as amended</w:t>
        </w:r>
      </w:hyperlink>
      <w:r>
        <w:rPr>
          <w:rFonts w:ascii="Times New Roman" w:cs="Times New Roman" w:eastAsia="Times New Roman" w:hAnsi="Times New Roman"/>
          <w:sz w:val="21"/>
          <w:szCs w:val="21"/>
          <w:color w:val="000000"/>
        </w:rPr>
        <w:t>.</w:t>
      </w:r>
    </w:p>
    <w:p>
      <w:pPr>
        <w:spacing w:after="0" w:line="159" w:lineRule="exact"/>
        <w:rPr>
          <w:sz w:val="20"/>
          <w:szCs w:val="20"/>
          <w:color w:val="auto"/>
        </w:rPr>
      </w:pPr>
    </w:p>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u w:val="single" w:color="auto"/>
            <w:color w:val="0000FF"/>
          </w:rPr>
          <w:t>Restated By-Laws</w:t>
        </w:r>
      </w:hyperlink>
      <w:r>
        <w:rPr>
          <w:rFonts w:ascii="Times New Roman" w:cs="Times New Roman" w:eastAsia="Times New Roman" w:hAnsi="Times New Roman"/>
          <w:sz w:val="21"/>
          <w:szCs w:val="21"/>
          <w:color w:val="000000"/>
        </w:rPr>
        <w:t>.</w:t>
      </w:r>
    </w:p>
    <w:p>
      <w:pPr>
        <w:spacing w:after="0" w:line="173" w:lineRule="exact"/>
        <w:rPr>
          <w:sz w:val="20"/>
          <w:szCs w:val="20"/>
          <w:color w:val="auto"/>
        </w:rPr>
      </w:pPr>
    </w:p>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u w:val="single" w:color="auto"/>
            <w:color w:val="0000FF"/>
          </w:rPr>
          <w:t>Specimen common stock certificate</w:t>
        </w:r>
      </w:hyperlink>
      <w:r>
        <w:rPr>
          <w:rFonts w:ascii="Times New Roman" w:cs="Times New Roman" w:eastAsia="Times New Roman" w:hAnsi="Times New Roman"/>
          <w:sz w:val="21"/>
          <w:szCs w:val="21"/>
          <w:color w:val="000000"/>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Opinion of Mintz, Levin, Cohn, Ferris, Glovsky and Popeo, P.C.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Accounting Firm</w:t>
      </w:r>
      <w:r>
        <w:rPr>
          <w:rFonts w:ascii="Times New Roman" w:cs="Times New Roman" w:eastAsia="Times New Roman" w:hAnsi="Times New Roman"/>
          <w:sz w:val="18"/>
          <w:szCs w:val="18"/>
          <w:color w:val="0000FF"/>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Mintz, Levin, Cohn, Ferris, Glovsky and Popeo, P.C.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(contained in Exhibit 5.1 hereto).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56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10-Q (Exhibit 3.1)</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6"/>
              </w:rPr>
              <w:t>8/4/2023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401"/>
        </w:trPr>
        <w:tc>
          <w:tcPr>
            <w:tcW w:w="15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7"/>
              </w:rPr>
              <w:t>8-K (Exhibit 3.1)</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10/15/2020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r>
        <w:trPr>
          <w:trHeight w:val="414"/>
        </w:trPr>
        <w:tc>
          <w:tcPr>
            <w:tcW w:w="156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8"/>
              </w:rPr>
              <w:t>10-K (Exhibit 4.1)</w:t>
            </w:r>
          </w:p>
        </w:tc>
        <w:tc>
          <w:tcPr>
            <w:tcW w:w="136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5"/>
              </w:rPr>
              <w:t>8/15/2011</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000-26642</w:t>
            </w:r>
          </w:p>
        </w:tc>
      </w:tr>
    </w:tbl>
    <w:p>
      <w:pPr>
        <w:spacing w:after="0" w:line="1489" w:lineRule="exact"/>
        <w:rPr>
          <w:sz w:val="20"/>
          <w:szCs w:val="20"/>
          <w:color w:val="auto"/>
        </w:rPr>
      </w:pPr>
    </w:p>
    <w:p>
      <w:pPr>
        <w:sectPr>
          <w:pgSz w:w="11900" w:h="16838" w:orient="portrait"/>
          <w:cols w:equalWidth="0" w:num="3">
            <w:col w:w="520" w:space="720"/>
            <w:col w:w="4860" w:space="720"/>
            <w:col w:w="4260"/>
          </w:cols>
          <w:pgMar w:left="320" w:top="1440" w:right="49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Power of Attorney (included in the signature page of this registration</w:t>
            </w:r>
          </w:p>
        </w:tc>
      </w:tr>
      <w:tr>
        <w:trPr>
          <w:trHeight w:val="220"/>
        </w:trPr>
        <w:tc>
          <w:tcPr>
            <w:tcW w:w="1220" w:type="dxa"/>
            <w:vAlign w:val="bottom"/>
          </w:tcPr>
          <w:p>
            <w:pPr>
              <w:spacing w:after="0"/>
              <w:rPr>
                <w:sz w:val="19"/>
                <w:szCs w:val="19"/>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statement).</w:t>
            </w:r>
          </w:p>
        </w:tc>
      </w:tr>
      <w:tr>
        <w:trPr>
          <w:trHeight w:val="20"/>
        </w:trPr>
        <w:tc>
          <w:tcPr>
            <w:tcW w:w="12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Myriad Genetics, Inc. Amended and Restated 2012 Employee Stock</w:t>
            </w:r>
          </w:p>
        </w:tc>
      </w:tr>
      <w:tr>
        <w:trPr>
          <w:trHeight w:val="220"/>
        </w:trPr>
        <w:tc>
          <w:tcPr>
            <w:tcW w:w="1220" w:type="dxa"/>
            <w:vAlign w:val="bottom"/>
          </w:tcPr>
          <w:p>
            <w:pPr>
              <w:spacing w:after="0"/>
              <w:rPr>
                <w:sz w:val="19"/>
                <w:szCs w:val="19"/>
                <w:color w:val="auto"/>
              </w:rPr>
            </w:pPr>
          </w:p>
        </w:tc>
        <w:tc>
          <w:tcPr>
            <w:tcW w:w="48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Purchase Plan.</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r>
      <w:tr>
        <w:trPr>
          <w:trHeight w:val="34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Filing Fee Table.</w:t>
            </w:r>
          </w:p>
        </w:tc>
      </w:tr>
      <w:tr>
        <w:trPr>
          <w:trHeight w:val="20"/>
        </w:trPr>
        <w:tc>
          <w:tcPr>
            <w:tcW w:w="12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ectPr>
          <w:pgSz w:w="11900" w:h="16838" w:orient="portrait"/>
          <w:cols w:equalWidth="0" w:num="1">
            <w:col w:w="11080"/>
          </w:cols>
          <w:pgMar w:left="320" w:top="1440" w:right="499" w:bottom="1440" w:gutter="0" w:footer="0" w:header="0"/>
          <w:type w:val="continuous"/>
        </w:sectPr>
      </w:pPr>
    </w:p>
    <w:bookmarkStart w:id="5" w:name="page6"/>
    <w:bookmarkEnd w:id="5"/>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Pursuant to the requirements of the Securities Act of 1933, the Registrant certifies that it has reasonable grounds to believe that it</w:t>
      </w:r>
    </w:p>
    <w:p>
      <w:pPr>
        <w:spacing w:after="0" w:line="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meets all of the requirements for filing on Form S-8 and has duly caused this Registration Statement to be signed on its behalf by the undersigned, thereunto duly authorized, in Salt Lake City, Utah, on June 4, 2026.</w:t>
      </w:r>
    </w:p>
    <w:p>
      <w:pPr>
        <w:spacing w:after="0" w:line="31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16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0"/>
          <w:szCs w:val="20"/>
          <w:color w:val="auto"/>
        </w:rPr>
        <w:t>By /s/ Samraat S. Raha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63500</wp:posOffset>
            </wp:positionV>
            <wp:extent cx="1619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13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Samraat S. Raha</w:t>
      </w:r>
    </w:p>
    <w:p>
      <w:pPr>
        <w:spacing w:after="0" w:line="15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President, Chief Executive</w:t>
      </w:r>
    </w:p>
    <w:p>
      <w:pPr>
        <w:spacing w:after="0" w:line="3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20"/>
          <w:szCs w:val="20"/>
          <w:color w:val="auto"/>
        </w:rPr>
        <w:t>Officer and Director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Each person whose signature appears below constitutes and appoints Samraat S. Raha and Benjamin R. Wheeler, and each of them</w:t>
      </w:r>
    </w:p>
    <w:p>
      <w:pPr>
        <w:spacing w:after="0" w:line="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0"/>
          <w:szCs w:val="20"/>
          <w:color w:val="auto"/>
        </w:rPr>
        <w:t>singly, his/her true and lawful attorneys-in-fact and agents, with full power of substitution and resubstitution in each of them singly, for him/her and in his/her name, place and stead, and in any and all capacities, to sign any and all amendments (including post-effective amendments) to this Registration Statement on Form S-8 of Myriad Genetics, Inc., and to file the same, with all exhibits thereto and other</w:t>
      </w:r>
    </w:p>
    <w:p>
      <w:pPr>
        <w:spacing w:after="0" w:line="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20"/>
          <w:szCs w:val="20"/>
          <w:color w:val="auto"/>
        </w:rPr>
        <w:t>documents in connection therewith, with the Securities and Exchange Commission, granting to the attorneys-in-fact and agents, and each of them, full power and authority to do and perform each and every act and thing requisite or necessary to be done in or about the premises, as</w:t>
      </w:r>
    </w:p>
    <w:p>
      <w:pPr>
        <w:jc w:val="both"/>
        <w:ind w:right="20"/>
        <w:spacing w:after="0" w:line="225" w:lineRule="auto"/>
        <w:rPr>
          <w:sz w:val="20"/>
          <w:szCs w:val="20"/>
          <w:color w:val="auto"/>
        </w:rPr>
      </w:pPr>
      <w:r>
        <w:rPr>
          <w:rFonts w:ascii="Times New Roman" w:cs="Times New Roman" w:eastAsia="Times New Roman" w:hAnsi="Times New Roman"/>
          <w:sz w:val="20"/>
          <w:szCs w:val="20"/>
          <w:color w:val="auto"/>
        </w:rPr>
        <w:t>full to all intents and purposes as he/she might or could do in person, hereby ratifying and confirming all that the attorneys-in-fact and agents or any of each of them or their substitute may lawfully do or cause to be done by virtue hereof.</w:t>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227" w:lineRule="exact"/>
        <w:rPr>
          <w:sz w:val="20"/>
          <w:szCs w:val="20"/>
          <w:color w:val="auto"/>
        </w:rPr>
      </w:pPr>
    </w:p>
    <w:p>
      <w:pPr>
        <w:ind w:firstLine="641"/>
        <w:spacing w:after="0" w:line="237" w:lineRule="auto"/>
        <w:rPr>
          <w:sz w:val="20"/>
          <w:szCs w:val="20"/>
          <w:color w:val="auto"/>
        </w:rPr>
      </w:pPr>
      <w:r>
        <w:rPr>
          <w:rFonts w:ascii="Times New Roman" w:cs="Times New Roman" w:eastAsia="Times New Roman" w:hAnsi="Times New Roman"/>
          <w:sz w:val="20"/>
          <w:szCs w:val="20"/>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Signature</w:t>
            </w:r>
          </w:p>
        </w:tc>
        <w:tc>
          <w:tcPr>
            <w:tcW w:w="24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0" w:type="dxa"/>
            <w:vAlign w:val="bottom"/>
          </w:tcPr>
          <w:p>
            <w:pPr>
              <w:spacing w:after="0"/>
              <w:rPr>
                <w:sz w:val="1"/>
                <w:szCs w:val="1"/>
                <w:color w:val="auto"/>
              </w:rPr>
            </w:pPr>
          </w:p>
        </w:tc>
      </w:tr>
      <w:tr>
        <w:trPr>
          <w:trHeight w:val="49"/>
        </w:trPr>
        <w:tc>
          <w:tcPr>
            <w:tcW w:w="40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/s/ Samraat S. Raha</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President, Chief Executive Officer and Director</w:t>
            </w:r>
          </w:p>
        </w:tc>
        <w:tc>
          <w:tcPr>
            <w:tcW w:w="0" w:type="dxa"/>
            <w:vAlign w:val="bottom"/>
          </w:tcPr>
          <w:p>
            <w:pPr>
              <w:spacing w:after="0"/>
              <w:rPr>
                <w:sz w:val="1"/>
                <w:szCs w:val="1"/>
                <w:color w:val="auto"/>
              </w:rPr>
            </w:pPr>
          </w:p>
        </w:tc>
      </w:tr>
      <w:tr>
        <w:trPr>
          <w:trHeight w:val="254"/>
        </w:trPr>
        <w:tc>
          <w:tcPr>
            <w:tcW w:w="40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(Principal Executive Officer)</w:t>
            </w:r>
          </w:p>
        </w:tc>
        <w:tc>
          <w:tcPr>
            <w:tcW w:w="0" w:type="dxa"/>
            <w:vAlign w:val="bottom"/>
          </w:tcPr>
          <w:p>
            <w:pPr>
              <w:spacing w:after="0"/>
              <w:rPr>
                <w:sz w:val="1"/>
                <w:szCs w:val="1"/>
                <w:color w:val="auto"/>
              </w:rPr>
            </w:pPr>
          </w:p>
        </w:tc>
      </w:tr>
      <w:tr>
        <w:trPr>
          <w:trHeight w:val="36"/>
        </w:trPr>
        <w:tc>
          <w:tcPr>
            <w:tcW w:w="40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Samraat S. Raha</w:t>
            </w:r>
          </w:p>
        </w:tc>
        <w:tc>
          <w:tcPr>
            <w:tcW w:w="2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3"/>
        </w:trPr>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 Benjamin R. Wheeler</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Chief Financial Officer (Principal Financial and</w:t>
            </w:r>
          </w:p>
        </w:tc>
        <w:tc>
          <w:tcPr>
            <w:tcW w:w="0" w:type="dxa"/>
            <w:vAlign w:val="bottom"/>
          </w:tcPr>
          <w:p>
            <w:pPr>
              <w:spacing w:after="0"/>
              <w:rPr>
                <w:sz w:val="1"/>
                <w:szCs w:val="1"/>
                <w:color w:val="auto"/>
              </w:rPr>
            </w:pPr>
          </w:p>
        </w:tc>
      </w:tr>
      <w:tr>
        <w:trPr>
          <w:trHeight w:val="254"/>
        </w:trPr>
        <w:tc>
          <w:tcPr>
            <w:tcW w:w="40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Accounting Officer)</w:t>
            </w:r>
          </w:p>
        </w:tc>
        <w:tc>
          <w:tcPr>
            <w:tcW w:w="0" w:type="dxa"/>
            <w:vAlign w:val="bottom"/>
          </w:tcPr>
          <w:p>
            <w:pPr>
              <w:spacing w:after="0"/>
              <w:rPr>
                <w:sz w:val="1"/>
                <w:szCs w:val="1"/>
                <w:color w:val="auto"/>
              </w:rPr>
            </w:pPr>
          </w:p>
        </w:tc>
      </w:tr>
      <w:tr>
        <w:trPr>
          <w:trHeight w:val="36"/>
        </w:trPr>
        <w:tc>
          <w:tcPr>
            <w:tcW w:w="40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Benjamin R. Wheeler</w:t>
            </w:r>
          </w:p>
        </w:tc>
        <w:tc>
          <w:tcPr>
            <w:tcW w:w="2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S. Louise Phanstiel</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 of the Board</w:t>
            </w:r>
          </w:p>
        </w:tc>
        <w:tc>
          <w:tcPr>
            <w:tcW w:w="0" w:type="dxa"/>
            <w:vAlign w:val="bottom"/>
          </w:tcPr>
          <w:p>
            <w:pPr>
              <w:spacing w:after="0"/>
              <w:rPr>
                <w:sz w:val="1"/>
                <w:szCs w:val="1"/>
                <w:color w:val="auto"/>
              </w:rPr>
            </w:pPr>
          </w:p>
        </w:tc>
      </w:tr>
      <w:tr>
        <w:trPr>
          <w:trHeight w:val="49"/>
        </w:trPr>
        <w:tc>
          <w:tcPr>
            <w:tcW w:w="40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Louise Phanstiel</w:t>
            </w:r>
          </w:p>
        </w:tc>
        <w:tc>
          <w:tcPr>
            <w:tcW w:w="2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4"/>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 Paul M. Bisaro</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49"/>
        </w:trPr>
        <w:tc>
          <w:tcPr>
            <w:tcW w:w="40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Paul M. Bisaro</w:t>
            </w:r>
          </w:p>
        </w:tc>
        <w:tc>
          <w:tcPr>
            <w:tcW w:w="2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Mark S. Davis</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Mark S. Davis</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Heiner Dreismann</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Heiner Dreismann Ph.D.</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Rashmi Kumar</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Rashmi Kumar</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Lee N. Newcomer</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Lee N. Newcomer, M.D.</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Colleen F. Reitan</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Colleen F. Reitan</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Daniel M. Skovronsky</w:t>
            </w:r>
          </w:p>
        </w:tc>
        <w:tc>
          <w:tcPr>
            <w:tcW w:w="24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Director</w:t>
            </w:r>
          </w:p>
        </w:tc>
        <w:tc>
          <w:tcPr>
            <w:tcW w:w="0" w:type="dxa"/>
            <w:vAlign w:val="bottom"/>
          </w:tcPr>
          <w:p>
            <w:pPr>
              <w:spacing w:after="0"/>
              <w:rPr>
                <w:sz w:val="1"/>
                <w:szCs w:val="1"/>
                <w:color w:val="auto"/>
              </w:rPr>
            </w:pPr>
          </w:p>
        </w:tc>
      </w:tr>
      <w:tr>
        <w:trPr>
          <w:trHeight w:val="76"/>
        </w:trPr>
        <w:tc>
          <w:tcPr>
            <w:tcW w:w="40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Daniel M. Skovronsky, M.D., Ph.D.</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48895</wp:posOffset>
            </wp:positionV>
            <wp:extent cx="15182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2026</w:t>
      </w:r>
    </w:p>
    <w:p>
      <w:pPr>
        <w:sectPr>
          <w:pgSz w:w="11900" w:h="16838" w:orient="portrait"/>
          <w:cols w:equalWidth="0" w:num="2">
            <w:col w:w="8820" w:space="720"/>
            <w:col w:w="1700"/>
          </w:cols>
          <w:pgMar w:left="320" w:top="1440" w:right="339" w:bottom="1440" w:gutter="0" w:footer="0" w:header="0"/>
          <w:type w:val="continuous"/>
        </w:sectPr>
      </w:pPr>
    </w:p>
    <w:bookmarkStart w:id="7" w:name="page8"/>
    <w:bookmarkEnd w:id="7"/>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ind w:left="3500"/>
        <w:spacing w:after="0"/>
        <w:rPr>
          <w:sz w:val="20"/>
          <w:szCs w:val="20"/>
          <w:color w:val="auto"/>
        </w:rPr>
      </w:pPr>
      <w:r>
        <w:rPr>
          <w:rFonts w:ascii="Arial" w:cs="Arial" w:eastAsia="Arial" w:hAnsi="Arial"/>
          <w:sz w:val="36"/>
          <w:szCs w:val="36"/>
          <w:b w:val="1"/>
          <w:bCs w:val="1"/>
          <w:color w:val="auto"/>
        </w:rPr>
        <w:t>MYRIAD GENETICS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$0.01 par</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4,000,000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$ 4.18</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$ 2,309.03</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16,720,000.00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value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$ 2,309.03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16,720,000.00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$ 2,309.03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760"/>
        <w:spacing w:after="0" w:line="245" w:lineRule="auto"/>
        <w:rPr>
          <w:sz w:val="20"/>
          <w:szCs w:val="20"/>
          <w:color w:val="auto"/>
        </w:rPr>
      </w:pPr>
      <w:r>
        <w:rPr>
          <w:rFonts w:ascii="Arial" w:cs="Arial" w:eastAsia="Arial" w:hAnsi="Arial"/>
          <w:sz w:val="21"/>
          <w:szCs w:val="21"/>
          <w:color w:val="auto"/>
        </w:rPr>
        <w:t>The number of shares of common stock, par value $0.01 per share ("Common Stock"), of Myriad Genetics, Inc. (the "Registrant") stated above consists of additional shares of Common Stock available for issuance under the Myriad Genetics, Inc. Amended and Restated 2012 Employee Stock Purchase Plan, as amended (the "Plan"). Pursuant to Rule 416 under the Securities Act of 1933, as amended (the "Securities Act"), this registration statement covers, in addition to the number of shares stated above, an indeterminate number of shares which may be subject to grant or otherwise issuable after the operation of any anti-dilution and other provisions of the Plan.</w:t>
      </w:r>
    </w:p>
    <w:p>
      <w:pPr>
        <w:spacing w:after="0" w:line="198" w:lineRule="exact"/>
        <w:rPr>
          <w:sz w:val="20"/>
          <w:szCs w:val="20"/>
          <w:color w:val="auto"/>
        </w:rPr>
      </w:pPr>
    </w:p>
    <w:p>
      <w:pPr>
        <w:ind w:left="800" w:right="780"/>
        <w:spacing w:after="0" w:line="252" w:lineRule="auto"/>
        <w:rPr>
          <w:sz w:val="20"/>
          <w:szCs w:val="20"/>
          <w:color w:val="auto"/>
        </w:rPr>
      </w:pPr>
      <w:r>
        <w:rPr>
          <w:rFonts w:ascii="Arial" w:cs="Arial" w:eastAsia="Arial" w:hAnsi="Arial"/>
          <w:sz w:val="21"/>
          <w:szCs w:val="21"/>
          <w:color w:val="auto"/>
        </w:rPr>
        <w:t>Estimated solely for the purpose of calculating the amount of the registration fee pursuant to Rule 457(c) and Rule 457(h) promulgated under the Securities Act on the basis of $4.18, the average of the high and the low price of Registrant's Common Stock as reported on the Nasdaq Global Select Market on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72390</wp:posOffset>
            </wp:positionV>
            <wp:extent cx="63874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p>
      <w:pPr>
        <w:sectPr>
          <w:pgSz w:w="11900" w:h="16838" w:orient="portrait"/>
          <w:cols w:equalWidth="0" w:num="3">
            <w:col w:w="1980" w:space="40"/>
            <w:col w:w="2720" w:space="40"/>
            <w:col w:w="6460"/>
          </w:cols>
          <w:pgMar w:left="360" w:top="142" w:right="299" w:bottom="1440" w:gutter="0" w:footer="0" w:header="0"/>
          <w:type w:val="continuous"/>
        </w:sectPr>
      </w:pPr>
    </w:p>
    <w:bookmarkStart w:id="8" w:name="page9"/>
    <w:bookmarkEnd w:id="8"/>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-137160</wp:posOffset>
            </wp:positionV>
            <wp:extent cx="907415" cy="856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907415" cy="856615"/>
                    </a:xfrm>
                    <a:prstGeom prst="rect">
                      <a:avLst/>
                    </a:prstGeom>
                    <a:noFill/>
                  </pic:spPr>
                </pic:pic>
              </a:graphicData>
            </a:graphic>
          </wp:anchor>
        </w:drawing>
      </w:r>
    </w:p>
    <w:p>
      <w:pPr>
        <w:spacing w:after="0" w:line="28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One Financial Center</w:t>
      </w:r>
    </w:p>
    <w:p>
      <w:pPr>
        <w:spacing w:after="0" w:line="4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Boston, MA 02111</w:t>
      </w:r>
    </w:p>
    <w:p>
      <w:pPr>
        <w:spacing w:after="0" w:line="4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617 542 6000</w:t>
      </w:r>
    </w:p>
    <w:p>
      <w:pPr>
        <w:spacing w:after="0" w:line="4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June 4, 2026</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9"/>
          <w:szCs w:val="19"/>
          <w:color w:val="auto"/>
        </w:rPr>
        <w:t>Myriad Genetics, Inc.</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322 North 2200 West,</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Salt Lake City, Utah 84116</w:t>
      </w:r>
    </w:p>
    <w:p>
      <w:pPr>
        <w:spacing w:after="0" w:line="191" w:lineRule="exact"/>
        <w:rPr>
          <w:sz w:val="20"/>
          <w:szCs w:val="20"/>
          <w:color w:val="auto"/>
        </w:rPr>
      </w:pPr>
    </w:p>
    <w:p>
      <w:pPr>
        <w:ind w:left="1200" w:hanging="640"/>
        <w:spacing w:after="0" w:line="266" w:lineRule="auto"/>
        <w:tabs>
          <w:tab w:leader="none" w:pos="1180" w:val="left"/>
        </w:tabs>
        <w:rPr>
          <w:sz w:val="20"/>
          <w:szCs w:val="20"/>
          <w:color w:val="auto"/>
        </w:rPr>
      </w:pPr>
      <w:r>
        <w:rPr>
          <w:rFonts w:ascii="Arial" w:cs="Arial" w:eastAsia="Arial" w:hAnsi="Arial"/>
          <w:sz w:val="19"/>
          <w:szCs w:val="19"/>
          <w:color w:val="auto"/>
        </w:rPr>
        <w:t>Re:</w:t>
        <w:tab/>
        <w:t>Registration Statement on Form S-8; 4,000,000 shares of Common Stock of Myriad Genetics, Inc., par value $0.01 per share</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196" w:lineRule="exact"/>
        <w:rPr>
          <w:sz w:val="20"/>
          <w:szCs w:val="20"/>
          <w:color w:val="auto"/>
        </w:rPr>
      </w:pPr>
    </w:p>
    <w:p>
      <w:pPr>
        <w:jc w:val="both"/>
        <w:ind w:firstLine="641"/>
        <w:spacing w:after="0" w:line="251" w:lineRule="auto"/>
        <w:rPr>
          <w:sz w:val="20"/>
          <w:szCs w:val="20"/>
          <w:color w:val="auto"/>
        </w:rPr>
      </w:pPr>
      <w:r>
        <w:rPr>
          <w:rFonts w:ascii="Arial" w:cs="Arial" w:eastAsia="Arial" w:hAnsi="Arial"/>
          <w:sz w:val="19"/>
          <w:szCs w:val="19"/>
          <w:color w:val="auto"/>
        </w:rPr>
        <w:t>We have acted as legal counsel to Myriad Genetics, Inc., a Delaware corporation (the “Company”), in connection with the preparation and filing with the Securities and Exchange Commission (the “Commission”) of a Registration Statement on Form S-8 (the “Registration Statement”), pursuant to which the Company is registering the issuance under the Securities Act of 1933, as amended (the “Securities Act”), of an aggregate of 4,000,000 shares (the “Shares”) of the Company’s common stock, par value $0.01 per share (the “Common Stock”), in accordance with the terms of the Myriad Genetics, Inc. Amended and Restated 2012 Employee Stock Purchase Plan, as amended (the “Purchase Plan”).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216" w:lineRule="exact"/>
        <w:rPr>
          <w:sz w:val="20"/>
          <w:szCs w:val="20"/>
          <w:color w:val="auto"/>
        </w:rPr>
      </w:pPr>
    </w:p>
    <w:p>
      <w:pPr>
        <w:jc w:val="both"/>
        <w:ind w:firstLine="641"/>
        <w:spacing w:after="0" w:line="257" w:lineRule="auto"/>
        <w:rPr>
          <w:sz w:val="20"/>
          <w:szCs w:val="20"/>
          <w:color w:val="auto"/>
        </w:rPr>
      </w:pPr>
      <w:r>
        <w:rPr>
          <w:rFonts w:ascii="Arial" w:cs="Arial" w:eastAsia="Arial" w:hAnsi="Arial"/>
          <w:sz w:val="19"/>
          <w:szCs w:val="19"/>
          <w:color w:val="auto"/>
        </w:rPr>
        <w:t>In connection with this opinion, we have examined the Company’s Restated Certificate of Incorporation, as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206" w:lineRule="exact"/>
        <w:rPr>
          <w:sz w:val="20"/>
          <w:szCs w:val="20"/>
          <w:color w:val="auto"/>
        </w:rPr>
      </w:pPr>
    </w:p>
    <w:p>
      <w:pPr>
        <w:jc w:val="both"/>
        <w:ind w:firstLine="641"/>
        <w:spacing w:after="0" w:line="253" w:lineRule="auto"/>
        <w:rPr>
          <w:sz w:val="20"/>
          <w:szCs w:val="20"/>
          <w:color w:val="auto"/>
        </w:rPr>
      </w:pPr>
      <w:r>
        <w:rPr>
          <w:rFonts w:ascii="Arial" w:cs="Arial" w:eastAsia="Arial" w:hAnsi="Arial"/>
          <w:sz w:val="19"/>
          <w:szCs w:val="19"/>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 In addition, we have assumed that the Company will receive any required consideration in accordance with the terms of the Purchase Plan.</w:t>
      </w:r>
    </w:p>
    <w:p>
      <w:pPr>
        <w:spacing w:after="0" w:line="211" w:lineRule="exact"/>
        <w:rPr>
          <w:sz w:val="20"/>
          <w:szCs w:val="20"/>
          <w:color w:val="auto"/>
        </w:rPr>
      </w:pPr>
    </w:p>
    <w:p>
      <w:pPr>
        <w:jc w:val="both"/>
        <w:ind w:firstLine="641"/>
        <w:spacing w:after="0" w:line="265" w:lineRule="auto"/>
        <w:rPr>
          <w:sz w:val="20"/>
          <w:szCs w:val="20"/>
          <w:color w:val="auto"/>
        </w:rPr>
      </w:pPr>
      <w:r>
        <w:rPr>
          <w:rFonts w:ascii="Arial" w:cs="Arial" w:eastAsia="Arial" w:hAnsi="Arial"/>
          <w:sz w:val="19"/>
          <w:szCs w:val="19"/>
          <w:color w:val="auto"/>
        </w:rPr>
        <w:t>Our opinion expressed herein is limited to the General Corporation Law of the State of Delaware and we express no opinion with respect to the laws of any other jurisdiction. No opinion is expressed herein with respect to the qualification of the Shares under the securities or blue sky laws of any state or any foreign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643255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BOSTON LOS ANGELES MIAMI NEW YORK SAN DIEGO SAN FRANCISCO TORONTO WASHINGTON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MINTZ, LEVIN, COHN, FERRIS, GLOVSKY AND POPEO, P.C.</w:t>
      </w:r>
    </w:p>
    <w:p>
      <w:pPr>
        <w:sectPr>
          <w:pgSz w:w="11900" w:h="16838" w:orient="portrait"/>
          <w:cols w:equalWidth="0" w:num="1">
            <w:col w:w="11240"/>
          </w:cols>
          <w:pgMar w:left="320" w:top="393"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6967855</wp:posOffset>
            </wp:positionH>
            <wp:positionV relativeFrom="page">
              <wp:posOffset>106045</wp:posOffset>
            </wp:positionV>
            <wp:extent cx="364490" cy="457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364490" cy="457835"/>
                    </a:xfrm>
                    <a:prstGeom prst="rect">
                      <a:avLst/>
                    </a:prstGeom>
                    <a:noFill/>
                  </pic:spPr>
                </pic:pic>
              </a:graphicData>
            </a:graphic>
          </wp:anchor>
        </w:drawing>
        <w:t>MINTZ</w:t>
      </w: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6/4/2026</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9"/>
          <w:szCs w:val="19"/>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7" w:lineRule="exact"/>
        <w:rPr>
          <w:sz w:val="20"/>
          <w:szCs w:val="20"/>
          <w:color w:val="auto"/>
        </w:rPr>
      </w:pPr>
    </w:p>
    <w:p>
      <w:pPr>
        <w:jc w:val="both"/>
        <w:ind w:firstLine="641"/>
        <w:spacing w:after="0" w:line="281" w:lineRule="auto"/>
        <w:rPr>
          <w:sz w:val="20"/>
          <w:szCs w:val="20"/>
          <w:color w:val="auto"/>
        </w:rPr>
      </w:pPr>
      <w:r>
        <w:rPr>
          <w:rFonts w:ascii="Arial" w:cs="Arial" w:eastAsia="Arial" w:hAnsi="Arial"/>
          <w:sz w:val="19"/>
          <w:szCs w:val="19"/>
          <w:color w:val="auto"/>
        </w:rPr>
        <w:t>Based upon the foregoing, we are of the opinion that the Shares, when issued and delivered in accordance with the terms of the Purchase Plan, will be validly issued, fully paid and non-assessable.</w:t>
      </w:r>
    </w:p>
    <w:p>
      <w:pPr>
        <w:spacing w:after="0" w:line="183"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9"/>
          <w:szCs w:val="19"/>
          <w:color w:val="auto"/>
        </w:rPr>
        <w:t>We understand that you wish to file this opinion with the Commission as an exhibit to the Registration Statement in accordance with the requirements of Item 601(b)(5) of Regulation S-K promulgated under the Securities Act,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247"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Very truly yours,</w:t>
      </w:r>
    </w:p>
    <w:p>
      <w:pPr>
        <w:spacing w:after="0" w:line="236"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/s/ Mintz, Levin, Cohn, Ferris, Glovsky and Popeo, P.C.</w:t>
      </w:r>
    </w:p>
    <w:p>
      <w:pPr>
        <w:spacing w:after="0" w:line="289" w:lineRule="exact"/>
        <w:rPr>
          <w:sz w:val="20"/>
          <w:szCs w:val="20"/>
          <w:color w:val="auto"/>
        </w:rPr>
      </w:pPr>
    </w:p>
    <w:p>
      <w:pPr>
        <w:ind w:left="5060"/>
        <w:spacing w:after="0"/>
        <w:rPr>
          <w:sz w:val="20"/>
          <w:szCs w:val="20"/>
          <w:color w:val="auto"/>
        </w:rPr>
      </w:pPr>
      <w:r>
        <w:rPr>
          <w:rFonts w:ascii="Arial" w:cs="Arial" w:eastAsia="Arial" w:hAnsi="Arial"/>
          <w:sz w:val="19"/>
          <w:szCs w:val="19"/>
          <w:color w:val="auto"/>
        </w:rPr>
        <w:t>Mintz, Levin, Cohn, Ferris, Glovsky and Popeo, P.C.</w:t>
      </w:r>
    </w:p>
    <w:p>
      <w:pPr>
        <w:sectPr>
          <w:pgSz w:w="11900" w:h="16838" w:orient="portrait"/>
          <w:cols w:equalWidth="0" w:num="1">
            <w:col w:w="11240"/>
          </w:cols>
          <w:pgMar w:left="320" w:top="17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Myriad Genetics, Inc. Amended and Restated 2012 Employee Stock Purchase Plan of our reports dated February 24, 2026, with respect to the consolidated financial statements of</w:t>
      </w:r>
    </w:p>
    <w:p>
      <w:pPr>
        <w:spacing w:after="0" w:line="1" w:lineRule="exact"/>
        <w:rPr>
          <w:sz w:val="20"/>
          <w:szCs w:val="20"/>
          <w:color w:val="auto"/>
        </w:rPr>
      </w:pPr>
    </w:p>
    <w:p>
      <w:pPr>
        <w:ind w:right="140"/>
        <w:spacing w:after="0" w:line="225" w:lineRule="auto"/>
        <w:rPr>
          <w:sz w:val="20"/>
          <w:szCs w:val="20"/>
          <w:color w:val="auto"/>
        </w:rPr>
      </w:pPr>
      <w:r>
        <w:rPr>
          <w:rFonts w:ascii="Times New Roman" w:cs="Times New Roman" w:eastAsia="Times New Roman" w:hAnsi="Times New Roman"/>
          <w:sz w:val="20"/>
          <w:szCs w:val="20"/>
          <w:color w:val="auto"/>
        </w:rPr>
        <w:t>Myriad Genetics, Inc. and the effectiveness of internal control over financial reporting of Myriad Genetics, Inc. included in its Annual Report (Form 10-K) for the year ended December 31, 2025, filed with the Securities and Exchange Commission.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4, 2026</w:t>
      </w:r>
    </w:p>
    <w:p>
      <w:pPr>
        <w:sectPr>
          <w:pgSz w:w="11900" w:h="16838" w:orient="portrait"/>
          <w:cols w:equalWidth="0" w:num="1">
            <w:col w:w="11240"/>
          </w:cols>
          <w:pgMar w:left="320" w:top="1395"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1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b w:val="1"/>
          <w:bCs w:val="1"/>
          <w:color w:val="auto"/>
        </w:rPr>
        <w:t>MYRIAD GENETICS, INC.</w:t>
      </w:r>
      <w:r>
        <w:rPr>
          <w:sz w:val="1"/>
          <w:szCs w:val="1"/>
          <w:color w:val="auto"/>
        </w:rPr>
        <w:drawing>
          <wp:inline distT="0" distB="0" distL="0" distR="0">
            <wp:extent cx="33655" cy="1358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655" cy="135890"/>
                    </a:xfrm>
                    <a:prstGeom prst="rect">
                      <a:avLst/>
                    </a:prstGeom>
                    <a:noFill/>
                    <a:ln>
                      <a:noFill/>
                    </a:ln>
                  </pic:spPr>
                </pic:pic>
              </a:graphicData>
            </a:graphic>
          </wp:inline>
        </w:drawing>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2012 EMPLOYEE STOCK PURCHASE PLAN</w:t>
      </w:r>
    </w:p>
    <w:p>
      <w:pPr>
        <w:spacing w:after="0" w:line="259" w:lineRule="exact"/>
        <w:rPr>
          <w:sz w:val="20"/>
          <w:szCs w:val="20"/>
          <w:color w:val="auto"/>
        </w:rPr>
      </w:pPr>
    </w:p>
    <w:p>
      <w:pPr>
        <w:spacing w:after="0" w:line="314" w:lineRule="auto"/>
        <w:rPr>
          <w:sz w:val="20"/>
          <w:szCs w:val="20"/>
          <w:color w:val="auto"/>
        </w:rPr>
      </w:pPr>
      <w:r>
        <w:rPr>
          <w:rFonts w:ascii="Arial" w:cs="Arial" w:eastAsia="Arial" w:hAnsi="Arial"/>
          <w:sz w:val="16"/>
          <w:szCs w:val="16"/>
          <w:color w:val="auto"/>
        </w:rPr>
        <w:t>The following constitute the provisions of the Amended and Restated 2012 Employee Stock Purchase Plan (the “Plan”) of Myriad Genetics, Inc. (the “Company”).</w:t>
      </w:r>
    </w:p>
    <w:p>
      <w:pPr>
        <w:spacing w:after="0" w:line="173" w:lineRule="exact"/>
        <w:rPr>
          <w:sz w:val="20"/>
          <w:szCs w:val="20"/>
          <w:color w:val="auto"/>
        </w:rPr>
      </w:pPr>
    </w:p>
    <w:p>
      <w:pPr>
        <w:jc w:val="both"/>
        <w:ind w:firstLine="7"/>
        <w:spacing w:after="0" w:line="284" w:lineRule="auto"/>
        <w:tabs>
          <w:tab w:leader="none" w:pos="178"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provide Employees of the Company and its Designated Subsidiaries with an opportunity to purchase Common Stock of the Company. It is the intention of the Company to have the Plan qualify as an “Employee Stock Purchase Plan” under Section 423 of the Code. The provisions of the Plan shall, accordingly, be construed so as to extend and limit participation in a manner consistent with the requirements of that section of the Code.</w:t>
      </w:r>
    </w:p>
    <w:p>
      <w:pPr>
        <w:spacing w:after="0" w:line="211" w:lineRule="exact"/>
        <w:rPr>
          <w:rFonts w:ascii="Arial" w:cs="Arial" w:eastAsia="Arial" w:hAnsi="Arial"/>
          <w:sz w:val="16"/>
          <w:szCs w:val="16"/>
          <w:color w:val="auto"/>
        </w:rPr>
      </w:pPr>
    </w:p>
    <w:p>
      <w:pPr>
        <w:ind w:left="180" w:hanging="173"/>
        <w:spacing w:after="0"/>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57" w:lineRule="exact"/>
        <w:rPr>
          <w:sz w:val="20"/>
          <w:szCs w:val="20"/>
          <w:color w:val="auto"/>
        </w:rPr>
      </w:pPr>
    </w:p>
    <w:p>
      <w:pPr>
        <w:ind w:left="240" w:hanging="233"/>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the Company, or a committee of the Board of Directors named by the Board to administer the Plan.</w:t>
      </w:r>
    </w:p>
    <w:p>
      <w:pPr>
        <w:spacing w:after="0" w:line="270" w:lineRule="exact"/>
        <w:rPr>
          <w:rFonts w:ascii="Arial" w:cs="Arial" w:eastAsia="Arial" w:hAnsi="Arial"/>
          <w:sz w:val="16"/>
          <w:szCs w:val="16"/>
          <w:color w:val="auto"/>
        </w:rPr>
      </w:pPr>
    </w:p>
    <w:p>
      <w:pPr>
        <w:ind w:left="240" w:hanging="233"/>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 including any successor statute, regulation and guidance thereto.</w:t>
      </w:r>
    </w:p>
    <w:p>
      <w:pPr>
        <w:spacing w:after="0" w:line="270" w:lineRule="exact"/>
        <w:rPr>
          <w:rFonts w:ascii="Arial" w:cs="Arial" w:eastAsia="Arial" w:hAnsi="Arial"/>
          <w:sz w:val="16"/>
          <w:szCs w:val="16"/>
          <w:color w:val="auto"/>
        </w:rPr>
      </w:pPr>
    </w:p>
    <w:p>
      <w:pPr>
        <w:ind w:left="240" w:hanging="233"/>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mean the common stock, $.01 par value per share, of the Company.</w:t>
      </w:r>
    </w:p>
    <w:p>
      <w:pPr>
        <w:spacing w:after="0" w:line="256" w:lineRule="exact"/>
        <w:rPr>
          <w:rFonts w:ascii="Arial" w:cs="Arial" w:eastAsia="Arial" w:hAnsi="Arial"/>
          <w:sz w:val="16"/>
          <w:szCs w:val="16"/>
          <w:color w:val="auto"/>
        </w:rPr>
      </w:pPr>
    </w:p>
    <w:p>
      <w:pPr>
        <w:ind w:left="240" w:hanging="233"/>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mean Myriad Genetics, Inc, a Delaware corporation.</w:t>
      </w:r>
    </w:p>
    <w:p>
      <w:pPr>
        <w:spacing w:after="0" w:line="270" w:lineRule="exact"/>
        <w:rPr>
          <w:rFonts w:ascii="Arial" w:cs="Arial" w:eastAsia="Arial" w:hAnsi="Arial"/>
          <w:sz w:val="16"/>
          <w:szCs w:val="16"/>
          <w:color w:val="auto"/>
        </w:rPr>
      </w:pPr>
    </w:p>
    <w:p>
      <w:pPr>
        <w:jc w:val="both"/>
        <w:ind w:firstLine="7"/>
        <w:spacing w:after="0" w:line="284" w:lineRule="auto"/>
        <w:tabs>
          <w:tab w:leader="none" w:pos="241"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shall mean the regular rate of salary or wages received by the Employee from the Company or a Designated Subsidiary that is taxable income for federal income tax purposes or applicable tax law, including payments for overtime and shift premium, but excluding bonuses, commissions, incentive compensation, incentive payments, relocation, expense reimbursements, tuition, or other reimbursements and any other compensation received from the Company or a Designated Subsidiary.</w:t>
      </w:r>
    </w:p>
    <w:p>
      <w:pPr>
        <w:spacing w:after="0" w:line="197" w:lineRule="exact"/>
        <w:rPr>
          <w:rFonts w:ascii="Arial" w:cs="Arial" w:eastAsia="Arial" w:hAnsi="Arial"/>
          <w:sz w:val="16"/>
          <w:szCs w:val="16"/>
          <w:color w:val="auto"/>
        </w:rPr>
      </w:pPr>
    </w:p>
    <w:p>
      <w:pPr>
        <w:jc w:val="both"/>
        <w:ind w:firstLine="7"/>
        <w:spacing w:after="0" w:line="287" w:lineRule="auto"/>
        <w:tabs>
          <w:tab w:leader="none" w:pos="20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208" w:lineRule="exact"/>
        <w:rPr>
          <w:rFonts w:ascii="Arial" w:cs="Arial" w:eastAsia="Arial" w:hAnsi="Arial"/>
          <w:sz w:val="16"/>
          <w:szCs w:val="16"/>
          <w:color w:val="auto"/>
        </w:rPr>
      </w:pPr>
    </w:p>
    <w:p>
      <w:pPr>
        <w:ind w:left="240" w:hanging="233"/>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Contributions</w:t>
      </w:r>
      <w:r>
        <w:rPr>
          <w:rFonts w:ascii="Arial" w:cs="Arial" w:eastAsia="Arial" w:hAnsi="Arial"/>
          <w:sz w:val="16"/>
          <w:szCs w:val="16"/>
          <w:color w:val="auto"/>
        </w:rPr>
        <w:t>” shall mean all amounts credited to the account of a participant pursuant to the Plan.</w:t>
      </w:r>
    </w:p>
    <w:p>
      <w:pPr>
        <w:spacing w:after="0" w:line="256" w:lineRule="exact"/>
        <w:rPr>
          <w:rFonts w:ascii="Arial" w:cs="Arial" w:eastAsia="Arial" w:hAnsi="Arial"/>
          <w:sz w:val="16"/>
          <w:szCs w:val="16"/>
          <w:color w:val="auto"/>
        </w:rPr>
      </w:pPr>
    </w:p>
    <w:p>
      <w:pPr>
        <w:ind w:right="20" w:firstLine="7"/>
        <w:spacing w:after="0" w:line="314" w:lineRule="auto"/>
        <w:tabs>
          <w:tab w:leader="none" w:pos="254"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Subsidiaries</w:t>
      </w:r>
      <w:r>
        <w:rPr>
          <w:rFonts w:ascii="Arial" w:cs="Arial" w:eastAsia="Arial" w:hAnsi="Arial"/>
          <w:sz w:val="16"/>
          <w:szCs w:val="16"/>
          <w:color w:val="auto"/>
        </w:rPr>
        <w:t>” shall mean the Subsidiaries which have been designated by the Board from time to time in its sole discretion as eligible to participate in the Plan.</w:t>
      </w:r>
    </w:p>
    <w:p>
      <w:pPr>
        <w:spacing w:after="0" w:line="186" w:lineRule="exact"/>
        <w:rPr>
          <w:rFonts w:ascii="Arial" w:cs="Arial" w:eastAsia="Arial" w:hAnsi="Arial"/>
          <w:sz w:val="16"/>
          <w:szCs w:val="16"/>
          <w:color w:val="auto"/>
        </w:rPr>
      </w:pPr>
    </w:p>
    <w:p>
      <w:pPr>
        <w:ind w:firstLine="7"/>
        <w:spacing w:after="0" w:line="296" w:lineRule="auto"/>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any person who is employed by the Company or one of its Designated Subsidiaries for tax purposes and who is customarily employed for at least 20 hours per week and more than five months in a calendar year by the Company or one of its Designated Subsidiaries.</w:t>
      </w:r>
    </w:p>
    <w:p>
      <w:pPr>
        <w:spacing w:after="0" w:line="200" w:lineRule="exact"/>
        <w:rPr>
          <w:rFonts w:ascii="Arial" w:cs="Arial" w:eastAsia="Arial" w:hAnsi="Arial"/>
          <w:sz w:val="16"/>
          <w:szCs w:val="16"/>
          <w:color w:val="auto"/>
        </w:rPr>
      </w:pPr>
    </w:p>
    <w:p>
      <w:pPr>
        <w:ind w:left="200" w:hanging="193"/>
        <w:spacing w:after="0"/>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Date</w:t>
      </w:r>
      <w:r>
        <w:rPr>
          <w:rFonts w:ascii="Arial" w:cs="Arial" w:eastAsia="Arial" w:hAnsi="Arial"/>
          <w:sz w:val="16"/>
          <w:szCs w:val="16"/>
          <w:color w:val="auto"/>
        </w:rPr>
        <w:t>” shall mean the last business day of each Offering Period of the Plan.</w:t>
      </w:r>
    </w:p>
    <w:p>
      <w:pPr>
        <w:spacing w:after="0" w:line="256" w:lineRule="exact"/>
        <w:rPr>
          <w:rFonts w:ascii="Arial" w:cs="Arial" w:eastAsia="Arial" w:hAnsi="Arial"/>
          <w:sz w:val="16"/>
          <w:szCs w:val="16"/>
          <w:color w:val="auto"/>
        </w:rPr>
      </w:pPr>
    </w:p>
    <w:p>
      <w:pPr>
        <w:ind w:firstLine="7"/>
        <w:spacing w:after="0" w:line="314" w:lineRule="auto"/>
        <w:tabs>
          <w:tab w:leader="none" w:pos="232"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shall mean with respect to an Offering Period, an amount equal to 85% of the fair market value (as defined in paragraph 7(b)) of a share of Common Stock on the Offering Date or on the Exercise Date, whichever is lower.</w:t>
      </w:r>
    </w:p>
    <w:p>
      <w:pPr>
        <w:spacing w:after="0" w:line="186" w:lineRule="exact"/>
        <w:rPr>
          <w:rFonts w:ascii="Arial" w:cs="Arial" w:eastAsia="Arial" w:hAnsi="Arial"/>
          <w:sz w:val="16"/>
          <w:szCs w:val="16"/>
          <w:color w:val="auto"/>
        </w:rPr>
      </w:pPr>
    </w:p>
    <w:p>
      <w:pPr>
        <w:ind w:left="200" w:hanging="193"/>
        <w:spacing w:after="0"/>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Date</w:t>
      </w:r>
      <w:r>
        <w:rPr>
          <w:rFonts w:ascii="Arial" w:cs="Arial" w:eastAsia="Arial" w:hAnsi="Arial"/>
          <w:sz w:val="16"/>
          <w:szCs w:val="16"/>
          <w:color w:val="auto"/>
        </w:rPr>
        <w:t>” shall mean the first business day of each Offering Period of the Plan.</w:t>
      </w:r>
    </w:p>
    <w:p>
      <w:pPr>
        <w:spacing w:after="0" w:line="256" w:lineRule="exact"/>
        <w:rPr>
          <w:rFonts w:ascii="Arial" w:cs="Arial" w:eastAsia="Arial" w:hAnsi="Arial"/>
          <w:sz w:val="16"/>
          <w:szCs w:val="16"/>
          <w:color w:val="auto"/>
        </w:rPr>
      </w:pPr>
    </w:p>
    <w:p>
      <w:pPr>
        <w:ind w:firstLine="7"/>
        <w:spacing w:after="0" w:line="314" w:lineRule="auto"/>
        <w:tabs>
          <w:tab w:leader="none" w:pos="285"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shall mean a period of six months as set forth in paragraph 4 of the Plan (or such other period as determined by the Board in accordance with this Plan).</w:t>
      </w:r>
    </w:p>
    <w:p>
      <w:pPr>
        <w:spacing w:after="0" w:line="173" w:lineRule="exact"/>
        <w:rPr>
          <w:rFonts w:ascii="Arial" w:cs="Arial" w:eastAsia="Arial" w:hAnsi="Arial"/>
          <w:sz w:val="16"/>
          <w:szCs w:val="16"/>
          <w:color w:val="auto"/>
        </w:rPr>
      </w:pPr>
    </w:p>
    <w:p>
      <w:pPr>
        <w:ind w:left="240" w:hanging="233"/>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this Myriad Genetics, Inc. Amended and Restated 2012 Employee Stock Purchase Plan.</w:t>
      </w:r>
    </w:p>
    <w:p>
      <w:pPr>
        <w:spacing w:after="0" w:line="270" w:lineRule="exact"/>
        <w:rPr>
          <w:rFonts w:ascii="Arial" w:cs="Arial" w:eastAsia="Arial" w:hAnsi="Arial"/>
          <w:sz w:val="16"/>
          <w:szCs w:val="16"/>
          <w:color w:val="auto"/>
        </w:rPr>
      </w:pPr>
    </w:p>
    <w:p>
      <w:pPr>
        <w:ind w:firstLine="7"/>
        <w:spacing w:after="0" w:line="314" w:lineRule="auto"/>
        <w:tabs>
          <w:tab w:leader="none" w:pos="254"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380" w:right="339" w:bottom="1440" w:gutter="0" w:footer="0" w:header="0"/>
        </w:sectPr>
      </w:pPr>
    </w:p>
    <w:bookmarkStart w:id="12" w:name="page13"/>
    <w:bookmarkEnd w:id="12"/>
    <w:p>
      <w:pPr>
        <w:ind w:left="180" w:hanging="173"/>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w:t>
      </w:r>
    </w:p>
    <w:p>
      <w:pPr>
        <w:spacing w:after="0" w:line="270" w:lineRule="exact"/>
        <w:rPr>
          <w:sz w:val="20"/>
          <w:szCs w:val="20"/>
          <w:color w:val="auto"/>
        </w:rPr>
      </w:pPr>
    </w:p>
    <w:p>
      <w:pPr>
        <w:jc w:val="both"/>
        <w:ind w:firstLine="7"/>
        <w:spacing w:after="0" w:line="278" w:lineRule="auto"/>
        <w:tabs>
          <w:tab w:leader="none" w:pos="248"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person who has been continuously employed as an Employee for three months as of the Offering Date of a given Offering Period shall be eligible to participate in such Offering Period under the Plan and further, subject to the requirements of paragraph 5(a) and the limitations imposed by Section 423(b) of the Code. All Employees granted options under the Plan with respect to any Offering Period will have the same rights and privileges except for any differences that may be permitted pursuant to Section 423.</w:t>
      </w:r>
    </w:p>
    <w:p>
      <w:pPr>
        <w:spacing w:after="0" w:line="216" w:lineRule="exact"/>
        <w:rPr>
          <w:rFonts w:ascii="Arial" w:cs="Arial" w:eastAsia="Arial" w:hAnsi="Arial"/>
          <w:sz w:val="16"/>
          <w:szCs w:val="16"/>
          <w:color w:val="auto"/>
        </w:rPr>
      </w:pPr>
    </w:p>
    <w:p>
      <w:pPr>
        <w:jc w:val="both"/>
        <w:ind w:firstLine="7"/>
        <w:spacing w:after="0" w:line="276" w:lineRule="auto"/>
        <w:tabs>
          <w:tab w:leader="none" w:pos="247"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or her rights to purchase stock under all employee stock purchase plans (described in Section 423 of the Code) of the Company and its Subsidiaries to accrue at a rate which exceeds $25,000 of fair market value of such stock as defined in paragraph 7(b) (determined at the time such option is granted) for each calendar year in which such option is outstanding at any time. This limitation shall be applied in accordance with Section 423(b)(8) of the Code. In addition, the maximum number of shares of Common Stock that may be purchased by any participant during an Offering Period shall be 5,000 shares of Common Stock. Any option granted under the Plan shall be deemed to be modified to the extent necessary to satisfy this paragraph 3(b).</w:t>
      </w:r>
    </w:p>
    <w:p>
      <w:pPr>
        <w:spacing w:after="0" w:line="206" w:lineRule="exact"/>
        <w:rPr>
          <w:sz w:val="20"/>
          <w:szCs w:val="20"/>
          <w:color w:val="auto"/>
        </w:rPr>
      </w:pPr>
    </w:p>
    <w:p>
      <w:pPr>
        <w:jc w:val="both"/>
        <w:ind w:firstLine="7"/>
        <w:spacing w:after="0" w:line="284" w:lineRule="auto"/>
        <w:tabs>
          <w:tab w:leader="none" w:pos="178" w:val="left"/>
        </w:tabs>
        <w:numPr>
          <w:ilvl w:val="0"/>
          <w:numId w:val="6"/>
        </w:numPr>
        <w:rPr>
          <w:rFonts w:ascii="Arial" w:cs="Arial" w:eastAsia="Arial" w:hAnsi="Arial"/>
          <w:sz w:val="16"/>
          <w:szCs w:val="16"/>
          <w:color w:val="auto"/>
        </w:rPr>
      </w:pPr>
      <w:r>
        <w:rPr>
          <w:rFonts w:ascii="Arial" w:cs="Arial" w:eastAsia="Arial" w:hAnsi="Arial"/>
          <w:sz w:val="16"/>
          <w:szCs w:val="16"/>
          <w:color w:val="auto"/>
        </w:rPr>
        <w:t>O</w:t>
      </w:r>
      <w:r>
        <w:rPr>
          <w:rFonts w:ascii="Arial" w:cs="Arial" w:eastAsia="Arial" w:hAnsi="Arial"/>
          <w:sz w:val="16"/>
          <w:szCs w:val="16"/>
          <w:u w:val="single" w:color="auto"/>
          <w:color w:val="auto"/>
        </w:rPr>
        <w:t>ffering Periods</w:t>
      </w:r>
      <w:r>
        <w:rPr>
          <w:rFonts w:ascii="Arial" w:cs="Arial" w:eastAsia="Arial" w:hAnsi="Arial"/>
          <w:sz w:val="16"/>
          <w:szCs w:val="16"/>
          <w:color w:val="auto"/>
        </w:rPr>
        <w:t>. The Plan shall be implemented by a series of Offering Periods, with a new Offering Period commencing on December 1 and June 1 of each year or the first business day thereafter (or at such other time or times as may be determined by the Board). The dates and provisions of separate Offering Periods under the Plan need not be identical, provided that the terms of participation are the same within any particular Offering Period except for any differences that may be permitted pursuant to Section 423 of the Code.</w:t>
      </w:r>
    </w:p>
    <w:p>
      <w:pPr>
        <w:spacing w:after="0" w:line="211" w:lineRule="exact"/>
        <w:rPr>
          <w:rFonts w:ascii="Arial" w:cs="Arial" w:eastAsia="Arial" w:hAnsi="Arial"/>
          <w:sz w:val="16"/>
          <w:szCs w:val="16"/>
          <w:color w:val="auto"/>
        </w:rPr>
      </w:pPr>
    </w:p>
    <w:p>
      <w:pPr>
        <w:ind w:left="180" w:hanging="173"/>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257" w:lineRule="exact"/>
        <w:rPr>
          <w:sz w:val="20"/>
          <w:szCs w:val="20"/>
          <w:color w:val="auto"/>
        </w:rPr>
      </w:pPr>
    </w:p>
    <w:p>
      <w:pPr>
        <w:jc w:val="both"/>
        <w:ind w:firstLine="7"/>
        <w:spacing w:after="0" w:line="284" w:lineRule="auto"/>
        <w:tabs>
          <w:tab w:leader="none" w:pos="241"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an Enrollment Form provided by the Company and filing it with the Company or its designee prior to the applicable Offering Date, unless a later time for filing the Enrollment Form is set by the Board for all eligible Employees with respect to a given Offering Period. The Enrollment Form and its submission may be electronic as directed by the Company. The Enrollment Form shall set forth the percentage of the participant’s Compensation (which shall be not less than 1% and not more than 10%) to be paid as Contributions pursuant to the Plan.</w:t>
      </w:r>
    </w:p>
    <w:p>
      <w:pPr>
        <w:spacing w:after="0" w:line="211" w:lineRule="exact"/>
        <w:rPr>
          <w:rFonts w:ascii="Arial" w:cs="Arial" w:eastAsia="Arial" w:hAnsi="Arial"/>
          <w:sz w:val="16"/>
          <w:szCs w:val="16"/>
          <w:color w:val="auto"/>
        </w:rPr>
      </w:pPr>
    </w:p>
    <w:p>
      <w:pPr>
        <w:jc w:val="both"/>
        <w:ind w:firstLine="7"/>
        <w:spacing w:after="0" w:line="287" w:lineRule="auto"/>
        <w:tabs>
          <w:tab w:leader="none" w:pos="245"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Payroll deductions shall commence with the first payroll following the Offering Date, unless a later time is set by the Board with respect to a given Offering Period, and shall end on the last payroll paid on or prior to the Exercise Date of the Offering Period to which the Enrollment Form is applicable, unless sooner terminated as provided in paragraph 10.</w:t>
      </w:r>
    </w:p>
    <w:p>
      <w:pPr>
        <w:spacing w:after="0" w:line="195" w:lineRule="exact"/>
        <w:rPr>
          <w:sz w:val="20"/>
          <w:szCs w:val="20"/>
          <w:color w:val="auto"/>
        </w:rPr>
      </w:pPr>
    </w:p>
    <w:p>
      <w:pPr>
        <w:ind w:left="180" w:hanging="173"/>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Method of Payment of Contributions</w:t>
      </w:r>
      <w:r>
        <w:rPr>
          <w:rFonts w:ascii="Arial" w:cs="Arial" w:eastAsia="Arial" w:hAnsi="Arial"/>
          <w:sz w:val="16"/>
          <w:szCs w:val="16"/>
          <w:color w:val="auto"/>
        </w:rPr>
        <w:t>.</w:t>
      </w:r>
    </w:p>
    <w:p>
      <w:pPr>
        <w:spacing w:after="0" w:line="270" w:lineRule="exact"/>
        <w:rPr>
          <w:sz w:val="20"/>
          <w:szCs w:val="20"/>
          <w:color w:val="auto"/>
        </w:rPr>
      </w:pPr>
    </w:p>
    <w:p>
      <w:pPr>
        <w:jc w:val="both"/>
        <w:ind w:firstLine="7"/>
        <w:spacing w:after="0" w:line="278" w:lineRule="auto"/>
        <w:tabs>
          <w:tab w:leader="none" w:pos="247"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participant shall elect to have payroll deductions made on each payroll during the Offering Period in an amount not less than 1% and not more than 10% of such participant’s Compensation on each such payroll (in whole percentage amounts); provided that the aggregate of such payroll deductions during the Offering Period shall not exceed 10% of the participant’s aggregate Compensation during said Offering Period (or such other percentage as the Board may establish from time to time before an Offering Date). All payroll deductions made by a participant shall be credited to his or her account under the Plan. A participant may not make any additional payments into such account.</w:t>
      </w:r>
    </w:p>
    <w:p>
      <w:pPr>
        <w:spacing w:after="0" w:line="216" w:lineRule="exact"/>
        <w:rPr>
          <w:rFonts w:ascii="Arial" w:cs="Arial" w:eastAsia="Arial" w:hAnsi="Arial"/>
          <w:sz w:val="16"/>
          <w:szCs w:val="16"/>
          <w:color w:val="auto"/>
        </w:rPr>
      </w:pPr>
    </w:p>
    <w:p>
      <w:pPr>
        <w:jc w:val="both"/>
        <w:ind w:firstLine="7"/>
        <w:spacing w:after="0" w:line="278" w:lineRule="auto"/>
        <w:tabs>
          <w:tab w:leader="none" w:pos="254"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paragraph 10, or, on one occasion only during the Offering Period, may decrease, but may not increase, the rate of his or her Contributions during the Offering Period by completing and filing with the Company a new Enrollment Form authorizing a change in the deduction rate. The change in rate shall be effective as of the beginning of the next payroll period following the date of filing of the new Enrollment Form, if the Enrollment Form is completed at least ten business days prior to such date, and, if not, as of the beginning of the next succeeding payroll period.</w:t>
      </w:r>
    </w:p>
    <w:p>
      <w:pPr>
        <w:spacing w:after="0" w:line="216" w:lineRule="exact"/>
        <w:rPr>
          <w:rFonts w:ascii="Arial" w:cs="Arial" w:eastAsia="Arial" w:hAnsi="Arial"/>
          <w:sz w:val="16"/>
          <w:szCs w:val="16"/>
          <w:color w:val="auto"/>
        </w:rPr>
      </w:pPr>
    </w:p>
    <w:p>
      <w:pPr>
        <w:jc w:val="both"/>
        <w:ind w:firstLine="7"/>
        <w:spacing w:after="0" w:line="278" w:lineRule="auto"/>
        <w:tabs>
          <w:tab w:leader="none" w:pos="235"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equals $21,250. Payroll deductions shall recommence at the rate provided in such participant’s Enrollment Form at the beginning of the first Offering Period which is scheduled to end in the following calendar year, unless terminated by the participant as provided in paragraph 10.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767" w:right="339" w:bottom="1440" w:gutter="0" w:footer="0" w:header="0"/>
        </w:sectPr>
      </w:pPr>
    </w:p>
    <w:bookmarkStart w:id="13" w:name="page14"/>
    <w:bookmarkEnd w:id="13"/>
    <w:p>
      <w:pPr>
        <w:ind w:left="173" w:hanging="173"/>
        <w:spacing w:after="0"/>
        <w:tabs>
          <w:tab w:leader="none" w:pos="17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w:t>
      </w:r>
    </w:p>
    <w:p>
      <w:pPr>
        <w:spacing w:after="0" w:line="270" w:lineRule="exact"/>
        <w:rPr>
          <w:sz w:val="20"/>
          <w:szCs w:val="20"/>
          <w:color w:val="auto"/>
        </w:rPr>
      </w:pPr>
    </w:p>
    <w:p>
      <w:pPr>
        <w:jc w:val="both"/>
        <w:ind w:left="-7" w:firstLine="7"/>
        <w:spacing w:after="0" w:line="278" w:lineRule="auto"/>
        <w:tabs>
          <w:tab w:leader="none" w:pos="2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the Offering Date of each Offering Period, each eligible Employee participating in such Offering Period shall be granted an option to purchase on the Exercise Date of such Offering Period a number of shares of the Common Stock determined by dividing such Employee’s Contributions accumulated prior to such Exercise Date and retained in the participant’s account as of the Exercise Date by the applicable Exercise Price; provided however, that such purchase shall be subject to the limitations set forth in paragraphs 3(b) and 12. The fair market value of a share of the Common Stock shall be determined as provided in paragraph 7(b).</w:t>
      </w:r>
    </w:p>
    <w:p>
      <w:pPr>
        <w:spacing w:after="0" w:line="216" w:lineRule="exact"/>
        <w:rPr>
          <w:rFonts w:ascii="Arial" w:cs="Arial" w:eastAsia="Arial" w:hAnsi="Arial"/>
          <w:sz w:val="16"/>
          <w:szCs w:val="16"/>
          <w:color w:val="auto"/>
        </w:rPr>
      </w:pPr>
    </w:p>
    <w:p>
      <w:pPr>
        <w:jc w:val="both"/>
        <w:ind w:left="-7" w:firstLine="7"/>
        <w:spacing w:after="0" w:line="278" w:lineRule="auto"/>
        <w:tabs>
          <w:tab w:leader="none" w:pos="2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fair market value of the Common Stock on a given date shall be (i) if the Common Stock is listed on a national securities exchange or traded in the over-the-counter market and sales prices are regularly reported for the Common Stock, the closing or last sale price of the Common Stock for such date (or, in the event that the Common Stock is not traded on such date, on the immediately preceding trading date), on the composite tape or other comparable reporting system; or (ii) if the Common Stock is not listed on a national securities exchange and such price is not regularly reported, the mean between the bid and asked prices per share of the Common Stock at the close of trading in the over-the-counter market.</w:t>
      </w:r>
    </w:p>
    <w:p>
      <w:pPr>
        <w:spacing w:after="0" w:line="217" w:lineRule="exact"/>
        <w:rPr>
          <w:sz w:val="20"/>
          <w:szCs w:val="20"/>
          <w:color w:val="auto"/>
        </w:rPr>
      </w:pPr>
    </w:p>
    <w:p>
      <w:pPr>
        <w:jc w:val="both"/>
        <w:ind w:left="-7" w:firstLine="7"/>
        <w:spacing w:after="0" w:line="278" w:lineRule="auto"/>
        <w:tabs>
          <w:tab w:leader="none" w:pos="17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Unless a participant withdraws from the Plan as provided in paragraph 10, his or her option for the purchase of shares will be exercised automatically on the Exercise Date of the Offering Period, and the maximum number of full shares subject to the option will be purchased for him or her at the applicable Exercise Price with the accumulated Contributions in his or her account. If a fractional number of shares results, then such number shall be rounded down to the next whole number and any unapplied cash shall be carried forward to the next Exercise Date, unless the participant requests a cash payment. The shares purchased upon exercise of an option hereunder shall be deemed to be transferred to the participant on the Exercise Date. During a participant’s lifetime, a participant’s option to purchase shares hereunder is exercisable only by him or her.</w:t>
      </w:r>
    </w:p>
    <w:p>
      <w:pPr>
        <w:spacing w:after="0" w:line="204" w:lineRule="exact"/>
        <w:rPr>
          <w:rFonts w:ascii="Arial" w:cs="Arial" w:eastAsia="Arial" w:hAnsi="Arial"/>
          <w:sz w:val="16"/>
          <w:szCs w:val="16"/>
          <w:color w:val="auto"/>
        </w:rPr>
      </w:pPr>
    </w:p>
    <w:p>
      <w:pPr>
        <w:jc w:val="both"/>
        <w:ind w:left="-7" w:firstLine="7"/>
        <w:spacing w:after="0" w:line="278" w:lineRule="auto"/>
        <w:tabs>
          <w:tab w:leader="none" w:pos="17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 Upon the written request of a participant, certificates representing the shares purchased upon exercise of an option will be issued as promptly as practicable after the Exercise Date of each Offering Period to participants who wish to hold their shares in certificate form, except that the Board may determine that such shares shall be held for each participant’s benefit by a broker designated by the Board. Any payroll deductions accumulated in a participant’s account which are not sufficient to purchase a full Share shall be retained in the participant’s account for the subsequent Offering Period, subject to earlier withdrawal by the participant as provided in paragraph 10 below. Any other amounts left over in a participant’s account after an Exercise Date shall be returned to the participant.</w:t>
      </w:r>
    </w:p>
    <w:p>
      <w:pPr>
        <w:spacing w:after="0" w:line="217" w:lineRule="exact"/>
        <w:rPr>
          <w:rFonts w:ascii="Arial" w:cs="Arial" w:eastAsia="Arial" w:hAnsi="Arial"/>
          <w:sz w:val="16"/>
          <w:szCs w:val="16"/>
          <w:color w:val="auto"/>
        </w:rPr>
      </w:pPr>
    </w:p>
    <w:p>
      <w:pPr>
        <w:ind w:left="273" w:hanging="273"/>
        <w:spacing w:after="0"/>
        <w:tabs>
          <w:tab w:leader="none" w:pos="27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Withdrawal; Termination of Employment</w:t>
      </w:r>
      <w:r>
        <w:rPr>
          <w:rFonts w:ascii="Arial" w:cs="Arial" w:eastAsia="Arial" w:hAnsi="Arial"/>
          <w:sz w:val="16"/>
          <w:szCs w:val="16"/>
          <w:color w:val="auto"/>
        </w:rPr>
        <w:t>.</w:t>
      </w:r>
    </w:p>
    <w:p>
      <w:pPr>
        <w:spacing w:after="0" w:line="257" w:lineRule="exact"/>
        <w:rPr>
          <w:sz w:val="20"/>
          <w:szCs w:val="20"/>
          <w:color w:val="auto"/>
        </w:rPr>
      </w:pPr>
    </w:p>
    <w:p>
      <w:pPr>
        <w:jc w:val="both"/>
        <w:ind w:left="-7" w:firstLine="7"/>
        <w:spacing w:after="0" w:line="284" w:lineRule="auto"/>
        <w:tabs>
          <w:tab w:leader="none" w:pos="23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participant may withdraw all but not less than all the Contributions credited to his or her account under the Plan at any time prior to the Exercise Date of the Offering Period by giving written notice to the Company or its designee. All of the participant’s Contributions credited to his or her account will be paid to him or her as soon as practicable after receipt of his or her notice of withdrawal and his or her option for the current period will be automatically terminated, and no further Contributions for the purchase of shares will be made during the Offering Period.</w:t>
      </w:r>
    </w:p>
    <w:p>
      <w:pPr>
        <w:spacing w:after="0" w:line="211" w:lineRule="exact"/>
        <w:rPr>
          <w:rFonts w:ascii="Arial" w:cs="Arial" w:eastAsia="Arial" w:hAnsi="Arial"/>
          <w:sz w:val="16"/>
          <w:szCs w:val="16"/>
          <w:color w:val="auto"/>
        </w:rPr>
      </w:pPr>
    </w:p>
    <w:p>
      <w:pPr>
        <w:jc w:val="both"/>
        <w:ind w:left="-7" w:firstLine="7"/>
        <w:spacing w:after="0" w:line="287" w:lineRule="auto"/>
        <w:tabs>
          <w:tab w:leader="none" w:pos="263"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termination of the participant’s Continuous Status as an Employee prior to the Exercise Date of the Offering Period for any reason, including retirement or death, the Contributions credited to his or her account will be returned to him or her or, in the case of his or her death, to the person or persons entitled thereto under paragraph 14, and his or her option will be automatically terminated.</w:t>
      </w:r>
    </w:p>
    <w:p>
      <w:pPr>
        <w:spacing w:after="0" w:line="194" w:lineRule="exact"/>
        <w:rPr>
          <w:rFonts w:ascii="Arial" w:cs="Arial" w:eastAsia="Arial" w:hAnsi="Arial"/>
          <w:sz w:val="16"/>
          <w:szCs w:val="16"/>
          <w:color w:val="auto"/>
        </w:rPr>
      </w:pPr>
    </w:p>
    <w:p>
      <w:pPr>
        <w:jc w:val="both"/>
        <w:ind w:left="-7" w:firstLine="7"/>
        <w:spacing w:after="0" w:line="296" w:lineRule="auto"/>
        <w:tabs>
          <w:tab w:leader="none" w:pos="2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event an Employee fails to remain in Continuous Status as an Employee for at least 20 hours per week during the Offering Period in which the Employee is a participant, he or she will be deemed to have elected to withdraw from the Plan and the Contributions credited to his or her account will be returned to him or her and his or her option terminated.</w:t>
      </w:r>
    </w:p>
    <w:p>
      <w:pPr>
        <w:spacing w:after="0" w:line="187" w:lineRule="exact"/>
        <w:rPr>
          <w:rFonts w:ascii="Arial" w:cs="Arial" w:eastAsia="Arial" w:hAnsi="Arial"/>
          <w:sz w:val="16"/>
          <w:szCs w:val="16"/>
          <w:color w:val="auto"/>
        </w:rPr>
      </w:pPr>
    </w:p>
    <w:p>
      <w:pPr>
        <w:ind w:left="-7" w:firstLine="7"/>
        <w:spacing w:after="0" w:line="314" w:lineRule="auto"/>
        <w:tabs>
          <w:tab w:leader="none" w:pos="2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participant’s withdrawal from an Offering Period will not have any effect upon his or her eligibility to participate in a succeeding offering or in any similar plan which may hereafter be adopted by the Company.</w:t>
      </w:r>
    </w:p>
    <w:p>
      <w:pPr>
        <w:spacing w:after="0" w:line="173" w:lineRule="exact"/>
        <w:rPr>
          <w:sz w:val="20"/>
          <w:szCs w:val="20"/>
          <w:color w:val="auto"/>
        </w:rPr>
      </w:pPr>
    </w:p>
    <w:p>
      <w:pPr>
        <w:ind w:left="253" w:hanging="253"/>
        <w:spacing w:after="0"/>
        <w:tabs>
          <w:tab w:leader="none" w:pos="253"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No interest shall accrue on the Contributions of a participant in the Plan.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9" w:lineRule="exact"/>
        <w:rPr>
          <w:rFonts w:ascii="Arial" w:cs="Arial" w:eastAsia="Arial" w:hAnsi="Arial"/>
          <w:sz w:val="16"/>
          <w:szCs w:val="16"/>
          <w:color w:val="auto"/>
        </w:rPr>
      </w:pPr>
    </w:p>
    <w:p>
      <w:pPr>
        <w:ind w:left="5573"/>
        <w:spacing w:after="0"/>
        <w:rPr>
          <w:rFonts w:ascii="Arial" w:cs="Arial" w:eastAsia="Arial" w:hAnsi="Arial"/>
          <w:sz w:val="16"/>
          <w:szCs w:val="16"/>
          <w:color w:val="auto"/>
        </w:rPr>
      </w:pPr>
      <w:r>
        <w:rPr>
          <w:rFonts w:ascii="Arial" w:cs="Arial" w:eastAsia="Arial" w:hAnsi="Arial"/>
          <w:sz w:val="14"/>
          <w:szCs w:val="14"/>
          <w:color w:val="auto"/>
        </w:rPr>
        <w:t>3</w:t>
      </w:r>
    </w:p>
    <w:p>
      <w:pPr>
        <w:sectPr>
          <w:pgSz w:w="11900" w:h="16838" w:orient="portrait"/>
          <w:cols w:equalWidth="0" w:num="1">
            <w:col w:w="11233"/>
          </w:cols>
          <w:pgMar w:left="327" w:top="767" w:right="339" w:bottom="1440" w:gutter="0" w:footer="0" w:header="0"/>
        </w:sectPr>
      </w:pPr>
    </w:p>
    <w:bookmarkStart w:id="14" w:name="page15"/>
    <w:bookmarkEnd w:id="14"/>
    <w:p>
      <w:pPr>
        <w:ind w:left="280" w:hanging="273"/>
        <w:spacing w:after="0"/>
        <w:tabs>
          <w:tab w:leader="none" w:pos="28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w:t>
      </w:r>
    </w:p>
    <w:p>
      <w:pPr>
        <w:spacing w:after="0" w:line="270" w:lineRule="exact"/>
        <w:rPr>
          <w:sz w:val="20"/>
          <w:szCs w:val="20"/>
          <w:color w:val="auto"/>
        </w:rPr>
      </w:pPr>
    </w:p>
    <w:p>
      <w:pPr>
        <w:jc w:val="both"/>
        <w:ind w:firstLine="7"/>
        <w:spacing w:after="0" w:line="276" w:lineRule="auto"/>
        <w:tabs>
          <w:tab w:leader="none" w:pos="253"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maximum number of shares of Common Stock which shall be made available for sale under the Plan as amended and restated shall be 4,000,000 shares, subject to adjustment upon changes in capitalization of the Company as provided in paragraph 18. If the total number of shares which would otherwise be subject to options granted pursuant to paragraph 7(a) on the Offering Date of an Offering Period exceeds the number of shares then available under the Plan (after deduction of all shares for which options have been exercised), the Company shall make a pro rata allocation of the shares remaining available for option grants in as uniform a manner as shall be practicable and as it shall determine to be equitable. Any amounts remaining in an Employee’s account not applied to the purchase of shares pursuant to this paragraph 12 shall be refunded on or promptly after the Exercise Date. In such event, the Company shall give written notice of such reduction of the number of shares subject to the option to each Employee affected thereby and shall similarly reduce the rate of Contributions, if necessary.</w:t>
      </w:r>
    </w:p>
    <w:p>
      <w:pPr>
        <w:spacing w:after="0" w:line="204" w:lineRule="exact"/>
        <w:rPr>
          <w:rFonts w:ascii="Arial" w:cs="Arial" w:eastAsia="Arial" w:hAnsi="Arial"/>
          <w:sz w:val="16"/>
          <w:szCs w:val="16"/>
          <w:color w:val="auto"/>
        </w:rPr>
      </w:pPr>
    </w:p>
    <w:p>
      <w:pPr>
        <w:ind w:left="240" w:hanging="233"/>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participant will have no interest or voting right in shares covered by his or her option until such option has been exercised.</w:t>
      </w:r>
    </w:p>
    <w:p>
      <w:pPr>
        <w:spacing w:after="0" w:line="270" w:lineRule="exact"/>
        <w:rPr>
          <w:sz w:val="20"/>
          <w:szCs w:val="20"/>
          <w:color w:val="auto"/>
        </w:rPr>
      </w:pPr>
    </w:p>
    <w:p>
      <w:pPr>
        <w:jc w:val="both"/>
        <w:ind w:firstLine="7"/>
        <w:spacing w:after="0" w:line="278" w:lineRule="auto"/>
        <w:tabs>
          <w:tab w:leader="none" w:pos="267"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Board shall supervise and administer the Plan and shall have full power to adopt, amend and rescind any rules deemed desirable and appropriate for the administration of the Plan and not inconsistent with the Plan, to construe and interpret the Plan, to correct any defect or supply any omission or reconcile any inconsistency or ambiguity in the Plan and to make all other determinations necessary or advisable for the administration of the Plan, including without limitation, adopting subplans applicable to particular Designated Subsidiaries or locations, which subplans may be designed to be outside the scope of Section 423 of the Code.</w:t>
      </w:r>
    </w:p>
    <w:p>
      <w:pPr>
        <w:spacing w:after="0" w:line="216" w:lineRule="exact"/>
        <w:rPr>
          <w:rFonts w:ascii="Arial" w:cs="Arial" w:eastAsia="Arial" w:hAnsi="Arial"/>
          <w:sz w:val="16"/>
          <w:szCs w:val="16"/>
          <w:color w:val="auto"/>
        </w:rPr>
      </w:pPr>
    </w:p>
    <w:p>
      <w:pPr>
        <w:ind w:left="280" w:hanging="273"/>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w:t>
      </w:r>
    </w:p>
    <w:p>
      <w:pPr>
        <w:spacing w:after="0" w:line="270" w:lineRule="exact"/>
        <w:rPr>
          <w:sz w:val="20"/>
          <w:szCs w:val="20"/>
          <w:color w:val="auto"/>
        </w:rPr>
      </w:pPr>
    </w:p>
    <w:p>
      <w:pPr>
        <w:jc w:val="both"/>
        <w:ind w:firstLine="7"/>
        <w:spacing w:after="0" w:line="278" w:lineRule="auto"/>
        <w:tabs>
          <w:tab w:leader="none" w:pos="2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participant may designate a beneficiary who is to receive any shares and cash, if any, from the participant’s account under the Plan in the event of such participant’s death subsequent to the end of the Offering Period but prior to delivery to him or her of such shares and cash. In addition, a participant may designate a beneficiary who is to receive any cash from the participant’s account under the Plan in the event of such participant’s death prior to the Exercise Date of the Offering Period. If a participant is married and the designated beneficiary is not the spouse, spousal consent shall be required for such designation to be effective. Beneficiary designations shall be made either in writing or by electronic delivery as directed by the Company.</w:t>
      </w:r>
    </w:p>
    <w:p>
      <w:pPr>
        <w:spacing w:after="0" w:line="203" w:lineRule="exact"/>
        <w:rPr>
          <w:rFonts w:ascii="Arial" w:cs="Arial" w:eastAsia="Arial" w:hAnsi="Arial"/>
          <w:sz w:val="16"/>
          <w:szCs w:val="16"/>
          <w:color w:val="auto"/>
        </w:rPr>
      </w:pPr>
    </w:p>
    <w:p>
      <w:pPr>
        <w:jc w:val="both"/>
        <w:ind w:firstLine="7"/>
        <w:spacing w:after="0" w:line="278" w:lineRule="auto"/>
        <w:tabs>
          <w:tab w:leader="none" w:pos="2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(and his or her spouse, if any) at any time by submission of the required notice, which may be electronic.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17" w:lineRule="exact"/>
        <w:rPr>
          <w:sz w:val="20"/>
          <w:szCs w:val="20"/>
          <w:color w:val="auto"/>
        </w:rPr>
      </w:pPr>
    </w:p>
    <w:p>
      <w:pPr>
        <w:jc w:val="both"/>
        <w:ind w:firstLine="7"/>
        <w:spacing w:after="0" w:line="284" w:lineRule="auto"/>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Contributions credited to a participant’s account nor any rights with regard to the exercise of an option or to receive shares under the Plan may be assigned, transferred, pledged or otherwise disposed of in any way (other than by will, the laws of descent and distribution or as provided in paragraph 14) by the participant. Any such attempt at assignment, transfer, pledge or other disposition shall be without effect, except that the Company may treat such act as an election to withdraw funds in accordance with paragraph 10.</w:t>
      </w:r>
    </w:p>
    <w:p>
      <w:pPr>
        <w:spacing w:after="0" w:line="197" w:lineRule="exact"/>
        <w:rPr>
          <w:rFonts w:ascii="Arial" w:cs="Arial" w:eastAsia="Arial" w:hAnsi="Arial"/>
          <w:sz w:val="16"/>
          <w:szCs w:val="16"/>
          <w:color w:val="auto"/>
        </w:rPr>
      </w:pPr>
    </w:p>
    <w:p>
      <w:pPr>
        <w:ind w:firstLine="7"/>
        <w:spacing w:after="0" w:line="314" w:lineRule="auto"/>
        <w:tabs>
          <w:tab w:leader="none" w:pos="281"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Use of Funds</w:t>
      </w:r>
      <w:r>
        <w:rPr>
          <w:rFonts w:ascii="Arial" w:cs="Arial" w:eastAsia="Arial" w:hAnsi="Arial"/>
          <w:sz w:val="16"/>
          <w:szCs w:val="16"/>
          <w:color w:val="auto"/>
        </w:rPr>
        <w:t>. All Contributions received or held by the Company under the Plan may be used by the Company for any corporate purpose, and the Company shall not be obligated to segregate such Contributions.</w:t>
      </w:r>
    </w:p>
    <w:p>
      <w:pPr>
        <w:spacing w:after="0" w:line="186" w:lineRule="exact"/>
        <w:rPr>
          <w:rFonts w:ascii="Arial" w:cs="Arial" w:eastAsia="Arial" w:hAnsi="Arial"/>
          <w:sz w:val="16"/>
          <w:szCs w:val="16"/>
          <w:color w:val="auto"/>
        </w:rPr>
      </w:pPr>
    </w:p>
    <w:p>
      <w:pPr>
        <w:jc w:val="both"/>
        <w:ind w:firstLine="7"/>
        <w:spacing w:after="0" w:line="287" w:lineRule="auto"/>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Reports</w:t>
      </w:r>
      <w:r>
        <w:rPr>
          <w:rFonts w:ascii="Arial" w:cs="Arial" w:eastAsia="Arial" w:hAnsi="Arial"/>
          <w:sz w:val="16"/>
          <w:szCs w:val="16"/>
          <w:color w:val="auto"/>
        </w:rPr>
        <w:t>. Individual accounts will be maintained for each participant in the Plan. Statements of account will be given to participating Employees promptly following the Exercise Date, which statements will set forth the amounts of Contributions, the per share purchase price, the number of shares purchased and the remaining cash balance, if any.</w:t>
      </w:r>
    </w:p>
    <w:p>
      <w:pPr>
        <w:spacing w:after="0" w:line="194" w:lineRule="exact"/>
        <w:rPr>
          <w:rFonts w:ascii="Arial" w:cs="Arial" w:eastAsia="Arial" w:hAnsi="Arial"/>
          <w:sz w:val="16"/>
          <w:szCs w:val="16"/>
          <w:color w:val="auto"/>
        </w:rPr>
      </w:pPr>
    </w:p>
    <w:p>
      <w:pPr>
        <w:jc w:val="both"/>
        <w:ind w:firstLine="7"/>
        <w:spacing w:after="0" w:line="278" w:lineRule="auto"/>
        <w:tabs>
          <w:tab w:leader="none" w:pos="267"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stockholders of the Company, the number of shares of Common Stock covered by unexercised options under the Plan and the number of shares of Common Stock which have been authorized for issuance under the Plan but are not yet subject to options under paragraph 12(a), the number of shares of Common Stock set forth in paragraph 12(a)(i), (collectively, the “Reserves”), the maximum number of shares of Common Stock that may be purchased by a participant in an Offering Period set forth in paragraph 3(b)</w:t>
      </w:r>
      <w:r>
        <w:rPr>
          <w:rFonts w:ascii="Arial" w:cs="Arial" w:eastAsia="Arial" w:hAnsi="Arial"/>
          <w:sz w:val="16"/>
          <w:szCs w:val="16"/>
          <w:b w:val="1"/>
          <w:bCs w:val="1"/>
          <w:color w:val="auto"/>
        </w:rPr>
        <w:t>,</w:t>
      </w:r>
      <w:r>
        <w:rPr>
          <w:rFonts w:ascii="Arial" w:cs="Arial" w:eastAsia="Arial" w:hAnsi="Arial"/>
          <w:sz w:val="16"/>
          <w:szCs w:val="16"/>
          <w:color w:val="auto"/>
        </w:rPr>
        <w:t xml:space="preserve"> as well as the price per share of Common Stock covered by each unexercised option under the Plan, shall be proportionately adjusted for any increase or decrease in the number of issued shares of Common Stock resulting from a stock split, reverse stock split, stock dividend, combination or reclassification of the Common Stock. Such adjustment shall be made by the Board, whose determination in that respect shall be final, binding and conclusive.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767" w:right="339" w:bottom="1440" w:gutter="0" w:footer="0" w:header="0"/>
        </w:sectPr>
      </w:pPr>
    </w:p>
    <w:bookmarkStart w:id="15" w:name="page16"/>
    <w:bookmarkEnd w:id="15"/>
    <w:p>
      <w:pPr>
        <w:jc w:val="both"/>
        <w:spacing w:after="0" w:line="274" w:lineRule="auto"/>
        <w:rPr>
          <w:sz w:val="20"/>
          <w:szCs w:val="20"/>
          <w:color w:val="auto"/>
        </w:rPr>
      </w:pPr>
      <w:r>
        <w:rPr>
          <w:rFonts w:ascii="Arial" w:cs="Arial" w:eastAsia="Arial" w:hAnsi="Arial"/>
          <w:sz w:val="16"/>
          <w:szCs w:val="16"/>
          <w:color w:val="auto"/>
        </w:rPr>
        <w:t>In the event of the proposed dissolution or liquidation of the Company, an Offering Period then in progress will terminate immediately prior to the consummation of such proposed action, unless otherwise provided by the Board. In the event of a proposed sale of all or substantially all of the assets of the Company, or the merger, consolidation or other capital reorganization of the Company with or into another corporation, each option outstanding under the Plan shall be assumed or an equivalent option shall be substituted by such successor corporation or a parent or subsidiary of such successor corporation, unless the Board determines, in the exercise of its sole discretion and in lieu of such assumption or substitution, to shorten the Offering Period then in progress by setting a new Exercise Date (the “New Exercise Date”). If the Board shortens the Offering Period then in progress in lieu of assumption or substitution in the event of a merger or sale of assets, the Board shall notify each participant in writing, at least ten days prior to the New Exercise Date, that the Exercise Date for his or her option has been changed to the New Exercise Date and that his or her option will be exercised automatically on the New Exercise Date, unless prior to such date he or she has withdrawn from the Offering Period as provided in paragraph 10. For purposes of this paragraph, an option granted under the Plan shall be deemed to be assumed if, following the sale of assets, merger or other reorganization, the option confers the right to purchase, for each share of Common Stock subject to the option immediately prior to the sale of assets, merger or other reorganization, the consideration (whether stock, cash or other securities or property) received in the sale of assets, merger or other reorganization by holders of Common Stock for each share of Common Stock held on the effective date of such transaction (and if such holders were offered a choice of consideration, the type of consideration chosen by the holders of a majority of the outstanding shares of Common Stock); provided, however, that if such consideration received in such transaction was not solely common stock of the successor corporation or its parent (as defined in Section 424(e) of the Code), the Board may, with the consent of the successor corporation, provide for the consideration to be received upon exercise of the option to be solely common stock of the successor corporation or its parent equal in fair market value to the per share consideration received by holders of Common Stock in the sale of assets, merger or other reorganization.</w:t>
      </w:r>
    </w:p>
    <w:p>
      <w:pPr>
        <w:spacing w:after="0" w:line="21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98" w:lineRule="exact"/>
        <w:rPr>
          <w:sz w:val="20"/>
          <w:szCs w:val="20"/>
          <w:color w:val="auto"/>
        </w:rPr>
      </w:pPr>
    </w:p>
    <w:p>
      <w:pPr>
        <w:ind w:left="280" w:hanging="273"/>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Amendment or Termination</w:t>
      </w:r>
      <w:r>
        <w:rPr>
          <w:rFonts w:ascii="Arial" w:cs="Arial" w:eastAsia="Arial" w:hAnsi="Arial"/>
          <w:sz w:val="16"/>
          <w:szCs w:val="16"/>
          <w:color w:val="auto"/>
        </w:rPr>
        <w:t>.</w:t>
      </w:r>
    </w:p>
    <w:p>
      <w:pPr>
        <w:spacing w:after="0" w:line="270" w:lineRule="exact"/>
        <w:rPr>
          <w:sz w:val="20"/>
          <w:szCs w:val="20"/>
          <w:color w:val="auto"/>
        </w:rPr>
      </w:pPr>
    </w:p>
    <w:p>
      <w:pPr>
        <w:jc w:val="both"/>
        <w:ind w:firstLine="7"/>
        <w:spacing w:after="0" w:line="278" w:lineRule="auto"/>
        <w:tabs>
          <w:tab w:leader="none" w:pos="246"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Board may at any time terminate or amend the Plan. Except as provided in paragraph 18, no such termination may affect options previously granted, nor may an amendment make any change in any option theretofore granted which adversely affects the rights of any participant provided that an Offering Period may be terminated by the Board on an Exercise Date or by the Board’s setting a new Exercise Date with respect to an Offering Period then in progress if the Board determines that termination of the Offering Period is in the best interests of the Company and the stockholders or if continuation of the Offering Period would cause the Company to incur adverse accounting charges in the generally-accepted accounting rules applicable to the Plan. In addition, to the extent necessary to comply with Section 423 of the Code (or any successor rule or provision or any applicable law or regulation), the Company shall obtain stockholder approval in such a manner and to such a degree as so required.</w:t>
      </w:r>
    </w:p>
    <w:p>
      <w:pPr>
        <w:spacing w:after="0" w:line="204" w:lineRule="exact"/>
        <w:rPr>
          <w:rFonts w:ascii="Arial" w:cs="Arial" w:eastAsia="Arial" w:hAnsi="Arial"/>
          <w:sz w:val="16"/>
          <w:szCs w:val="16"/>
          <w:color w:val="auto"/>
        </w:rPr>
      </w:pPr>
    </w:p>
    <w:p>
      <w:pPr>
        <w:jc w:val="both"/>
        <w:ind w:firstLine="7"/>
        <w:spacing w:after="0" w:line="278"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Without stockholder consent and without regard to whether any participant rights may be considered to have been adversely affected, the Board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determines in its sole discretion advisable that are consistent with the Plan.</w:t>
      </w:r>
    </w:p>
    <w:p>
      <w:pPr>
        <w:spacing w:after="0" w:line="205" w:lineRule="exact"/>
        <w:rPr>
          <w:sz w:val="20"/>
          <w:szCs w:val="20"/>
          <w:color w:val="auto"/>
        </w:rPr>
      </w:pPr>
    </w:p>
    <w:p>
      <w:pPr>
        <w:ind w:firstLine="7"/>
        <w:spacing w:after="0" w:line="314" w:lineRule="auto"/>
        <w:tabs>
          <w:tab w:leader="none" w:pos="28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6" w:lineRule="exact"/>
        <w:rPr>
          <w:rFonts w:ascii="Arial" w:cs="Arial" w:eastAsia="Arial" w:hAnsi="Arial"/>
          <w:sz w:val="16"/>
          <w:szCs w:val="16"/>
          <w:color w:val="auto"/>
        </w:rPr>
      </w:pPr>
    </w:p>
    <w:p>
      <w:pPr>
        <w:jc w:val="both"/>
        <w:ind w:firstLine="7"/>
        <w:spacing w:after="0" w:line="281" w:lineRule="auto"/>
        <w:tabs>
          <w:tab w:leader="none" w:pos="28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200" w:lineRule="exact"/>
        <w:rPr>
          <w:sz w:val="20"/>
          <w:szCs w:val="20"/>
          <w:color w:val="auto"/>
        </w:rPr>
      </w:pP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67" w:right="339" w:bottom="1440" w:gutter="0" w:footer="0" w:header="0"/>
        </w:sectPr>
      </w:pPr>
    </w:p>
    <w:bookmarkStart w:id="16" w:name="page17"/>
    <w:bookmarkEnd w:id="16"/>
    <w:p>
      <w:pPr>
        <w:jc w:val="both"/>
        <w:ind w:firstLine="7"/>
        <w:spacing w:after="0" w:line="287" w:lineRule="auto"/>
        <w:tabs>
          <w:tab w:leader="none" w:pos="281"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Information Regarding Disqualifying Dispositions</w:t>
      </w:r>
      <w:r>
        <w:rPr>
          <w:rFonts w:ascii="Arial" w:cs="Arial" w:eastAsia="Arial" w:hAnsi="Arial"/>
          <w:sz w:val="16"/>
          <w:szCs w:val="16"/>
          <w:color w:val="auto"/>
        </w:rPr>
        <w:t>. By electing to participate in the Plan, each participant agrees to provide any information about any transfer of shares of Common Stock acquired under the Plan that occurs within two years after the first business day of the Offering Period in which such shares were acquired as may be requested by the Company or any Subsidiaries in order to assist it in complying with the tax laws.</w:t>
      </w:r>
    </w:p>
    <w:p>
      <w:pPr>
        <w:spacing w:after="0" w:line="208" w:lineRule="exact"/>
        <w:rPr>
          <w:rFonts w:ascii="Arial" w:cs="Arial" w:eastAsia="Arial" w:hAnsi="Arial"/>
          <w:sz w:val="16"/>
          <w:szCs w:val="16"/>
          <w:color w:val="auto"/>
        </w:rPr>
      </w:pPr>
    </w:p>
    <w:p>
      <w:pPr>
        <w:jc w:val="both"/>
        <w:ind w:firstLine="7"/>
        <w:spacing w:after="0" w:line="287" w:lineRule="auto"/>
        <w:tabs>
          <w:tab w:leader="none" w:pos="26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Right to Terminate Employment</w:t>
      </w:r>
      <w:r>
        <w:rPr>
          <w:rFonts w:ascii="Arial" w:cs="Arial" w:eastAsia="Arial" w:hAnsi="Arial"/>
          <w:sz w:val="16"/>
          <w:szCs w:val="16"/>
          <w:color w:val="auto"/>
        </w:rPr>
        <w:t>. Nothing in the Plan or in any agreement entered into pursuant to the Plan shall confer upon any Employee the right to continue in the employment of the Company or any Subsidiary, or affect any right which the Company or any Subsidiary may have to terminate the employment of such Employee.</w:t>
      </w:r>
    </w:p>
    <w:p>
      <w:pPr>
        <w:spacing w:after="0" w:line="208" w:lineRule="exact"/>
        <w:rPr>
          <w:rFonts w:ascii="Arial" w:cs="Arial" w:eastAsia="Arial" w:hAnsi="Arial"/>
          <w:sz w:val="16"/>
          <w:szCs w:val="16"/>
          <w:color w:val="auto"/>
        </w:rPr>
      </w:pPr>
    </w:p>
    <w:p>
      <w:pPr>
        <w:jc w:val="both"/>
        <w:ind w:firstLine="7"/>
        <w:spacing w:after="0" w:line="287" w:lineRule="auto"/>
        <w:tabs>
          <w:tab w:leader="none" w:pos="26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Neither the granting of an option nor a deduction from payroll shall constitute an Employee the owner of shares covered by an option. No Employee shall have any right as a stockholder unless and until an option has been exercised, and the shares underlying the option have been registered in the Company’s share register.</w:t>
      </w:r>
    </w:p>
    <w:p>
      <w:pPr>
        <w:spacing w:after="0" w:line="194" w:lineRule="exact"/>
        <w:rPr>
          <w:rFonts w:ascii="Arial" w:cs="Arial" w:eastAsia="Arial" w:hAnsi="Arial"/>
          <w:sz w:val="16"/>
          <w:szCs w:val="16"/>
          <w:color w:val="auto"/>
        </w:rPr>
      </w:pPr>
    </w:p>
    <w:p>
      <w:pPr>
        <w:ind w:right="20" w:firstLine="7"/>
        <w:spacing w:after="0" w:line="314" w:lineRule="auto"/>
        <w:tabs>
          <w:tab w:leader="none" w:pos="26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The Plan became effective upon its approval by the Company’s stockholders in December 2012 and shall continue in effect until November 30, 2032 unless sooner terminated under paragraph 19.</w:t>
      </w:r>
    </w:p>
    <w:p>
      <w:pPr>
        <w:spacing w:after="0" w:line="186" w:lineRule="exact"/>
        <w:rPr>
          <w:rFonts w:ascii="Arial" w:cs="Arial" w:eastAsia="Arial" w:hAnsi="Arial"/>
          <w:sz w:val="16"/>
          <w:szCs w:val="16"/>
          <w:color w:val="auto"/>
        </w:rPr>
      </w:pPr>
    </w:p>
    <w:p>
      <w:pPr>
        <w:ind w:left="280" w:hanging="273"/>
        <w:spacing w:after="0"/>
        <w:tabs>
          <w:tab w:leader="none" w:pos="28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Plan shall be governed in accordance with the laws of Delaware, applied without giving effect to any conflict-of-law principles.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sectPr>
      <w:pgSz w:w="11900" w:h="16838" w:orient="portrait"/>
      <w:cols w:equalWidth="0" w:num="1">
        <w:col w:w="11240"/>
      </w:cols>
      <w:pgMar w:left="320" w:top="7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lowerLetter"/>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decimal"/>
      <w:start w:val="8"/>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1."/>
      <w:numFmt w:val="decimal"/>
      <w:start w:val="12"/>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13"/>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decimal"/>
      <w:start w:val="15"/>
    </w:lvl>
  </w:abstractNum>
  <w:abstractNum w:abstractNumId="19">
    <w:nsid w:val="333AB105"/>
    <w:multiLevelType w:val="hybridMultilevel"/>
    <w:lvl w:ilvl="0">
      <w:lvlJc w:val="left"/>
      <w:lvlText w:val="%1."/>
      <w:numFmt w:val="decimal"/>
      <w:start w:val="19"/>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decimal"/>
      <w:start w:val="20"/>
    </w:lvl>
  </w:abstractNum>
  <w:abstractNum w:abstractNumId="22">
    <w:nsid w:val="2D1D5AE9"/>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2" Type="http://schemas.openxmlformats.org/officeDocument/2006/relationships/image" Target="media/image1.png"/><Relationship Id="rId13"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eg"/><Relationship Id="rId22" Type="http://schemas.openxmlformats.org/officeDocument/2006/relationships/image" Target="media/image8.png"/><Relationship Id="rId23" Type="http://schemas.openxmlformats.org/officeDocument/2006/relationships/image" Target="media/image9.jpeg"/><Relationship Id="rId24" Type="http://schemas.openxmlformats.org/officeDocument/2006/relationships/image" Target="media/image10.png"/><Relationship Id="rId8" Type="http://schemas.openxmlformats.org/officeDocument/2006/relationships/hyperlink" Target="https://www.sec.gov/ix?doc=/Archives/edgar/data/0000899923/000089992326000018/mygn-20251231.htm" TargetMode="External"/><Relationship Id="rId9" Type="http://schemas.openxmlformats.org/officeDocument/2006/relationships/hyperlink" Target="https://www.sec.gov/ix?doc=/Archives/edgar/data/0000899923/000089992326000038/mygn-20260331.htm" TargetMode="External"/><Relationship Id="rId10" Type="http://schemas.openxmlformats.org/officeDocument/2006/relationships/hyperlink" Target="https://www.sec.gov/ix?doc=/Archives/edgar/data/0000899923/000089992326000031/mygn-20260414.htm" TargetMode="External"/><Relationship Id="rId11" Type="http://schemas.openxmlformats.org/officeDocument/2006/relationships/hyperlink" Target="https://www.sec.gov/Archives/edgar/data/899923/000089992321000021/mygn-20201231xexx42.htm" TargetMode="External"/><Relationship Id="rId14" Type="http://schemas.openxmlformats.org/officeDocument/2006/relationships/hyperlink" Target="https://www.sec.gov/Archives/edgar/data/899923/000119312511223211/dex31.htm" TargetMode="External"/><Relationship Id="rId15" Type="http://schemas.openxmlformats.org/officeDocument/2006/relationships/hyperlink" Target="https://www.sec.gov/Archives/edgar/data/899923/000119312520269801/d102302dex31.htm" TargetMode="External"/><Relationship Id="rId16" Type="http://schemas.openxmlformats.org/officeDocument/2006/relationships/hyperlink" Target="https://www.sec.gov/Archives/edgar/data/899923/00011931251122321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2026-06-04T15:11:50Z</dcterms:created>
  <dcterms:modified xsi:type="dcterms:W3CDTF">2026-06-04T15:11:50Z</dcterms:modified>
</cp:coreProperties>
</file>