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February 24,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MYRIAD GENETICS, INC.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(Exact name of registrant as specified in its charter) </w:t>
      </w:r>
    </w:p>
    <w:tbl>
      <w:tblPr>
        <w:tblW w:w="4045" w:type="dxa"/>
        <w:jc w:val="center"/>
        <w:tblInd w:w="0" w:type="dxa"/>
        <w:tblLayout w:type="fixed"/>
        <w:tblCellMar>
          <w:top w:w="28" w:type="dxa"/>
          <w:left w:w="28" w:type="dxa"/>
          <w:bottom w:w="28" w:type="dxa"/>
          <w:right w:w="28" w:type="dxa"/>
        </w:tblCellMar>
      </w:tblPr>
      <w:tblGrid>
        <w:gridCol w:w="754"/>
        <w:gridCol w:w="661"/>
        <w:gridCol w:w="669"/>
        <w:gridCol w:w="109"/>
        <w:gridCol w:w="109"/>
        <w:gridCol w:w="109"/>
        <w:gridCol w:w="477"/>
        <w:gridCol w:w="477"/>
        <w:gridCol w:w="680"/>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Salt Lake City, UT 84116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(801) 584-3600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(Address, including zip code, and telephone number, including area code, of registrant’s principal executive offices)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Samraat S. Raha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Myriad Genetics,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Salt Lake City, UT 84116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(801) 584-3600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(Name, address, including zip code, and 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With a copy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T. Kajunski, Esq.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Mintz, Levin, Cohn, Ferris, Glovsky and Popeo, P.C.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Financial Center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Massachusetts 02111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542-6000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Approximate Date of Commencement of Proposed Sale to the Public: </w:t>
      </w:r>
      <w:r>
        <w:rPr>
          <w:rFonts w:ascii="Times New Roman;serif" w:hAnsi="Times New Roman;serif"/>
          <w:b w:val="false"/>
          <w:color w:val="000000"/>
          <w:sz w:val="20"/>
        </w:rPr>
        <w:t>From time to time after the effective date of this registration statement as determined by the registrant.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 xml:space="preserve">☐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both"/>
        <w:rPr/>
      </w:pPr>
      <w:r>
        <w:rPr/>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S-3 of Myriad Genetics, Inc. (the "Registrant") is being filed to replace the Registration Statement on Form S-3ASR (File No. 333-275396) (the "Prior Registration Statement"), which was no longer usable following the filing of the Registrant's Annual Report on Form 10-K for the year ended December 31, 2025, because the Registrant was no longer a "well-known seasoned issuer" (as much term is defined in Rule 405 of the Securities Act of 1933), upon the filing of the Annual Report on Form 10-K.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contains a prospectus which covers the offering, issuance and sale by us of up to $200,000,000 aggregate principal amount of our common stock, preferred stock, depositary shares, debt securities and/or warrants from time to time in one or more offerings. The prospectus immediately follows this explanatory note. Each time we sell securities, we will provide a prospectus supplement to the prospectus that will contain specific information about the terms of that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DE1A1E"/>
          <w:sz w:val="20"/>
        </w:rPr>
      </w:pPr>
      <w:r>
        <w:rPr>
          <w:rFonts w:ascii="Times New Roman;serif" w:hAnsi="Times New Roman;serif"/>
          <w:b/>
          <w:color w:val="DE1A1E"/>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 </w:t>
      </w:r>
    </w:p>
    <w:p>
      <w:pPr>
        <w:pStyle w:val="TextBody"/>
        <w:bidi w:val="0"/>
        <w:spacing w:lineRule="auto" w:line="288" w:before="0" w:after="120"/>
        <w:jc w:val="center"/>
        <w:rPr>
          <w:rFonts w:ascii="Times New Roman;serif" w:hAnsi="Times New Roman;serif"/>
          <w:b/>
          <w:color w:val="DE1A1E"/>
          <w:sz w:val="20"/>
        </w:rPr>
      </w:pPr>
      <w:r>
        <w:rPr>
          <w:rFonts w:ascii="Times New Roman;serif" w:hAnsi="Times New Roman;serif"/>
          <w:b/>
          <w:color w:val="DE1A1E"/>
          <w:sz w:val="20"/>
        </w:rPr>
        <w:t xml:space="preserve">Subject to Completion, dated February 24, 2026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before="0" w:after="120"/>
        <w:jc w:val="center"/>
        <w:rPr/>
      </w:pPr>
      <w:r>
        <w:rPr/>
        <w:drawing>
          <wp:inline distT="0" distB="0" distL="0" distR="0">
            <wp:extent cx="1733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33550" cy="8763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$ 200,000,000</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COMMON STOCK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PREFERRED STOCK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DEPOSITARY SHARES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DEBT SECURITIES WARRANTS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from time to time issue up to $200,000,000 aggregate principal amount of common stock, preferred stock, depositary shares, debt securities and/or warrants. This prospectus provides a general description of the securities we may offer. Each time we offer securities, we will provide the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Select Market under the symbol “MYGN.” On February 19, 2026, the last reported sale price of our common stock on The Nasdaq Global Select Market was $4.38 per share. Prospective purchasers of common stock are urged to obtain current information as to the market prices of our 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rPr>
        <w:t>Investing in our securities involves risks. See “</w:t>
      </w:r>
      <w:hyperlink w:anchor="i433dc331394c489388f937ff874416f2_238">
        <w:r>
          <w:rPr>
            <w:rStyle w:val="InternetLink"/>
            <w:rFonts w:ascii="Times New Roman;serif" w:hAnsi="Times New Roman;serif"/>
            <w:b/>
            <w:color w:val="0000EE"/>
            <w:sz w:val="20"/>
            <w:u w:val="single"/>
          </w:rPr>
          <w:t>Risk Factors</w:t>
        </w:r>
      </w:hyperlink>
      <w:r>
        <w:rPr>
          <w:color w:val="000000"/>
        </w:rPr>
        <w:t xml:space="preserve">” </w:t>
      </w:r>
      <w:r>
        <w:rPr>
          <w:rFonts w:ascii="Times New Roman;serif" w:hAnsi="Times New Roman;serif"/>
          <w:b/>
          <w:color w:val="000000"/>
          <w:sz w:val="20"/>
        </w:rPr>
        <w:t>included in any accompanying prospectus supplement or any related free writing prospectus and in the documents incorporated by reference in this prospectus for a discussion of the factors you should carefully consider before deciding to purchase these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This prospectus may not be used to consummate sales of securities unless it is accompanied by a prospectus supplement.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February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20"/>
        <w:jc w:val="right"/>
        <w:rPr>
          <w:rFonts w:ascii="Times New Roman;serif" w:hAnsi="Times New Roman;serif"/>
          <w:b/>
          <w:color w:val="000000"/>
          <w:sz w:val="20"/>
          <w:u w:val="single"/>
        </w:rPr>
      </w:pPr>
      <w:r>
        <w:rPr>
          <w:rFonts w:ascii="Times New Roman;serif" w:hAnsi="Times New Roman;serif"/>
          <w:b/>
          <w:color w:val="000000"/>
          <w:sz w:val="20"/>
          <w:u w:val="single"/>
        </w:rPr>
        <w:t>Page</w:t>
      </w:r>
    </w:p>
    <w:p>
      <w:pPr>
        <w:pStyle w:val="TextBody"/>
        <w:bidi w:val="0"/>
        <w:spacing w:before="0" w:after="0"/>
        <w:jc w:val="left"/>
        <w:rPr/>
      </w:pPr>
      <w:r>
        <w:rPr/>
      </w:r>
    </w:p>
    <w:tbl>
      <w:tblPr>
        <w:tblW w:w="6222" w:type="dxa"/>
        <w:jc w:val="left"/>
        <w:tblInd w:w="0" w:type="dxa"/>
        <w:tblLayout w:type="fixed"/>
        <w:tblCellMar>
          <w:top w:w="28" w:type="dxa"/>
          <w:left w:w="28" w:type="dxa"/>
          <w:bottom w:w="28" w:type="dxa"/>
          <w:right w:w="28" w:type="dxa"/>
        </w:tblCellMar>
      </w:tblPr>
      <w:tblGrid>
        <w:gridCol w:w="2118"/>
        <w:gridCol w:w="1864"/>
        <w:gridCol w:w="1868"/>
        <w:gridCol w:w="109"/>
        <w:gridCol w:w="109"/>
        <w:gridCol w:w="154"/>
      </w:tblGrid>
      <w:tr>
        <w:trPr/>
        <w:tc>
          <w:tcPr>
            <w:tcW w:w="21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7">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2</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23">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3</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38">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5</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54">
              <w:r>
                <w:rPr>
                  <w:rStyle w:val="InternetLink"/>
                  <w:rFonts w:ascii="Times New Roman;serif" w:hAnsi="Times New Roman;serif"/>
                  <w:b w:val="false"/>
                  <w:color w:val="0000FF"/>
                  <w:sz w:val="20"/>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6</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69">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8</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84">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9</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299">
              <w:r>
                <w:rPr>
                  <w:rStyle w:val="InternetLink"/>
                  <w:rFonts w:ascii="Times New Roman;serif" w:hAnsi="Times New Roman;serif"/>
                  <w:b w:val="false"/>
                  <w:color w:val="0000FF"/>
                  <w:sz w:val="20"/>
                  <w:u w:val="single"/>
                </w:rPr>
                <w:t>DESCRIPTION OF COMMON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11</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14">
              <w:r>
                <w:rPr>
                  <w:rStyle w:val="InternetLink"/>
                  <w:rFonts w:ascii="Times New Roman;serif" w:hAnsi="Times New Roman;serif"/>
                  <w:b w:val="false"/>
                  <w:color w:val="0000FF"/>
                  <w:sz w:val="20"/>
                  <w:u w:val="single"/>
                </w:rPr>
                <w:t>DESCRIPTION OF PREFERRED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14</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29">
              <w:r>
                <w:rPr>
                  <w:rStyle w:val="InternetLink"/>
                  <w:rFonts w:ascii="Times New Roman;serif" w:hAnsi="Times New Roman;serif"/>
                  <w:b w:val="false"/>
                  <w:color w:val="0000FF"/>
                  <w:sz w:val="20"/>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051F2"/>
                <w:sz w:val="20"/>
                <w:u w:val="single"/>
              </w:rPr>
            </w:pPr>
            <w:r>
              <w:rPr>
                <w:rFonts w:ascii="Times New Roman;serif" w:hAnsi="Times New Roman;serif"/>
                <w:b w:val="false"/>
                <w:color w:val="3051F2"/>
                <w:sz w:val="20"/>
                <w:u w:val="single"/>
              </w:rPr>
              <w:t>15</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44">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344">
              <w:r>
                <w:rPr>
                  <w:rStyle w:val="InternetLink"/>
                  <w:rFonts w:ascii="Times New Roman;serif" w:hAnsi="Times New Roman;serif"/>
                  <w:b w:val="false"/>
                  <w:color w:val="3051F2"/>
                  <w:sz w:val="20"/>
                  <w:u w:val="single"/>
                </w:rPr>
                <w:t>17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59">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359">
              <w:r>
                <w:rPr>
                  <w:rStyle w:val="InternetLink"/>
                  <w:rFonts w:ascii="Times New Roman;serif" w:hAnsi="Times New Roman;serif"/>
                  <w:b w:val="false"/>
                  <w:color w:val="3051F2"/>
                  <w:sz w:val="20"/>
                  <w:u w:val="single"/>
                </w:rPr>
                <w:t>20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74">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374">
              <w:r>
                <w:rPr>
                  <w:rStyle w:val="InternetLink"/>
                  <w:rFonts w:ascii="Times New Roman;serif" w:hAnsi="Times New Roman;serif"/>
                  <w:b w:val="false"/>
                  <w:color w:val="3051F2"/>
                  <w:sz w:val="20"/>
                  <w:u w:val="single"/>
                </w:rPr>
                <w:t>21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389">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389">
              <w:r>
                <w:rPr>
                  <w:rStyle w:val="InternetLink"/>
                  <w:rFonts w:ascii="Times New Roman;serif" w:hAnsi="Times New Roman;serif"/>
                  <w:b w:val="false"/>
                  <w:color w:val="3051F2"/>
                  <w:sz w:val="20"/>
                  <w:u w:val="single"/>
                </w:rPr>
                <w:t>22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404">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404">
              <w:r>
                <w:rPr>
                  <w:rStyle w:val="InternetLink"/>
                  <w:rFonts w:ascii="Times New Roman;serif" w:hAnsi="Times New Roman;serif"/>
                  <w:b w:val="false"/>
                  <w:color w:val="3051F2"/>
                  <w:sz w:val="20"/>
                  <w:u w:val="single"/>
                </w:rPr>
                <w:t>23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dc331394c489388f937ff874416f2_419">
              <w:r>
                <w:rPr>
                  <w:rStyle w:val="InternetLink"/>
                  <w:rFonts w:ascii="Times New Roman;serif" w:hAnsi="Times New Roman;serif"/>
                  <w:b w:val="false"/>
                  <w:color w:val="0000FF"/>
                  <w:sz w:val="20"/>
                  <w:u w:val="single"/>
                </w:rPr>
                <w:t>INCORPORATION OF DOCUMENTS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3dc331394c489388f937ff874416f2_419">
              <w:r>
                <w:rPr>
                  <w:rStyle w:val="InternetLink"/>
                  <w:rFonts w:ascii="Times New Roman;serif" w:hAnsi="Times New Roman;serif"/>
                  <w:b w:val="false"/>
                  <w:color w:val="3051F2"/>
                  <w:sz w:val="20"/>
                  <w:u w:val="single"/>
                </w:rPr>
                <w:t>24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or SEC, utilizing a “shelf” registration process. Under this shelf process, we may sell any combination of the securities described in this prospectus in one or more offerings up to a total dollar amount of $200,000,000. We have provided to you in this prospectus a general description of the securities we may offer. Each time we sell securities, we will provide a prospectus supplement to this prospectus that will contain specific information about the terms of that offering. We may also authorize one or more free writing prospectuses to be provided to you that may contain material information relating to these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does not contain all of the information included in the registration statement. For a more complete understanding of the offering of the securities, you should refer to the registration statement, including its exhibits. The prospectus supplement and any related free writing prospectus may also add, update or change information contained in this prospectus. You should read both this prospectus and the applicable prospectus supplement and any related free writing prospectus together with additional information under the heading “Where You Can Find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may not be used to consummate sales of securities, unless it is accompanied by a prospectus supplement covering those securities. To the extent there are inconsistencies between any prospectus supplement, any related free writing prospectus, this prospectus and any documents incorporated by reference, the document with the most recent date will control.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You should rely only on information contained in, or incorporated by reference into, this prospectus and any prospectus supplement</w:t>
      </w:r>
      <w:r>
        <w:rPr>
          <w:color w:val="000000"/>
        </w:rPr>
        <w:t xml:space="preserve"> </w:t>
      </w:r>
      <w:r>
        <w:rPr>
          <w:rFonts w:ascii="Times New Roman;serif" w:hAnsi="Times New Roman;serif"/>
          <w:b w:val="false"/>
          <w:color w:val="000000"/>
          <w:sz w:val="20"/>
        </w:rPr>
        <w:t xml:space="preserve">and any related free writing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prospectus is accurate as of the date on the front cover.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“us,” “our,” “Myriad” and the “Company” as used in this prospectus refer to Myriad Genetics, Inc., a Delaware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lineRule="auto" w:line="288" w:before="0" w:after="0"/>
        <w:jc w:val="both"/>
        <w:rPr/>
      </w:pPr>
      <w:r>
        <w:rPr>
          <w:rFonts w:ascii="Times New Roman;serif" w:hAnsi="Times New Roman;serif"/>
          <w:b w:val="false"/>
          <w:i/>
          <w:color w:val="000000"/>
          <w:sz w:val="20"/>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w:t>
      </w:r>
      <w:r>
        <w:rPr>
          <w:color w:val="000000"/>
        </w:rPr>
        <w:t xml:space="preserve"> </w:t>
      </w:r>
      <w:r>
        <w:rPr>
          <w:rFonts w:ascii="Times New Roman;serif" w:hAnsi="Times New Roman;serif"/>
          <w:b w:val="false"/>
          <w:i/>
          <w:color w:val="000000"/>
          <w:sz w:val="20"/>
        </w:rPr>
        <w:t>and any related free writing prospectus. Investing in our securities involves risks. Therefore, carefully consider the risk factors set forth in any prospectus supplements, any related free writing prospectus and in our most recent annual and quarterly filings with the SEC, as well as other information in this prospectus and any prospectus supplements and any related free writing prospectus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Myriad Genetics,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there are significant growth opportunities in addressing the pressing healthcare needs of patient populations through innovative molecular diagnostic testing and precision medicine solutions and services. 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market with a priority for high growth applications; (ii) growing our Prenatal Health and Mental Health revenues at or above market growth; and (iii) delivering sustained profitable growth through financial and operational discipline and leveraging our operating model. 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 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We are committed to making molecular testing accessible and actionable for patients and providers while driving long-term growth and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additional information related to our business and operations, please refer to the reports incorporated herein by reference, as described under the caption “Incorporation of Documents by Reference” on page </w:t>
      </w:r>
      <w:hyperlink w:anchor="i433dc331394c489388f937ff874416f2_419">
        <w:r>
          <w:rPr>
            <w:rStyle w:val="InternetLink"/>
            <w:rFonts w:ascii="Times New Roman;serif" w:hAnsi="Times New Roman;serif"/>
            <w:b w:val="false"/>
            <w:strike w:val="false"/>
            <w:dstrike w:val="false"/>
            <w:color w:val="000000"/>
            <w:sz w:val="20"/>
            <w:u w:val="none"/>
            <w:effect w:val="none"/>
          </w:rPr>
          <w:t>24</w:t>
        </w:r>
      </w:hyperlink>
      <w:r>
        <w:rPr>
          <w:rFonts w:ascii="Times New Roman;serif" w:hAnsi="Times New Roman;serif"/>
          <w:b w:val="false"/>
          <w:color w:val="000000"/>
          <w:sz w:val="20"/>
        </w:rPr>
        <w:t xml:space="preserve"> of this prospectus.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Corporate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Delaware corporation. Our principal executive offices are located at 322 North 2200 West, Salt Lake City, Utah 84116. Our telephone number is (801) 584-3600. Our website is http://www.myriad.com. Our annual reports on Form 10-K, quarterly reports on Form 10-Q and current reports on Form 8-K which have been filed with the SEC are available to you free of charge through a hyperlink on our internet website. The information on our website or any other website is not incorporated by reference into this prospectus and does not constitute a part of this prospectus.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This prospectus and the documents incorporated by reference herein may contain trademarks of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Offerings Under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this prospectus, we may offer our common stock, preferred shares, and depositary shares, as well as various series of debt securities and/or warrants or rights to purchase any of such securities, either individually or in units, with a total value of up to $200,000,000,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maturity, if applicable;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redemption, conversion or sinking fund terms,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conversion or exercise prices, if 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The prospectus supplement</w:t>
      </w:r>
      <w:r>
        <w:rPr>
          <w:color w:val="000000"/>
        </w:rPr>
        <w:t xml:space="preserve"> </w:t>
      </w:r>
      <w:r>
        <w:rPr>
          <w:rFonts w:ascii="Times New Roman;serif" w:hAnsi="Times New Roman;serif"/>
          <w:b w:val="false"/>
          <w:color w:val="000000"/>
          <w:sz w:val="20"/>
        </w:rPr>
        <w:t>and any related free writing prospectus also may add, update or change information contained in this prospectus or in documents we have incorporated by reference into this prospectus. However, no prospectus supplement or any related free writing prospectus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r>
        <w:rPr>
          <w:color w:val="000000"/>
        </w:rPr>
        <w:t xml:space="preserve"> </w:t>
      </w:r>
      <w:r>
        <w:rPr>
          <w:rFonts w:ascii="Times New Roman;serif" w:hAnsi="Times New Roman;serif"/>
          <w:b w:val="false"/>
          <w:color w:val="000000"/>
          <w:sz w:val="20"/>
        </w:rPr>
        <w:t>or any related free writing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names of those agents or underwriters;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applicable fees, discounts and commissions to be paid to them;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details regarding over-allotment options, if any;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net proceeds to 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may not be used to consummate a sale of any securities unless it is accompanied by a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is very risky. Please carefully consider the risk factors described in our periodic reports filed with the SEC, including our Annual Report on Form 10-K for the fiscal year ended December 31, 2025, which is incorporated by reference in this prospectus. Before making an investment decision, you should carefully consider these risks as well as other information we include or incorporate by reference in this prospectus or include in any applicable prospectus supplement or any related free writing prospectus. Additional risks and uncertainties not presently known to us or that we deem currently immaterial may also impair our business operations. You should be able to bear a complete loss of your investment. See “Special Note Regarding Forward-Looking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 encourages companies to disclose forward-looking information so that investors can better understand a company’s future prospects and make informed investment decisions. This prospectus contains such “forward-looking statements” within the meaning of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sales and profit margins of our existing tests may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may not be able to operate our business on a profitable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ability to achieve certain revenue growth targets and generate sufficient revenue from our existing product portfolio or in launching and commercializing new tests to be profitable;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recent changes in our senior management team and the successful implementation of the company's strategic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changes in governmental or private insurers’ coverage and reimbursement levels for our tests or our ability to obtain reimbursement for our new tests at comparable levels to our existing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increased competition and the development of new competing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may be unable to develop or achieve commercial success for additional tests in a timely manner,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may not successfully develop new markets or channels for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are not able to secure additional financing to fund our business, if needed, in a timely manner or on favorable terms, if it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licenses to the technology underlying our tests and any future tests are terminated or cannot be maintained on satisfactory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delays or other problems with operating our laboratory testing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public concern over genetic testing in general or our tests in particular;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regulatory requirements or enforcement in the United States and foreign countries and changes in the structure of the healthcare system or healthcare payment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ability to obtain new corporate collaborations or licenses and acquire or develop new technologies or businesses on satisfactory terms,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ability to successfully integrate and derive benefits from any technologies or businesses that we license, acquire, or develop;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projections or estimates about the potential market opportunity for our current and future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or our licensors may be unable to protect or that third parties will infringe the proprietary technologies underlying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of patent-infringement claims or challenges to the validity of our patents;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changes in intellectual property laws covering our tests, or patents or enforcement, in the United States and foreign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security breaches, loss of data and other disruptions, including from cyberattacks and other cybersecurity incidents;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may be unable to comply with financial or operating covenants under our credit or lending agreements;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the risk that we may not be able to maintain effective disclosure controls and procedures and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other factors discussed under the heading “Risk Factors” contained in Part I, Item 1A of our Annual Report on Form 10-K for the year ended December 31, 2025 filed with the SEC on February 24, 2026, as revised or supplemented by our subsequent quarterly reports on Form 10-Q or our subsequent current reports on Form 8-K, as well as any amendments thereto, as filed with the SEC and which are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light of these assumptions, risks and uncertainties, the results and events discussed in the forward-looking statements contained in this prospectus, or in any document incorporated by reference herein might not occur. Stockholders are cautioned not to place undue reliance on the forward-looking statements, which speak only as of the date of this prospectus. We are not under any obligation, and we expressly disclaim any obligation, to update or alter any forward-looking statements, whether as a result of new information, future events or otherwise except as required by applicable law. All forward-looking statements in this prospectus, or in any document incorporated by reference herein attributable to us or to any person acting on our behalf are expressly qualified in their entirety by the cautionary statements contained or referred to in this section.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0"/>
        <w:jc w:val="both"/>
        <w:rPr/>
      </w:pPr>
      <w:r>
        <w:rPr>
          <w:rFonts w:ascii="Times New Roman;serif" w:hAnsi="Times New Roman;serif"/>
          <w:b w:val="false"/>
          <w:color w:val="000000"/>
          <w:sz w:val="20"/>
        </w:rPr>
        <w:t>Except as otherwise set forth in any accompanying prospectus supplement</w:t>
      </w:r>
      <w:r>
        <w:rPr>
          <w:color w:val="000000"/>
        </w:rPr>
        <w:t xml:space="preserve"> </w:t>
      </w:r>
      <w:r>
        <w:rPr>
          <w:rFonts w:ascii="Times New Roman;serif" w:hAnsi="Times New Roman;serif"/>
          <w:b w:val="false"/>
          <w:color w:val="000000"/>
          <w:sz w:val="20"/>
        </w:rPr>
        <w:t>or any related free writing prospectus, we expect to use the net proceeds from the sale of securities for general corporate purposes, including, without limitation, the financing of our operations, research and development, the development and commercialization of new products and new technologies, the possible repayment of indebtedness, and possible business acquisitions. Our management will have broad discretion in any use of proceeds from an offering.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rPr>
        <w:t>at a fixed price or prices, which may be changed;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negotiated prices.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or through the facilities of the Nasdaq Stock Market LLC or any other securities exchange or quotation or trading service on which such securities may be listed, quoted, or traded at the time of sale; and/or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or through a market maker other than on the Nasdaq Stock Market LLC or such other securities exchanges or quotation or trading services.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“at-the-market offerings,” if any, may be conducted by underwriters acting as principal or agent.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prospectus supplement or supplements (and any related free writing prospectus) will describe the terms of the offering of the securities, including, to the extent applicable: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Only underwriters named in the prospectus supplement are underwriters of the securities offered by the prospectus supplement. 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sell securities directly or through agents we designate from time to time. In the prospectus supplement, we will name any agent involved in the offering and sale of securities and describe any commissions and other compensation we will pay the agent. Unless the prospectus supplement states otherwise, our agent will act on a best-efforts basis for the period of its appointment.</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in the prospectus supplement the conditions to these contracts and the commissions we must pay for solicitation of these contracts.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the applicable prospectus supplement states otherwise, all securities we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Stock Market LLC.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agents and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underwriters who are qualified market makers on the Nasdaq Stock Market LLC may engage in passive market-making transactions in the securities on the Nasdaq Stock Market LLC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DESCRIPTION OF COMMON STOCK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of our capital stock and certain provisions of our restated certificate of incorporation, as amended, and our restated by-laws is a summary and is qualified in its entirety by the provisions of our restated certificate of incorporation, as amended, and our restated by-laws.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authorized to issue 150,000,000 shares of common stock, $0.01 par value per share. As of February 19, 2026, there were approximately 93,508,165 shares of common stock outstanding.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stockholder of record is entitled to one vote for each outstanding share of our common stock owned by that stockholder on every matter properly submitted to the stockholders for their vote. After satisfaction of the dividend rights of holders of any preferred stock, holders of common stock are entitled to any dividend declared by our board of directors out of funds legally available for that purpose. After the payment of liquidation preferences to holders of any preferred stock, holders of common stock are entitled to receive, on a pro rata basis, all our remaining assets available for distribution to stockholders in the event of our liquidation, dissolution or winding up. Holders of our common stock do not have any preemptive right to become subscribers or purchasers of additional shares of any class of our capital stock. The rights, preferences and privileges of holders of our common stock are subject to, and may be injured by, the rights of the holders of shares of any series of preferred stock that we may designate and issue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Delaware Law and Certain Charter and By-Law Provisions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Anti-Takeover Provisions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provisions of Delaware law and of our restated certificate of incorporation, as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the best interests of the Company.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Delaware Law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are subject to Section 203 of the</w:t>
      </w:r>
      <w:r>
        <w:rPr>
          <w:color w:val="000000"/>
        </w:rPr>
        <w:t xml:space="preserve"> </w:t>
      </w:r>
      <w:r>
        <w:rPr>
          <w:rFonts w:ascii="Times New Roman;serif" w:hAnsi="Times New Roman;serif"/>
          <w:b w:val="false"/>
          <w:color w:val="000000"/>
          <w:sz w:val="20"/>
        </w:rPr>
        <w:t>Delaware General Corporation Law, or the DGCL. Subject to certain exceptions, Section 203 prevents a publicly held Delaware corporation from engaging in a “business combination” with any “interested stockholder” for a three-year period following the time that such stockholder becomes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Restated Certificate of Incorporation and Restated By-laws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is divided into three classes. Each year our stockholders elect the members of one of the three classes to a term of office to expire at the third succeeding annual meeting of stockholders after their election. All directors elected to our classified board of directors serve until the election and qualification of their respective successors or their earlier resignation or removal. Only the board of directors is authorized to create new directorships and to fill such positions so created and is permitted to specify the class to which any such new position is assigned. The person filling such position would serve for the term applicable to that class. Only the board of directors (or its remaining members, even if less than a quorum) is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would be necessary for stockholders to effect a change in a majority of the members of the board of directors.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60 days nor more than 90 days prior to the anniversary of the previous year’s annual meeting. For a special meeting, the notice must generally be delivered by not less than 60 days nor more than 90 days prior to the special meeting or ten days following the day on which public announcement of the meeting is first made. Detailed requirements as to the form of the notice and information required in the notice are specified in our restated by-laws. If it is determined that business was not properly brought before a meeting in accordance with the provisions of our restated by-laws, such business will not be conducted at the meeting.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Special meetings of the stockholders may be called only by the chair of our board of directors, the chief executive officer or president with the approval of the executive committee of the board of directors, or by the entire board of directors pursuant to a resolution adopted by a majority of the total number of authorized directors, whether or not there exists any vacancy in previously authorized directorships.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as amended, does not permit our stockholders to act by written consent. As a result, any action to be effected by our stockholders must be effected at a duly called annual or special meeting of the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as amended, requires the affirmative vote of the holders of at least 70% of our outstanding voting stock to amend or repeal any of the provisions discussed above in this section entitled “—Restated Certificate of Incorporation and Restated By-laws.” This 70% stockholder vote would be in addition to any separate class vote that might in the future be required pursuant to the terms of any preferred stock that might then be outstanding. A 70% vote will also be required for any amendment to, or repeal of, our restated by-laws by the stockholders. Our restated by-laws may be amended or repealed by a simple majority vote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is authorized, without action by our stockholders, to designate and issue shares of our preferred stock in one or more series and to designate the rights, preferences and privileges of the shares of each series and any of its qualifications, limitations or restrictions. The existence of authorized but unissued shares of preferred stock enables our board of directors to render more difficult or to discourage an attempt to obtain control of the Company by means of a merger, tender offer, proxy contest or otherwise.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restated bylaws provide that, unless we consent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the DGCL or our restated certificate of incorporation, as amended, or our restated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as amended, provides that, unless we consent otherwise, the federal district courts of the United States of America shall be the exclusive forum for the resolution of any claims under the Securities Act or any successor thereto.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“MYGN.”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 (as successor to American Stock Transfer &amp; Trust Company, LLC), with offices at 6201 15th Avenue, Brooklyn, New York 11219.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DESCRIPTION OF PREFERRED STOCK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issue, without stockholder approval, up to 5,000,000 shares of preferred stock, $0.01 par value per share, having rights senior to those of our common stock, of which 600,000 shares have been designated Series A Junior Participating Preferred Stock. We designated the Series A Junior Participating Preferred Stock in connection with a stockholders’ rights plan that has expired. Accordingly, we have no present intention to issue any shares of Series A Junior Participating Preferred Stock. As of February 24, 2026, we did not have any outstanding shares of preferred stock or options to purchase preferred stock. Our board of directors is authorized to issue the preferred stock in one or more series and to fix and designate the rights, preferences, privileges and restrictions of the preferred stock,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dividend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conversion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voting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redemption rights and terms of redemption;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liquidation preferences.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may fix the number of shares constituting any series and the designations of these series. The rights, preferences, privileges and restrictions of the preferred stock of each series will be fixed by a certificate of designation relating to each series. The prospectus supplement and any related free writing prospectus relating to each series will specify the terms of the preferred stock,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maximum number of shares in the series and the distinctive designation;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terms on which dividends will be paid, if any;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terms on which the shares may be redeemed, if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liquidation preference, if any;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terms of any retirement or sinking fund for the purchase or redemption of the shares of the series;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terms and conditions, if any, on which the shares of the series will be convertible into, or exchangeable for, shares of any other class or classes of capital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voting rights, if any, on the shares of the series;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or all other preferences and relative, participating, operational or other special rights or qualifications, limitations or restrictions of the shares.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will describe the specific terms of a particular series of preferred stock in the prospectus supplement</w:t>
      </w:r>
      <w:r>
        <w:rPr>
          <w:color w:val="000000"/>
        </w:rPr>
        <w:t xml:space="preserve"> </w:t>
      </w:r>
      <w:r>
        <w:rPr>
          <w:rFonts w:ascii="Times New Roman;serif" w:hAnsi="Times New Roman;serif"/>
          <w:b w:val="false"/>
          <w:color w:val="000000"/>
          <w:sz w:val="20"/>
        </w:rPr>
        <w:t>and any related free writing prospectus relating to that series. The description of preferred stock above and the description of the terms of a particular series of preferred stock in the prospectus supplement</w:t>
      </w:r>
      <w:r>
        <w:rPr>
          <w:color w:val="000000"/>
        </w:rPr>
        <w:t xml:space="preserve"> </w:t>
      </w:r>
      <w:r>
        <w:rPr>
          <w:rFonts w:ascii="Times New Roman;serif" w:hAnsi="Times New Roman;serif"/>
          <w:b w:val="false"/>
          <w:color w:val="000000"/>
          <w:sz w:val="20"/>
        </w:rPr>
        <w:t xml:space="preserve">or any related free writing prospectus are not complete. You should refer to the applicable certificate of designation for complete information. The prospectus supplement or any related free writing prospectus will contain a description of U.S. federal income tax consequences relating to the preferred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issuance of preferred stock may have the effect of delaying or preventing a change in control. 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DESCRIPTION OF DEPOSITARY SHARES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referred to as the Bank Depositary. Each owner of a depositary share will be entitled to all the rights and preferences of the preferred stock represented by the depositary share.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or any related free writing prospectus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and any related free writing prospectus in their entirety.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Amendment and Termination of the Depositary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Withdrawal of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Except as may be provided otherwise in an accompanying prospectus supplement</w:t>
      </w:r>
      <w:r>
        <w:rPr>
          <w:color w:val="000000"/>
        </w:rPr>
        <w:t xml:space="preserve"> </w:t>
      </w:r>
      <w:r>
        <w:rPr>
          <w:rFonts w:ascii="Times New Roman;serif" w:hAnsi="Times New Roman;serif"/>
          <w:b w:val="false"/>
          <w:color w:val="000000"/>
          <w:sz w:val="20"/>
        </w:rPr>
        <w:t>or any related free writing prospectus,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offer debt securities in one or more series, which may be senior debt securities or subordinated debt securities and which may be convertible into another security.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w:t>
      </w:r>
      <w:r>
        <w:rPr>
          <w:color w:val="000000"/>
        </w:rPr>
        <w:t xml:space="preserve"> </w:t>
      </w:r>
      <w:r>
        <w:rPr>
          <w:rFonts w:ascii="Times New Roman;serif" w:hAnsi="Times New Roman;serif"/>
          <w:b w:val="false"/>
          <w:color w:val="000000"/>
          <w:sz w:val="20"/>
        </w:rPr>
        <w:t>and any related free writing prospectus. Unless otherwise specified in an accompanying prospectus supplement, our debt securities will be issued in one or more series under an indenture to be entered into between us and a trustee to be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as amended, or the TIA. You should read the summary below, any accompanying prospectus supplement</w:t>
      </w:r>
      <w:r>
        <w:rPr>
          <w:color w:val="000000"/>
        </w:rPr>
        <w:t xml:space="preserve"> </w:t>
      </w:r>
      <w:r>
        <w:rPr>
          <w:rFonts w:ascii="Times New Roman;serif" w:hAnsi="Times New Roman;serif"/>
          <w:b w:val="false"/>
          <w:color w:val="000000"/>
          <w:sz w:val="20"/>
        </w:rPr>
        <w:t>and any related free writing prospectus and the provisions of the indenture in their entirety before investing in our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principal amount of debt securities that may be issued under the indenture is unlimited. The prospectus supplement and any related free writing prospectus relating to any series of debt securities that we may offer will contain the specific terms of the debt securities. These terms may include, among others,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title and aggregate principal amount of the debt securities and any limit on the aggregate principal amount of such series;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applicable subordination provisions for any subordinated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maturity date(s) or method for determining same;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interest rate(s) or the method for determining same;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dates on which interest will accrue or the method for determining dates on which interest will accrue and dates on which interest will be payable and whether interest will be payable in cash, additional securities or some combination thereof;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convertible or exchangeable into other securities and any related terms and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redemption or early repayment provisions;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authorized denominations;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other than the principal amount, the principal amount of debt securities payable upon acceleration;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place(s) where payment of principal and interest may be made, where debt securities may be presented and where notices or demands upon the company may be made;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form or forms of the debt securities of the series including such legends as may be required by applicable law;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will be issued in whole or in part in the form of one or more global securities and the date as of which the securities are dated if other than the date of original issuance;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debt securities are secured and the terms of such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of discount or premium, if any, with which the debt securities will be issued;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covenants applicable to the particular debt securities being issued;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additions or changes in the defaults and events of default applicable to the particular debt securities being issued;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guarantors of each series, if any, and the extent of the guarantees (including provisions relating to seniority, subordination and release of the guarantees),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currency, currencies or currency units in which the purchase price for, the principal of and any premium and any interest on, the debt securities will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time period within which, the manner in which and the terms and conditions upon which we or the holders of the debt securities can select the payment currency;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obligation or right to redeem, purchase or repay debt securities under a sinking fund, amortization or analogous provision;</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any restriction or conditions on the transferability of the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provisions granting special rights to holders of the debt securities upon occurrence of specified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additions or changes relating to compensation or reimbursement of the trustee of the series of debt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provisions relating to the modification of the indenture both with and without the consent of holders of debt securities issued under the indenture and the execution of supplemental indentures for such series;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terms of the debt securities (which terms shall not be inconsistent with the provisions of the TIA, but may modify, amend, supplement or delete any of the terms of the indenture with respect to such series of debt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may sell the debt securities, including original issue discount securities, at par or at a substantial discount below their stated principal amount. Unless we inform you otherwise in a prospectus supplement</w:t>
      </w:r>
      <w:r>
        <w:rPr>
          <w:color w:val="000000"/>
        </w:rPr>
        <w:t xml:space="preserve"> </w:t>
      </w:r>
      <w:r>
        <w:rPr>
          <w:rFonts w:ascii="Times New Roman;serif" w:hAnsi="Times New Roman;serif"/>
          <w:b w:val="false"/>
          <w:color w:val="000000"/>
          <w:sz w:val="20"/>
        </w:rPr>
        <w:t>or any related free writing prospectus,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will describe in an accompanying prospectus supplement and any related free writing prospectus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r>
        <w:rPr>
          <w:color w:val="000000"/>
        </w:rPr>
        <w:t xml:space="preserve"> </w:t>
      </w:r>
      <w:r>
        <w:rPr>
          <w:rFonts w:ascii="Times New Roman;serif" w:hAnsi="Times New Roman;serif"/>
          <w:b w:val="false"/>
          <w:color w:val="000000"/>
          <w:sz w:val="20"/>
        </w:rPr>
        <w:t>or a related free writing prospectus.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United States federal income tax consequences and special considerations, if any, applicable to any such series will be described in an accompanying prospectus supplement</w:t>
      </w:r>
      <w:r>
        <w:rPr>
          <w:color w:val="000000"/>
        </w:rPr>
        <w:t xml:space="preserve"> </w:t>
      </w:r>
      <w:r>
        <w:rPr>
          <w:rFonts w:ascii="Times New Roman;serif" w:hAnsi="Times New Roman;serif"/>
          <w:b w:val="false"/>
          <w:color w:val="000000"/>
          <w:sz w:val="20"/>
        </w:rPr>
        <w:t>or a related free writing prospectus.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expect most debt securities to be issued in fully registered form without coupons and in denominations of $2,000 and any integral multiple of $1,000 in excess thereof. Subject to the limitations provided in the indenture and in an accompanying prospectus supplement</w:t>
      </w:r>
      <w:r>
        <w:rPr>
          <w:color w:val="000000"/>
        </w:rPr>
        <w:t xml:space="preserve"> </w:t>
      </w:r>
      <w:r>
        <w:rPr>
          <w:rFonts w:ascii="Times New Roman;serif" w:hAnsi="Times New Roman;serif"/>
          <w:b w:val="false"/>
          <w:color w:val="000000"/>
          <w:sz w:val="20"/>
        </w:rPr>
        <w:t>or any related free writing prospectus, debt securities that are issued in registered form may be transferred or exchanged at the designated corporate trust office of the trustee, without the payment of any service charge, other than any tax or other governmental charge payable in connection therewith.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Unless we inform you otherwise in an accompanying prospectus supplement</w:t>
      </w:r>
      <w:r>
        <w:rPr>
          <w:color w:val="000000"/>
        </w:rPr>
        <w:t xml:space="preserve"> </w:t>
      </w:r>
      <w:r>
        <w:rPr>
          <w:rFonts w:ascii="Times New Roman;serif" w:hAnsi="Times New Roman;serif"/>
          <w:b w:val="false"/>
          <w:color w:val="000000"/>
          <w:sz w:val="20"/>
        </w:rPr>
        <w:t>or any related free writing prospectus, the debt securities of a series may be issued in whole or in part in the form of one or more global securities that will be deposited with, or on behalf of, a depositary identified in an accompanying prospectus supplement</w:t>
      </w:r>
      <w:r>
        <w:rPr>
          <w:color w:val="000000"/>
        </w:rPr>
        <w:t xml:space="preserve"> </w:t>
      </w:r>
      <w:r>
        <w:rPr>
          <w:rFonts w:ascii="Times New Roman;serif" w:hAnsi="Times New Roman;serif"/>
          <w:b w:val="false"/>
          <w:color w:val="000000"/>
          <w:sz w:val="20"/>
        </w:rPr>
        <w:t>or any related free writing prospectus.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 and the debt securities shall be construed in accordance with and governed by the laws of the State of New York.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0"/>
        <w:jc w:val="both"/>
        <w:rPr/>
      </w:pPr>
      <w:r>
        <w:rPr>
          <w:rFonts w:ascii="Times New Roman;serif" w:hAnsi="Times New Roman;serif"/>
          <w:b w:val="false"/>
          <w:color w:val="000000"/>
          <w:sz w:val="20"/>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w:t>
      </w:r>
      <w:r>
        <w:rPr>
          <w:color w:val="000000"/>
        </w:rPr>
        <w:t xml:space="preserve"> </w:t>
      </w:r>
      <w:r>
        <w:rPr>
          <w:rFonts w:ascii="Times New Roman;serif" w:hAnsi="Times New Roman;serif"/>
          <w:b w:val="false"/>
          <w:color w:val="000000"/>
          <w:sz w:val="20"/>
        </w:rPr>
        <w:t>or any related free writing prospectus. The warrant agent will act solely as our agent in connection with the warrants and will not assume any obligation, or agency or trust relationship, with you.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prospectus supplement and any related free writing prospectus relating to a particular issue of warrants will describe the terms of those warrants, including, when applicable: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offering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currency or currencies, including composite currencies, in which the purchase price and/or exercise price of the warrants may be payable;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warrants offered;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exercise price and the amount of securities you will receive upon exercise;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procedure for exercise of the warrants and the circumstances, if any, that will cause the warrants to be automatically exercised;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rights, if any, we have to redeem the warrants;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date on which the right to exercise the warrants will commence and the date on which the warrants will expire;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name of the warrant agent;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other material terms of the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warrants expire they will become void. The prospectus supplement and any related free writing prospectus may provide for the adjustment of the exercise price of the warrants.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Warrants may be exercised at the appropriate office of the warrant agent or any other office indicated in an accompanying prospectus supplement</w:t>
      </w:r>
      <w:r>
        <w:rPr>
          <w:color w:val="000000"/>
        </w:rPr>
        <w:t xml:space="preserve"> </w:t>
      </w:r>
      <w:r>
        <w:rPr>
          <w:rFonts w:ascii="Times New Roman;serif" w:hAnsi="Times New Roman;serif"/>
          <w:b w:val="false"/>
          <w:color w:val="000000"/>
          <w:sz w:val="20"/>
        </w:rPr>
        <w:t>or any related free writing prospectus. Before the exercise of warrants, holders will not have any of the rights of holders of the securities purchasable upon exercise and will not be entitled to payments made to holders of those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or any related free writing prospectus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and any related free writing prospectus in their entirety.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applicable prospectus supplement indicates otherwise, Mintz, Levin, Cohn, Ferris, Glovsky and Popeo, P.C., Boston, Massachusetts will pass upon the validity of the issuance of the securities to be offered by this prospectus. Additional legal matters may be passed upon for any underwriters, dealers or agents by counsel that we will name in the applicable prospectus supplement.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Securities Exchange Act of 1934, as amended, or the Exchange Act, and file annual, quarterly and current reports, proxy statements and other information with the SEC. SEC filings are available at the SEC’s website at http://www.sec.gov.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of the registration statement, including the exhibits and schedules, from the SEC’s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maintain a website at http://www.myriad.com, through which you can access our SEC filings free of charge. The information set forth on our website is not part of this prospectus.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hyperlink r:id="rId3">
        <w:r>
          <w:rPr>
            <w:rStyle w:val="InternetLink"/>
          </w:rPr>
          <w:t xml:space="preserve">our Annual Report on Form 10-K for the year ended December 31, 2025 filed with the SEC on February </w:t>
        </w:r>
      </w:hyperlink>
      <w:hyperlink r:id="rId4">
        <w:r>
          <w:rPr>
            <w:rStyle w:val="InternetLink"/>
          </w:rPr>
          <w:t>24</w:t>
        </w:r>
      </w:hyperlink>
      <w:hyperlink r:id="rId5">
        <w:r>
          <w:rPr>
            <w:rStyle w:val="InternetLink"/>
          </w:rPr>
          <w:t>, 2026</w:t>
        </w:r>
      </w:hyperlink>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w:t>
      </w:r>
      <w:hyperlink r:id="rId6">
        <w:r>
          <w:rPr>
            <w:rStyle w:val="InternetLink"/>
            <w:rFonts w:ascii="Times New Roman;serif" w:hAnsi="Times New Roman;serif"/>
            <w:b w:val="false"/>
            <w:color w:val="0000FF"/>
            <w:sz w:val="20"/>
            <w:u w:val="single"/>
          </w:rPr>
          <w:t>he portions of our Definitive Proxy Statement on Schedule 14A filed with the SEC on April 9, 2025 that are deemed filed under applicable SEC rules; and</w:t>
        </w:r>
      </w:hyperlink>
    </w:p>
    <w:p>
      <w:pPr>
        <w:pStyle w:val="TextBody"/>
        <w:bidi w:val="0"/>
        <w:spacing w:lineRule="auto" w:line="288" w:before="0" w:after="0"/>
        <w:ind w:left="0" w:right="0" w:hanging="360"/>
        <w:jc w:val="both"/>
        <w:rPr/>
      </w:pPr>
      <w:r>
        <w:rPr>
          <w:color w:val="000000"/>
        </w:rPr>
        <w:t>•</w:t>
      </w:r>
      <w:hyperlink r:id="rId7">
        <w:r>
          <w:rPr>
            <w:rStyle w:val="InternetLink"/>
          </w:rPr>
          <w:t>the description of our common stock contained in Exhibit 4.2 to our Annual Report on Form 10-K for the year ended December 31, 202</w:t>
        </w:r>
      </w:hyperlink>
      <w:hyperlink r:id="rId8">
        <w:r>
          <w:rPr>
            <w:rStyle w:val="InternetLink"/>
          </w:rPr>
          <w:t>5</w:t>
        </w:r>
      </w:hyperlink>
      <w:hyperlink r:id="rId9">
        <w:r>
          <w:rPr>
            <w:rStyle w:val="InternetLink"/>
          </w:rPr>
          <w:t xml:space="preserve"> filed with the SEC on February </w:t>
        </w:r>
      </w:hyperlink>
      <w:hyperlink r:id="rId10">
        <w:r>
          <w:rPr>
            <w:rStyle w:val="InternetLink"/>
          </w:rPr>
          <w:t>24</w:t>
        </w:r>
      </w:hyperlink>
      <w:hyperlink r:id="rId11">
        <w:r>
          <w:rPr>
            <w:rStyle w:val="InternetLink"/>
          </w:rPr>
          <w:t>, 2026, and any amendment or report filed for the purpose of updating such description.</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 file number for each of the documents listed above is 000-26642.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documents filed by us pursuant to Sections 13(a), 13(c), 14 or 15(d) of the Exchange Act after the date of this prospectus and any accompanying prospectus supplement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however, incorporating by reference any documents or portions thereof, whether specifically listed above or filed in the future, that are not deemed “filed” with the SEC, including our compensation committee report, performance graph and the certifications of our chief executive officer and chief financial officer required by Rule 13a-14(b) or Rule 15d-14(b) under the Exchange Act and Section 1350 of Chapter 63 of Title 18 of the United States Code (included in or accompanying our latest Annual Report on Form 10-K incorporated by reference herein) or any information furnished pursuant to Items 2.02 or 7.01 of Form 8-K or certain exhibits furnished pursuant to Item 9.01 of 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provide without charge upon written or oral request to each person, including any beneficial owner, to whom a prospectus is delivered, a copy of any or all of the documents which are incorporated by reference into the prospectus but not delivered with the prospectus (other than exhibits to those documents unless such exhibits are specifically incorporated by reference as an exhibit in this prospectus). Requests should be directed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Myriad Genetics,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 North 2200 West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Salt Lake City, Utah 84116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(801) 584-3600.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MYRIAD GENETICS, INC. </w:t>
      </w:r>
    </w:p>
    <w:p>
      <w:pPr>
        <w:pStyle w:val="TextBody"/>
        <w:bidi w:val="0"/>
        <w:spacing w:before="0" w:after="0"/>
        <w:jc w:val="center"/>
        <w:rPr/>
      </w:pPr>
      <w:r>
        <w:rPr/>
      </w:r>
    </w:p>
    <w:p>
      <w:pPr>
        <w:pStyle w:val="TextBody"/>
        <w:bidi w:val="0"/>
        <w:spacing w:before="0" w:after="120"/>
        <w:jc w:val="center"/>
        <w:rPr/>
      </w:pPr>
      <w:r>
        <w:rPr/>
        <w:drawing>
          <wp:inline distT="0" distB="0" distL="0" distR="0">
            <wp:extent cx="1733550" cy="8763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12"/>
                    <a:stretch>
                      <a:fillRect/>
                    </a:stretch>
                  </pic:blipFill>
                  <pic:spPr bwMode="auto">
                    <a:xfrm>
                      <a:off x="0" y="0"/>
                      <a:ext cx="1733550" cy="8763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COMMON STOCK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PREFERRED STOCK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DEPOSITARY SHARES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DEBT SECURITIES </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WARRANTS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$200,000,000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24,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pStyle w:val="TextBody"/>
        <w:bidi w:val="0"/>
        <w:spacing w:before="0" w:after="0"/>
        <w:jc w:val="center"/>
        <w:rPr/>
      </w:pPr>
      <w:r>
        <w:rPr/>
      </w:r>
    </w:p>
    <w:tbl>
      <w:tblPr>
        <w:tblW w:w="4725" w:type="dxa"/>
        <w:jc w:val="left"/>
        <w:tblInd w:w="0" w:type="dxa"/>
        <w:tblLayout w:type="fixed"/>
        <w:tblCellMar>
          <w:top w:w="28" w:type="dxa"/>
          <w:left w:w="28" w:type="dxa"/>
          <w:bottom w:w="28" w:type="dxa"/>
          <w:right w:w="28" w:type="dxa"/>
        </w:tblCellMar>
      </w:tblPr>
      <w:tblGrid>
        <w:gridCol w:w="293"/>
        <w:gridCol w:w="257"/>
        <w:gridCol w:w="260"/>
        <w:gridCol w:w="1147"/>
        <w:gridCol w:w="1147"/>
        <w:gridCol w:w="162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Other Expenses of Issuance and Distribution </w:t>
            </w:r>
          </w:p>
        </w:tc>
      </w:tr>
    </w:tbl>
    <w:p>
      <w:pPr>
        <w:pStyle w:val="TextBody"/>
        <w:bidi w:val="0"/>
        <w:spacing w:lineRule="auto" w:line="288" w:before="0" w:after="0"/>
        <w:jc w:val="left"/>
        <w:rPr/>
      </w:pPr>
      <w:r>
        <w:rPr>
          <w:rFonts w:ascii="Times New Roman;serif" w:hAnsi="Times New Roman;serif"/>
          <w:b w:val="false"/>
          <w:color w:val="000000"/>
          <w:sz w:val="20"/>
        </w:rPr>
        <w:t>The following table sets forth the various expenses to be incurred in connection with the registration of the securities being registered hereby, all of which will be borne by the registrant.</w:t>
      </w:r>
      <w:r>
        <w:rPr>
          <w:color w:val="000000"/>
        </w:rPr>
        <w:t xml:space="preserve"> </w:t>
      </w:r>
      <w:r>
        <w:rPr>
          <w:rFonts w:ascii="Times New Roman;serif" w:hAnsi="Times New Roman;serif"/>
          <w:b w:val="false"/>
          <w:color w:val="000000"/>
          <w:sz w:val="20"/>
        </w:rPr>
        <w:t>All of the amounts shown are estimated except the SEC Registration Fee.</w:t>
      </w:r>
    </w:p>
    <w:p>
      <w:pPr>
        <w:pStyle w:val="TextBody"/>
        <w:bidi w:val="0"/>
        <w:spacing w:before="0" w:after="0"/>
        <w:jc w:val="left"/>
        <w:rPr/>
      </w:pPr>
      <w:r>
        <w:rPr/>
      </w:r>
    </w:p>
    <w:tbl>
      <w:tblPr>
        <w:tblW w:w="4836" w:type="dxa"/>
        <w:jc w:val="left"/>
        <w:tblInd w:w="0" w:type="dxa"/>
        <w:tblLayout w:type="fixed"/>
        <w:tblCellMar>
          <w:top w:w="28" w:type="dxa"/>
          <w:left w:w="28" w:type="dxa"/>
          <w:bottom w:w="28" w:type="dxa"/>
          <w:right w:w="28" w:type="dxa"/>
        </w:tblCellMar>
      </w:tblPr>
      <w:tblGrid>
        <w:gridCol w:w="1046"/>
        <w:gridCol w:w="920"/>
        <w:gridCol w:w="929"/>
        <w:gridCol w:w="109"/>
        <w:gridCol w:w="109"/>
        <w:gridCol w:w="109"/>
        <w:gridCol w:w="130"/>
        <w:gridCol w:w="130"/>
        <w:gridCol w:w="130"/>
        <w:gridCol w:w="360"/>
        <w:gridCol w:w="361"/>
        <w:gridCol w:w="131"/>
        <w:gridCol w:w="109"/>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27,620 </w:t>
            </w:r>
          </w:p>
        </w:tc>
        <w:tc>
          <w:tcPr>
            <w:tcW w:w="13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Accountant’s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Transfer agent’s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These fees are calculated based on the securities offered and the number of issuances and accordingly cannot be estimated at this time.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tbl>
      <w:tblPr>
        <w:tblW w:w="4530" w:type="dxa"/>
        <w:jc w:val="left"/>
        <w:tblInd w:w="0" w:type="dxa"/>
        <w:tblLayout w:type="fixed"/>
        <w:tblCellMar>
          <w:top w:w="28" w:type="dxa"/>
          <w:left w:w="28" w:type="dxa"/>
          <w:bottom w:w="28" w:type="dxa"/>
          <w:right w:w="28" w:type="dxa"/>
        </w:tblCellMar>
      </w:tblPr>
      <w:tblGrid>
        <w:gridCol w:w="293"/>
        <w:gridCol w:w="257"/>
        <w:gridCol w:w="260"/>
        <w:gridCol w:w="1088"/>
        <w:gridCol w:w="1088"/>
        <w:gridCol w:w="154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Indemnification of Directors and Officers. </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145(a)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cause to believe the person’s conduct was unlawful.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145(b)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under similar standards,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145 further provides that to the extent a present or former director or officer of a corporation has been successful on the merits or otherwise in the defense of any action, suit or proceeding referred to in subsections (a) and (b) or in the defense of any claim, issue or matter therein, such person shall be indemnified against expenses (including attorneys’ fees) actually and reasonably incurred by such person in connection therewith; that indemnification and advancement of expenses provided by, or granted pursuant to, Section 145 shall not be deemed exclusive of any other rights to which the indemnified party may be entitled; and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or incurred by such person in any such capacity or arising out of such person’s status as such, whether or not the corporation would have the power to indemnify him against such liabilities under Section 145.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restated certificate of incorporation, as amended, and restated by-laws provide for indemnification of and advancement of expenses to our directors and officers to the fullest extent permitted by the Delaware General Corporation Law. The restated certificate of incorporation, as amended, and restated by-laws also permit the Board of Directors to authorize us to purchase and maintain insurance against liabilities asserted against any of our directors, officers, employees or agents arising out of their capacity as such, and we have purchased such insurance.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entered into indemnification agreements with our directors and certain of our officers and key employees. These agreements provide each indemnitee with more comprehensive indemnification and advancement rights than are provided by us in our restated certificate of incorporation, as amended, and restated by-laws in certain circumstances and contain presumptions and procedures designed to ensure that the indemnification and advancement rights granted to each indemnitee in these agreements will be provided on a timely basis. Each agreement provides that our obligations under the agreement will continue during the time the indemnitee serves the Registrant and continues thereafter so long as the indemnitee is subject to any possible proceeding by reason of the indemnitee’s service to the Registrant.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under the Securities Act may be permitted to our directors, officers, or controlling persons pursuant to our restated certificate of incorporation, as amended, and restated by-laws indemnification agreements we have entered with these persons and the Delaware General Corporation Law,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permitted by the Delaware General Corporation Law, our restated certificate of incorporation, as amended, provides that our directors and officers shall not be personally liable to the Registrant or our stockholders for monetary damages for breach of fiduciary duty as a director or officer, except for liability (i) for any breach of the director’s or officer’s duty of loyalty to the Registrant or its stockholders, (ii) for acts or omissions not in good faith or which involve intentional misconduct or a knowing violation of law, (iii) with respect to directors, under Section 174 of the Delaware General Corporation Law, relating to prohibited dividends or distributions or the repurchase or redemption of stock, (iv) for any transaction from which the director or officer derives an improper personal benefit or (v) with respect to officers, in any action by or in the right of the Registrant. As a result of this provision, the Registrant and our stockholders may be unable to obtain monetary damages from a director or officer for breach of his or her duty of care.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tbl>
      <w:tblPr>
        <w:tblW w:w="1710" w:type="dxa"/>
        <w:jc w:val="left"/>
        <w:tblInd w:w="0" w:type="dxa"/>
        <w:tblLayout w:type="fixed"/>
        <w:tblCellMar>
          <w:top w:w="28" w:type="dxa"/>
          <w:left w:w="28" w:type="dxa"/>
          <w:bottom w:w="28" w:type="dxa"/>
          <w:right w:w="28" w:type="dxa"/>
        </w:tblCellMar>
      </w:tblPr>
      <w:tblGrid>
        <w:gridCol w:w="293"/>
        <w:gridCol w:w="257"/>
        <w:gridCol w:w="260"/>
        <w:gridCol w:w="263"/>
        <w:gridCol w:w="263"/>
        <w:gridCol w:w="37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41"/>
        <w:gridCol w:w="211"/>
        <w:gridCol w:w="213"/>
        <w:gridCol w:w="109"/>
        <w:gridCol w:w="109"/>
        <w:gridCol w:w="109"/>
        <w:gridCol w:w="2798"/>
        <w:gridCol w:w="2676"/>
        <w:gridCol w:w="3739"/>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5"/>
              </w:rPr>
            </w:pPr>
            <w:r>
              <w:rPr>
                <w:rFonts w:ascii="Times New Roman;serif" w:hAnsi="Times New Roman;serif"/>
                <w:b/>
                <w:color w:val="000000"/>
                <w:sz w:val="15"/>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5"/>
              </w:rPr>
            </w:pPr>
            <w:r>
              <w:rPr>
                <w:rFonts w:ascii="Times New Roman;serif" w:hAnsi="Times New Roman;serif"/>
                <w:b/>
                <w:color w:val="000000"/>
                <w:sz w:val="15"/>
              </w:rPr>
              <w:t>Description of Document</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Restated Certificate of Incorporation, as amended (incorporated by reference to Exhibit 3.1 to the registrant’s Quarterly Report on Form 10-Q for the quarter ended June 30, 2023, filed on August 4, 2023 (File No. 000-26642)).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Restated By-Laws (incorporated by reference to Exhibit 3.1 to the registrant’s Current Report on Form 8-K, filed on October 15, 2020 (File No. 000-26642)).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Specimen Common Stock Certificate (incorporated by reference to Exhibit 4.1 to the registrant’s Annual Report on Form 10-K for the year ended June 30, 2011, filed on August 15, 2011 (File No. 000-26642)).</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80"/>
                  <w:sz w:val="20"/>
                  <w:u w:val="single"/>
                </w:rPr>
                <w:t>Description of Securities (incorporated by reference to Exhibit 4.2 to the registrant’s Annual Report on Form 10-K for the year ended December 31, 2020, filed on March 16, 2021 (File No. 000-26642)</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ormofindentures-3exhibit.htm">
              <w:r>
                <w:rPr>
                  <w:rStyle w:val="InternetLink"/>
                  <w:rFonts w:ascii="Times New Roman;serif" w:hAnsi="Times New Roman;serif"/>
                  <w:b w:val="false"/>
                  <w:color w:val="0000FF"/>
                  <w:sz w:val="20"/>
                  <w:u w:val="single"/>
                </w:rPr>
                <w:t>Form of Indenture for debt securities between the registrant and the trustee to be named therein.</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Certificate of Designation or Certificate of Amendment.</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Warrant Agreement and the Warrant Certificates to be issued thereunder.</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Deposit Agreement and the Depositary Receipts to be issued thereunder.</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iad-sx3x51opinionfebrua.htm">
              <w:r>
                <w:rPr>
                  <w:rStyle w:val="InternetLink"/>
                  <w:rFonts w:ascii="Times New Roman;serif" w:hAnsi="Times New Roman;serif"/>
                  <w:b w:val="false"/>
                  <w:color w:val="0000FF"/>
                  <w:sz w:val="20"/>
                  <w:u w:val="single"/>
                </w:rPr>
                <w:t>Opinion of Mintz, Levin, Cohn, Ferris, Glovsky and Popeo, P.C. regarding legality of securities being registered.</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231eyconsentfeb2026.htm">
              <w:r>
                <w:rPr>
                  <w:rStyle w:val="InternetLink"/>
                  <w:rFonts w:ascii="Times New Roman;serif" w:hAnsi="Times New Roman;serif"/>
                  <w:b w:val="false"/>
                  <w:color w:val="0000FF"/>
                  <w:sz w:val="20"/>
                  <w:u w:val="single"/>
                </w:rPr>
                <w:t>Consent of Ernst &amp; Young LLP, Independent Registered Public Accounting Firm.</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iad-sx3x51opinionfebrua.htm">
              <w:r>
                <w:rPr>
                  <w:rStyle w:val="InternetLink"/>
                  <w:rFonts w:ascii="Times New Roman;serif" w:hAnsi="Times New Roman;serif"/>
                  <w:b w:val="false"/>
                  <w:color w:val="0000FF"/>
                  <w:sz w:val="20"/>
                  <w:u w:val="single"/>
                </w:rPr>
                <w:t>Consent of Mintz, Levin, Cohn, Ferris, Glovsky and Popeo, P.C. (included in opinion of counsel filed as Exhibit 5.1).</w:t>
              </w:r>
            </w:hyperlink>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of Attorney (included on signature page).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Statement of Eligibility on Form T-1 under the Trust Indenture Act of 1939, as amended, of the Trustee under the Indenture.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filingfees.htm">
              <w:r>
                <w:rPr>
                  <w:rStyle w:val="InternetLink"/>
                  <w:rFonts w:ascii="Times New Roman;serif" w:hAnsi="Times New Roman;serif"/>
                  <w:b w:val="false"/>
                  <w:color w:val="0000FF"/>
                  <w:sz w:val="20"/>
                  <w:u w:val="single"/>
                </w:rPr>
                <w:t>Filing Fee Table</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be subsequently filed, if applicable, by amendment or as an exhibit to a report pursuant to Section 13(a), 13(c) or 15(d) of the Exchange Act.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To be subsequently filed, if applicable, in accordance with Section 305(b)(2) of the Trust Indenture Act of 1939, as amended.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before="0" w:after="0"/>
        <w:jc w:val="left"/>
        <w:rPr/>
      </w:pPr>
      <w:r>
        <w:rPr/>
      </w:r>
    </w:p>
    <w:tbl>
      <w:tblPr>
        <w:tblW w:w="2101" w:type="dxa"/>
        <w:jc w:val="left"/>
        <w:tblInd w:w="0" w:type="dxa"/>
        <w:tblLayout w:type="fixed"/>
        <w:tblCellMar>
          <w:top w:w="28" w:type="dxa"/>
          <w:left w:w="28" w:type="dxa"/>
          <w:bottom w:w="28" w:type="dxa"/>
          <w:right w:w="28" w:type="dxa"/>
        </w:tblCellMar>
      </w:tblPr>
      <w:tblGrid>
        <w:gridCol w:w="293"/>
        <w:gridCol w:w="257"/>
        <w:gridCol w:w="260"/>
        <w:gridCol w:w="378"/>
        <w:gridCol w:w="378"/>
        <w:gridCol w:w="53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17.</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Undertakings</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file, during any period in which offers or sales are being made, a post-effective amendment to this registration statement:</w:t>
            </w:r>
          </w:p>
        </w:tc>
      </w:tr>
    </w:tbl>
    <w:p>
      <w:pPr>
        <w:pStyle w:val="TextBody"/>
        <w:bidi w:val="0"/>
        <w:spacing w:before="0" w:after="0"/>
        <w:jc w:val="both"/>
        <w:rPr/>
      </w:pPr>
      <w:r>
        <w:rPr/>
      </w:r>
    </w:p>
    <w:tbl>
      <w:tblPr>
        <w:tblW w:w="6702" w:type="dxa"/>
        <w:jc w:val="left"/>
        <w:tblInd w:w="0" w:type="dxa"/>
        <w:tblLayout w:type="fixed"/>
        <w:tblCellMar>
          <w:top w:w="28" w:type="dxa"/>
          <w:left w:w="28" w:type="dxa"/>
          <w:bottom w:w="28" w:type="dxa"/>
          <w:right w:w="28" w:type="dxa"/>
        </w:tblCellMar>
      </w:tblPr>
      <w:tblGrid>
        <w:gridCol w:w="124"/>
        <w:gridCol w:w="109"/>
        <w:gridCol w:w="109"/>
        <w:gridCol w:w="1859"/>
        <w:gridCol w:w="1859"/>
        <w:gridCol w:w="2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include any prospectus required by Section 10(a)(3) of the Securities Act;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1"/>
        <w:gridCol w:w="2884"/>
        <w:gridCol w:w="2884"/>
        <w:gridCol w:w="409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include any material information with respect to the plan of distribution not previously disclosed in the registration statement or any material change to such information in the registration statement; provided, however, that paragraphs (1)(i), (1)(ii) and (1)(iii)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w:t>
            </w:r>
          </w:p>
        </w:tc>
      </w:tr>
    </w:tbl>
    <w:p>
      <w:pPr>
        <w:pStyle w:val="TextBody"/>
        <w:bidi w:val="0"/>
        <w:spacing w:before="0" w:after="0"/>
        <w:jc w:val="both"/>
        <w:rPr/>
      </w:pPr>
      <w:r>
        <w:rPr/>
      </w:r>
    </w:p>
    <w:tbl>
      <w:tblPr>
        <w:tblW w:w="7544" w:type="dxa"/>
        <w:jc w:val="left"/>
        <w:tblInd w:w="0" w:type="dxa"/>
        <w:tblLayout w:type="fixed"/>
        <w:tblCellMar>
          <w:top w:w="28" w:type="dxa"/>
          <w:left w:w="28" w:type="dxa"/>
          <w:bottom w:w="28" w:type="dxa"/>
          <w:right w:w="28" w:type="dxa"/>
        </w:tblCellMar>
      </w:tblPr>
      <w:tblGrid>
        <w:gridCol w:w="125"/>
        <w:gridCol w:w="110"/>
        <w:gridCol w:w="110"/>
        <w:gridCol w:w="2107"/>
        <w:gridCol w:w="2107"/>
        <w:gridCol w:w="298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liability under the Securities Act to any purchaser: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preliminary prospectus or prospectus of the undersigned registrant relating to the offering required to be filed pursuant to Rule 424;</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free writing prospectus relating to the offering prepared by or on behalf of the undersigned registrant or used or referred to by the undersigned registrant;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1"/>
        <w:gridCol w:w="2882"/>
        <w:gridCol w:w="2882"/>
        <w:gridCol w:w="409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both"/>
        <w:rPr/>
      </w:pPr>
      <w:r>
        <w:rPr/>
      </w:r>
    </w:p>
    <w:tbl>
      <w:tblPr>
        <w:tblW w:w="9296" w:type="dxa"/>
        <w:jc w:val="left"/>
        <w:tblInd w:w="0" w:type="dxa"/>
        <w:tblLayout w:type="fixed"/>
        <w:tblCellMar>
          <w:top w:w="28" w:type="dxa"/>
          <w:left w:w="28" w:type="dxa"/>
          <w:bottom w:w="28" w:type="dxa"/>
          <w:right w:w="28" w:type="dxa"/>
        </w:tblCellMar>
      </w:tblPr>
      <w:tblGrid>
        <w:gridCol w:w="124"/>
        <w:gridCol w:w="109"/>
        <w:gridCol w:w="109"/>
        <w:gridCol w:w="2618"/>
        <w:gridCol w:w="2618"/>
        <w:gridCol w:w="3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iv.</w:t>
            </w:r>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other communication that is an offer in the offering made by the undersigned registrant to the purchaser.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(7)</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8"/>
        <w:gridCol w:w="130"/>
        <w:gridCol w:w="132"/>
        <w:gridCol w:w="2862"/>
        <w:gridCol w:w="2862"/>
        <w:gridCol w:w="4071"/>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w:t>
            </w:r>
          </w:p>
        </w:tc>
        <w:tc>
          <w:tcPr>
            <w:tcW w:w="9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Salt Lake and State of Utah on February 24, 2026. </w:t>
      </w:r>
    </w:p>
    <w:tbl>
      <w:tblPr>
        <w:tblW w:w="3956" w:type="dxa"/>
        <w:jc w:val="left"/>
        <w:tblInd w:w="0" w:type="dxa"/>
        <w:tblLayout w:type="fixed"/>
        <w:tblCellMar>
          <w:top w:w="28" w:type="dxa"/>
          <w:left w:w="28" w:type="dxa"/>
          <w:bottom w:w="28" w:type="dxa"/>
          <w:right w:w="28" w:type="dxa"/>
        </w:tblCellMar>
      </w:tblPr>
      <w:tblGrid>
        <w:gridCol w:w="152"/>
        <w:gridCol w:w="134"/>
        <w:gridCol w:w="134"/>
        <w:gridCol w:w="109"/>
        <w:gridCol w:w="109"/>
        <w:gridCol w:w="109"/>
        <w:gridCol w:w="937"/>
        <w:gridCol w:w="937"/>
        <w:gridCol w:w="133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Myriad Genetics,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Samraat S. Raha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the undersigned officers and directors of Myriad Genetics, Inc., hereby severally constitute and appoint Samraat S. Raha and Benjamin R. Wheeler,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this registration statement on Form S-3 has been signed below by the following persons in the capacities and on the dates indicated.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6"/>
        <w:gridCol w:w="137"/>
        <w:gridCol w:w="137"/>
        <w:gridCol w:w="109"/>
        <w:gridCol w:w="109"/>
        <w:gridCol w:w="109"/>
        <w:gridCol w:w="678"/>
        <w:gridCol w:w="615"/>
        <w:gridCol w:w="617"/>
        <w:gridCol w:w="231"/>
        <w:gridCol w:w="231"/>
        <w:gridCol w:w="231"/>
        <w:gridCol w:w="109"/>
        <w:gridCol w:w="109"/>
        <w:gridCol w:w="109"/>
        <w:gridCol w:w="590"/>
        <w:gridCol w:w="568"/>
        <w:gridCol w:w="568"/>
        <w:gridCol w:w="568"/>
        <w:gridCol w:w="568"/>
        <w:gridCol w:w="568"/>
        <w:gridCol w:w="568"/>
        <w:gridCol w:w="568"/>
        <w:gridCol w:w="568"/>
        <w:gridCol w:w="398"/>
        <w:gridCol w:w="398"/>
        <w:gridCol w:w="588"/>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Signature</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Title</w:t>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Date</w:t>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Samraat S. Raha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 (Principal Executive Officer)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Samraat S. Raha</w:t>
            </w:r>
          </w:p>
        </w:tc>
        <w:tc>
          <w:tcPr>
            <w:tcW w:w="6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vMerge w:val="continue"/>
            <w:tcBorders/>
            <w:tcMar>
              <w:top w:w="0" w:type="dxa"/>
              <w:left w:w="0" w:type="dxa"/>
              <w:bottom w:w="0" w:type="dxa"/>
              <w:right w:w="0" w:type="dxa"/>
            </w:tcMar>
            <w:vAlign w:val="center"/>
          </w:tcPr>
          <w:p>
            <w:pPr>
              <w:pStyle w:val="Normal"/>
              <w:bidi w:val="0"/>
              <w:jc w:val="left"/>
              <w:rPr/>
            </w:pPr>
            <w:r>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Benjamin R. Wheeler</w:t>
            </w:r>
          </w:p>
        </w:tc>
        <w:tc>
          <w:tcPr>
            <w:tcW w:w="6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vMerge w:val="continue"/>
            <w:tcBorders/>
            <w:tcMar>
              <w:top w:w="0" w:type="dxa"/>
              <w:left w:w="0" w:type="dxa"/>
              <w:bottom w:w="0" w:type="dxa"/>
              <w:right w:w="0" w:type="dxa"/>
            </w:tcMar>
            <w:vAlign w:val="center"/>
          </w:tcPr>
          <w:p>
            <w:pPr>
              <w:pStyle w:val="Normal"/>
              <w:bidi w:val="0"/>
              <w:jc w:val="left"/>
              <w:rPr/>
            </w:pPr>
            <w:r>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S. Louise Phanstiel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Louise Phanstiel</w:t>
            </w:r>
          </w:p>
        </w:tc>
        <w:tc>
          <w:tcPr>
            <w:tcW w:w="6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Mark S. Davis</w:t>
            </w:r>
          </w:p>
        </w:tc>
        <w:tc>
          <w:tcPr>
            <w:tcW w:w="693"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 S. Davis</w:t>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Paul M. Bisaro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Paul M. Bisaro</w:t>
            </w:r>
          </w:p>
        </w:tc>
        <w:tc>
          <w:tcPr>
            <w:tcW w:w="6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Heiner Dreismann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Heiner Dreismann, Ph.D.</w:t>
            </w:r>
          </w:p>
        </w:tc>
        <w:tc>
          <w:tcPr>
            <w:tcW w:w="69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tbl>
      <w:tblPr>
        <w:tblW w:w="6145" w:type="dxa"/>
        <w:jc w:val="left"/>
        <w:tblInd w:w="0" w:type="dxa"/>
        <w:tblLayout w:type="fixed"/>
        <w:tblCellMar>
          <w:top w:w="28" w:type="dxa"/>
          <w:left w:w="28" w:type="dxa"/>
          <w:bottom w:w="28" w:type="dxa"/>
          <w:right w:w="28" w:type="dxa"/>
        </w:tblCellMar>
      </w:tblPr>
      <w:tblGrid>
        <w:gridCol w:w="168"/>
        <w:gridCol w:w="148"/>
        <w:gridCol w:w="148"/>
        <w:gridCol w:w="109"/>
        <w:gridCol w:w="109"/>
        <w:gridCol w:w="109"/>
        <w:gridCol w:w="694"/>
        <w:gridCol w:w="694"/>
        <w:gridCol w:w="696"/>
        <w:gridCol w:w="109"/>
        <w:gridCol w:w="109"/>
        <w:gridCol w:w="109"/>
        <w:gridCol w:w="109"/>
        <w:gridCol w:w="109"/>
        <w:gridCol w:w="109"/>
        <w:gridCol w:w="109"/>
        <w:gridCol w:w="109"/>
        <w:gridCol w:w="109"/>
        <w:gridCol w:w="109"/>
        <w:gridCol w:w="109"/>
        <w:gridCol w:w="109"/>
        <w:gridCol w:w="109"/>
        <w:gridCol w:w="109"/>
        <w:gridCol w:w="109"/>
        <w:gridCol w:w="477"/>
        <w:gridCol w:w="477"/>
        <w:gridCol w:w="681"/>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Rashmi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Rashmi Kumar</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Lee N. Newcomer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Lee N. Newcomer, M.D.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Colleen F. Reitan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Colleen F. Reitan</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 Daniel M. Skovronsky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Daniel M. Skovronsky</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II-9</w:t>
                      </w:r>
                    </w:p>
                  </w:txbxContent>
                </v:textbox>
                <w10:wrap type="none"/>
              </v:rect>
            </w:pict>
          </mc:Fallback>
        </mc:AlternateContent>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MYRIAD GENETICS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19" w:type="dxa"/>
        <w:jc w:val="left"/>
        <w:tblInd w:w="0" w:type="dxa"/>
        <w:tblLayout w:type="fixed"/>
        <w:tblCellMar>
          <w:top w:w="28" w:type="dxa"/>
          <w:left w:w="28" w:type="dxa"/>
          <w:bottom w:w="28" w:type="dxa"/>
          <w:right w:w="28" w:type="dxa"/>
        </w:tblCellMar>
      </w:tblPr>
      <w:tblGrid>
        <w:gridCol w:w="1126"/>
        <w:gridCol w:w="226"/>
        <w:gridCol w:w="1246"/>
        <w:gridCol w:w="115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1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right"/>
              <w:rPr/>
            </w:pPr>
            <w:r>
              <w:rPr/>
              <w:t xml:space="preserve">$ 0.00 </w:t>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Preferred Stock, $0.01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right"/>
              <w:rPr/>
            </w:pPr>
            <w:r>
              <w:rPr/>
              <w:t xml:space="preserve">$ 0.00 </w:t>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12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Depository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right"/>
              <w:rPr/>
            </w:pPr>
            <w:r>
              <w:rPr/>
              <w:t xml:space="preserve">$ 0.00 </w:t>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1246" w:type="dxa"/>
            <w:tcBorders/>
            <w:shd w:fill="E7E7E2" w:val="clear"/>
            <w:vAlign w:val="center"/>
          </w:tcPr>
          <w:p>
            <w:pPr>
              <w:pStyle w:val="TableContents"/>
              <w:bidi w:val="0"/>
              <w:spacing w:before="0" w:after="283"/>
              <w:jc w:val="left"/>
              <w:rPr/>
            </w:pPr>
            <w:r>
              <w:rPr/>
              <w:t xml:space="preserve">Debt </w:t>
            </w:r>
          </w:p>
        </w:tc>
        <w:tc>
          <w:tcPr>
            <w:tcW w:w="115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right"/>
              <w:rPr/>
            </w:pPr>
            <w:r>
              <w:rPr/>
              <w:t xml:space="preserve">$ 0.00 </w:t>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12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0 </w:t>
            </w:r>
          </w:p>
        </w:tc>
        <w:tc>
          <w:tcPr>
            <w:tcW w:w="1156" w:type="dxa"/>
            <w:tcBorders/>
            <w:shd w:fill="E7E7E2" w:val="clear"/>
            <w:vAlign w:val="center"/>
          </w:tcPr>
          <w:p>
            <w:pPr>
              <w:pStyle w:val="TableContents"/>
              <w:bidi w:val="0"/>
              <w:spacing w:before="0" w:after="283"/>
              <w:jc w:val="right"/>
              <w:rPr/>
            </w:pPr>
            <w:r>
              <w:rPr/>
              <w:t xml:space="preserve">$ 0.00 </w:t>
            </w:r>
          </w:p>
        </w:tc>
        <w:tc>
          <w:tcPr>
            <w:tcW w:w="178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56" w:type="dxa"/>
            <w:tcBorders/>
            <w:shd w:fill="E7E7E2" w:val="clear"/>
            <w:vAlign w:val="center"/>
          </w:tcPr>
          <w:p>
            <w:pPr>
              <w:pStyle w:val="TableContents"/>
              <w:bidi w:val="0"/>
              <w:spacing w:before="0" w:after="283"/>
              <w:jc w:val="left"/>
              <w:rPr/>
            </w:pPr>
            <w:r>
              <w:rPr/>
              <w:t xml:space="preserve">See above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1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A.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A.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C. Security Class Title - Each depositary share will be issued under a deposit agreement and will be evidenced by a depositary receipt. In the event the registrant elects to offer to the public fractional interests in shares of the preferred stock registered hereunder, depositary receipts will be distributed to those persons purchasing such fractional interests, and shares of preferred stock will be issued to the depositary under the deposit agreement. No separate consideration will be received for the depositary shares.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A.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A.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7" w:type="dxa"/>
            <w:gridSpan w:val="2"/>
            <w:tcBorders/>
            <w:vAlign w:val="center"/>
          </w:tcPr>
          <w:p>
            <w:pPr>
              <w:pStyle w:val="TableContents"/>
              <w:bidi w:val="0"/>
              <w:spacing w:before="0" w:after="283"/>
              <w:jc w:val="left"/>
              <w:rPr/>
            </w:pPr>
            <w:r>
              <w:rPr/>
              <w:t xml:space="preserve">A. Security Type and Amount Registered - There are being registered hereunder such indeterminate number of shares of common stock, preferred stock and depositary shares, such indeterminate number of warrants to purchase common stock, preferred stock or debt securities, and such indeterminate principal amount of debt securities as shall have an aggregate initial offering price not to exceed $200,000,000. If any debt securities are issued at an original issued discount, then the offering price of such debt securities shall be in such greater principal amount as shall result in an aggregate initial offering price not to exceed $200,000,000, less the aggregate dollar amount of all securities previously issued hereunder. Any securities registered hereunder may be sold separately or as units with other securities registered hereunder. The securities registered also include such indeterminate amounts and numbers of common stock, preferred stock, depositary shares and debt securities as may be issued upon conversion of or exchange for preferred stock or debt securities that provide for conversion or exchange, upon exercise of warrants or pursuant to the anti-dilution provisions of any such securities. B. Proposed Maximum Offering Price Per Unit - The proposed maximum per unit and aggregate offering prices per class of security will be determined from time to time by the registrant in connection with the issuance by the registrant of the securities registered hereunder. C. Security Type - Estimated solely for the purpose of calculating the registration fee pursuant to Rule 457(o) under the Securities Act of 1933, as amended. In no event will the aggregate offering price of all securities sold by the registrant from time to time pursuant to this registration statement exceed $200,000,000.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4.3</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240" w:after="240"/>
        <w:jc w:val="center"/>
        <w:rPr/>
      </w:pPr>
      <w:r>
        <w:rPr/>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MYRIAD GENETICS, INC.</w:t>
      </w:r>
    </w:p>
    <w:p>
      <w:pPr>
        <w:pStyle w:val="TextBody"/>
        <w:bidi w:val="0"/>
        <w:spacing w:lineRule="auto" w:line="240" w:before="240" w:after="240"/>
        <w:jc w:val="center"/>
        <w:rPr/>
      </w:pPr>
      <w:r>
        <w:rPr>
          <w:rFonts w:ascii="Arial Unicode MS;sans-serif" w:hAnsi="Arial Unicode MS;sans-serif"/>
          <w:b/>
          <w:color w:val="000000"/>
          <w:sz w:val="24"/>
        </w:rPr>
        <w:br/>
      </w:r>
      <w:r>
        <w:rPr>
          <w:rFonts w:ascii="Times New Roman;serif" w:hAnsi="Times New Roman;serif"/>
          <w:b/>
          <w:color w:val="000000"/>
          <w:sz w:val="24"/>
        </w:rPr>
        <w:t>----------</w:t>
      </w:r>
    </w:p>
    <w:p>
      <w:pPr>
        <w:pStyle w:val="TextBody"/>
        <w:bidi w:val="0"/>
        <w:spacing w:before="240" w:after="240"/>
        <w:ind w:left="0" w:right="0" w:firstLine="720"/>
        <w:jc w:val="left"/>
        <w:rPr/>
      </w:pPr>
      <w:r>
        <w:rPr/>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before="240" w:after="240"/>
        <w:ind w:left="0" w:right="0" w:firstLine="720"/>
        <w:jc w:val="left"/>
        <w:rPr/>
      </w:pPr>
      <w:r>
        <w:rPr/>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Dated as of</w:t>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jc w:val="center"/>
        <w:rPr/>
      </w:pPr>
      <w:r>
        <w:rPr>
          <w:rFonts w:ascii="Arial Unicode MS;sans-serif" w:hAnsi="Arial Unicode MS;sans-serif"/>
          <w:b/>
          <w:color w:val="000000"/>
          <w:sz w:val="24"/>
        </w:rPr>
        <w:br/>
      </w:r>
      <w:r>
        <w:rPr>
          <w:rFonts w:ascii="Times New Roman;serif" w:hAnsi="Times New Roman;serif"/>
          <w:b/>
          <w:color w:val="000000"/>
          <w:sz w:val="24"/>
        </w:rPr>
        <w:t>----------</w:t>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lineRule="auto" w:line="240" w:before="240" w:after="240"/>
        <w:jc w:val="center"/>
        <w:rPr/>
      </w:pPr>
      <w:r>
        <w:rPr>
          <w:rFonts w:ascii="Arial Unicode MS;sans-serif" w:hAnsi="Arial Unicode MS;sans-serif"/>
          <w:b/>
          <w:color w:val="000000"/>
          <w:sz w:val="24"/>
        </w:rPr>
        <w:br/>
      </w:r>
      <w:r>
        <w:rPr>
          <w:rFonts w:ascii="Times New Roman;serif" w:hAnsi="Times New Roman;serif"/>
          <w:b/>
          <w:color w:val="000000"/>
          <w:sz w:val="24"/>
        </w:rPr>
        <w:t>[ ]</w:t>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before="0" w:after="240"/>
        <w:ind w:left="0" w:right="0" w:firstLine="720"/>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and tie between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Trust Indenture Act of 1939 and Indenture*</w:t>
      </w:r>
    </w:p>
    <w:p>
      <w:pPr>
        <w:pStyle w:val="TextBody"/>
        <w:bidi w:val="0"/>
        <w:spacing w:before="0" w:after="0"/>
        <w:jc w:val="center"/>
        <w:rPr/>
      </w:pPr>
      <w:r>
        <w:rPr/>
      </w:r>
    </w:p>
    <w:tbl>
      <w:tblPr>
        <w:tblW w:w="7798" w:type="dxa"/>
        <w:jc w:val="center"/>
        <w:tblInd w:w="0" w:type="dxa"/>
        <w:tblLayout w:type="fixed"/>
        <w:tblCellMar>
          <w:top w:w="28" w:type="dxa"/>
          <w:left w:w="28" w:type="dxa"/>
          <w:bottom w:w="28" w:type="dxa"/>
          <w:right w:w="28" w:type="dxa"/>
        </w:tblCellMar>
      </w:tblPr>
      <w:tblGrid>
        <w:gridCol w:w="1064"/>
        <w:gridCol w:w="937"/>
        <w:gridCol w:w="943"/>
        <w:gridCol w:w="1416"/>
        <w:gridCol w:w="1416"/>
        <w:gridCol w:w="2022"/>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Trust Indenture</w:t>
            </w:r>
          </w:p>
          <w:p>
            <w:pPr>
              <w:pStyle w:val="TableContents"/>
              <w:bidi w:val="0"/>
              <w:spacing w:lineRule="auto" w:line="240" w:before="0" w:after="240"/>
              <w:jc w:val="left"/>
              <w:rPr>
                <w:rFonts w:ascii="Times New Roman;serif" w:hAnsi="Times New Roman;serif"/>
                <w:b/>
                <w:color w:val="000000"/>
                <w:sz w:val="20"/>
                <w:u w:val="single"/>
              </w:rPr>
            </w:pPr>
            <w:r>
              <w:rPr>
                <w:rFonts w:ascii="Times New Roman;serif" w:hAnsi="Times New Roman;serif"/>
                <w:b/>
                <w:color w:val="000000"/>
                <w:sz w:val="20"/>
                <w:u w:val="single"/>
              </w:rPr>
              <w:t>Act Section    </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u w:val="single"/>
              </w:rPr>
            </w:pPr>
            <w:r>
              <w:rPr>
                <w:rFonts w:ascii="Times New Roman;serif" w:hAnsi="Times New Roman;serif"/>
                <w:b/>
                <w:color w:val="000000"/>
                <w:sz w:val="20"/>
                <w:u w:val="single"/>
              </w:rPr>
              <w:t>Indenture Section</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310 (a)</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11.04(a),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11.01(f), 11.04(b), 11.05(1),</w:t>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(b)(1)</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11.04(b),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311</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11.01(f),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312</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14.02(d),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11.10, 16.02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11.10, 16.02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313 (a)</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10.01(a),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314</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315 (e)</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11.05, 16.02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316</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317</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16.02</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318</w:t>
            </w:r>
          </w:p>
        </w:tc>
        <w:tc>
          <w:tcPr>
            <w:tcW w:w="4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16.02</w:t>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reconciliation and tie shall not, for any purpose, be deemed to be a part of the Indenture.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4"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4"/>
        </w:rPr>
        <w:t>TABLE OF CONTENTS</w:t>
      </w:r>
      <w:r>
        <w:rPr>
          <w:rFonts w:ascii="Times New Roman;serif" w:hAnsi="Times New Roman;serif"/>
          <w:b/>
          <w:color w:val="000000"/>
          <w:sz w:val="16"/>
        </w:rPr>
        <w:t>1</w:t>
      </w:r>
    </w:p>
    <w:p>
      <w:pPr>
        <w:pStyle w:val="TextBody"/>
        <w:bidi w:val="0"/>
        <w:spacing w:before="240" w:after="283"/>
        <w:jc w:val="right"/>
        <w:rPr/>
      </w:pPr>
      <w:r>
        <w:rPr/>
      </w:r>
    </w:p>
    <w:tbl>
      <w:tblPr>
        <w:tblW w:w="9770" w:type="dxa"/>
        <w:jc w:val="left"/>
        <w:tblInd w:w="0" w:type="dxa"/>
        <w:tblLayout w:type="fixed"/>
        <w:tblCellMar>
          <w:top w:w="28" w:type="dxa"/>
          <w:left w:w="28" w:type="dxa"/>
          <w:bottom w:w="28" w:type="dxa"/>
          <w:right w:w="28" w:type="dxa"/>
        </w:tblCellMar>
      </w:tblPr>
      <w:tblGrid>
        <w:gridCol w:w="3135"/>
        <w:gridCol w:w="2764"/>
        <w:gridCol w:w="2770"/>
        <w:gridCol w:w="321"/>
        <w:gridCol w:w="321"/>
        <w:gridCol w:w="459"/>
      </w:tblGrid>
      <w:tr>
        <w:trPr/>
        <w:tc>
          <w:tcPr>
            <w:tcW w:w="3135"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7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9">
              <w:r>
                <w:rPr>
                  <w:rStyle w:val="InternetLink"/>
                  <w:rFonts w:ascii="Times New Roman;serif" w:hAnsi="Times New Roman;serif"/>
                  <w:b w:val="false"/>
                  <w:color w:val="000080"/>
                  <w:sz w:val="24"/>
                  <w:u w:val="single"/>
                </w:rPr>
                <w:t>ARTICLE I</w:t>
              </w:r>
            </w:hyperlink>
            <w:hyperlink w:anchor="i41da357aab9a44bda68a0f3315110a93_19">
              <w:r>
                <w:rPr>
                  <w:rStyle w:val="InternetLink"/>
                  <w:rFonts w:ascii="Times New Roman;serif" w:hAnsi="Times New Roman;serif"/>
                  <w:b w:val="false"/>
                  <w:color w:val="000080"/>
                  <w:sz w:val="24"/>
                  <w:u w:val="single"/>
                </w:rPr>
                <w:br/>
              </w:r>
            </w:hyperlink>
            <w:hyperlink w:anchor="i41da357aab9a44bda68a0f3315110a93_19">
              <w:r>
                <w:rPr>
                  <w:rStyle w:val="InternetLink"/>
                  <w:rFonts w:ascii="Times New Roman;serif" w:hAnsi="Times New Roman;serif"/>
                  <w:b w:val="false"/>
                  <w:color w:val="000080"/>
                  <w:sz w:val="24"/>
                  <w:u w:val="single"/>
                </w:rPr>
                <w:br/>
              </w:r>
            </w:hyperlink>
            <w:hyperlink w:anchor="i41da357aab9a44bda68a0f3315110a93_19">
              <w:r>
                <w:rPr>
                  <w:rStyle w:val="InternetLink"/>
                  <w:rFonts w:ascii="Times New Roman;serif" w:hAnsi="Times New Roman;serif"/>
                  <w:b w:val="false"/>
                  <w:color w:val="000080"/>
                  <w:sz w:val="24"/>
                  <w:u w:val="single"/>
                </w:rPr>
                <w:t>DEFINITIONS</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
              <w:r>
                <w:rPr>
                  <w:rStyle w:val="InternetLink"/>
                  <w:rFonts w:ascii="Times New Roman;serif" w:hAnsi="Times New Roman;serif"/>
                  <w:b w:val="false"/>
                  <w:color w:val="0000FF"/>
                  <w:sz w:val="24"/>
                  <w:u w:val="single"/>
                </w:rPr>
                <w:t>Section 1.01</w:t>
              </w:r>
            </w:hyperlink>
            <w:hyperlink w:anchor="i41da357aab9a44bda68a0f3315110a93_22">
              <w:r>
                <w:rPr>
                  <w:rStyle w:val="InternetLink"/>
                  <w:strike w:val="false"/>
                  <w:dstrike w:val="false"/>
                  <w:color w:val="000000"/>
                  <w:u w:val="none"/>
                  <w:effect w:val="none"/>
                </w:rPr>
                <w:t>    </w:t>
              </w:r>
            </w:hyperlink>
            <w:hyperlink w:anchor="i41da357aab9a44bda68a0f3315110a93_22">
              <w:r>
                <w:rPr>
                  <w:rStyle w:val="InternetLink"/>
                  <w:rFonts w:ascii="Times New Roman;serif" w:hAnsi="Times New Roman;serif"/>
                  <w:b w:val="false"/>
                  <w:color w:val="0000FF"/>
                  <w:sz w:val="24"/>
                  <w:u w:val="single"/>
                </w:rPr>
                <w:t>Definitions.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
              <w:r>
                <w:rPr>
                  <w:rStyle w:val="InternetLink"/>
                  <w:rFonts w:ascii="Times New Roman;serif" w:hAnsi="Times New Roman;serif"/>
                  <w:b w:val="false"/>
                  <w:color w:val="0000FF"/>
                  <w:sz w:val="24"/>
                  <w:u w:val="single"/>
                </w:rPr>
                <w:t>1</w:t>
              </w:r>
            </w:hyperlink>
          </w:p>
        </w:tc>
      </w:tr>
      <w:tr>
        <w:trPr/>
        <w:tc>
          <w:tcPr>
            <w:tcW w:w="977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5">
              <w:r>
                <w:rPr>
                  <w:rStyle w:val="InternetLink"/>
                  <w:rFonts w:ascii="Times New Roman;serif" w:hAnsi="Times New Roman;serif"/>
                  <w:b w:val="false"/>
                  <w:color w:val="000080"/>
                  <w:sz w:val="24"/>
                  <w:u w:val="single"/>
                </w:rPr>
                <w:t>ARTICLE II</w:t>
              </w:r>
            </w:hyperlink>
            <w:hyperlink w:anchor="i41da357aab9a44bda68a0f3315110a93_25">
              <w:r>
                <w:rPr>
                  <w:rStyle w:val="InternetLink"/>
                  <w:rFonts w:ascii="Times New Roman;serif" w:hAnsi="Times New Roman;serif"/>
                  <w:b w:val="false"/>
                  <w:color w:val="000080"/>
                  <w:sz w:val="24"/>
                  <w:u w:val="single"/>
                </w:rPr>
                <w:br/>
              </w:r>
            </w:hyperlink>
            <w:hyperlink w:anchor="i41da357aab9a44bda68a0f3315110a93_25">
              <w:r>
                <w:rPr>
                  <w:rStyle w:val="InternetLink"/>
                  <w:rFonts w:ascii="Times New Roman;serif" w:hAnsi="Times New Roman;serif"/>
                  <w:b w:val="false"/>
                  <w:color w:val="000080"/>
                  <w:sz w:val="24"/>
                  <w:u w:val="single"/>
                </w:rPr>
                <w:br/>
              </w:r>
            </w:hyperlink>
            <w:hyperlink w:anchor="i41da357aab9a44bda68a0f3315110a93_25">
              <w:r>
                <w:rPr>
                  <w:rStyle w:val="InternetLink"/>
                  <w:rFonts w:ascii="Times New Roman;serif" w:hAnsi="Times New Roman;serif"/>
                  <w:b w:val="false"/>
                  <w:color w:val="000080"/>
                  <w:sz w:val="24"/>
                  <w:u w:val="single"/>
                </w:rPr>
                <w:t>FORMS OF SECURITIES</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
              <w:r>
                <w:rPr>
                  <w:rStyle w:val="InternetLink"/>
                  <w:rFonts w:ascii="Times New Roman;serif" w:hAnsi="Times New Roman;serif"/>
                  <w:b w:val="false"/>
                  <w:color w:val="0000FF"/>
                  <w:sz w:val="24"/>
                  <w:u w:val="single"/>
                </w:rPr>
                <w:t>Section 2.01</w:t>
              </w:r>
            </w:hyperlink>
            <w:hyperlink w:anchor="i41da357aab9a44bda68a0f3315110a93_28">
              <w:r>
                <w:rPr>
                  <w:rStyle w:val="InternetLink"/>
                  <w:strike w:val="false"/>
                  <w:dstrike w:val="false"/>
                  <w:color w:val="000000"/>
                  <w:u w:val="none"/>
                  <w:effect w:val="none"/>
                </w:rPr>
                <w:t>    </w:t>
              </w:r>
            </w:hyperlink>
            <w:hyperlink w:anchor="i41da357aab9a44bda68a0f3315110a93_28">
              <w:r>
                <w:rPr>
                  <w:rStyle w:val="InternetLink"/>
                  <w:rFonts w:ascii="Times New Roman;serif" w:hAnsi="Times New Roman;serif"/>
                  <w:b w:val="false"/>
                  <w:color w:val="0000FF"/>
                  <w:sz w:val="24"/>
                  <w:u w:val="single"/>
                </w:rPr>
                <w:t>Terms of the Securities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
              <w:r>
                <w:rPr>
                  <w:rStyle w:val="InternetLink"/>
                  <w:rFonts w:ascii="Times New Roman;serif" w:hAnsi="Times New Roman;serif"/>
                  <w:b w:val="false"/>
                  <w:color w:val="0000FF"/>
                  <w:sz w:val="24"/>
                  <w:u w:val="single"/>
                </w:rPr>
                <w:t>11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
              <w:r>
                <w:rPr>
                  <w:rStyle w:val="InternetLink"/>
                  <w:rFonts w:ascii="Times New Roman;serif" w:hAnsi="Times New Roman;serif"/>
                  <w:b w:val="false"/>
                  <w:color w:val="0000FF"/>
                  <w:sz w:val="24"/>
                  <w:u w:val="single"/>
                </w:rPr>
                <w:t>Section 2.02</w:t>
              </w:r>
            </w:hyperlink>
            <w:hyperlink w:anchor="i41da357aab9a44bda68a0f3315110a93_31">
              <w:r>
                <w:rPr>
                  <w:rStyle w:val="InternetLink"/>
                  <w:strike w:val="false"/>
                  <w:dstrike w:val="false"/>
                  <w:color w:val="000000"/>
                  <w:u w:val="none"/>
                  <w:effect w:val="none"/>
                </w:rPr>
                <w:t>    </w:t>
              </w:r>
            </w:hyperlink>
            <w:hyperlink w:anchor="i41da357aab9a44bda68a0f3315110a93_31">
              <w:r>
                <w:rPr>
                  <w:rStyle w:val="InternetLink"/>
                  <w:rFonts w:ascii="Times New Roman;serif" w:hAnsi="Times New Roman;serif"/>
                  <w:b w:val="false"/>
                  <w:color w:val="0000FF"/>
                  <w:sz w:val="24"/>
                  <w:u w:val="single"/>
                </w:rPr>
                <w:t>Form of Trustee’s Certificate of Authentication</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
              <w:r>
                <w:rPr>
                  <w:rStyle w:val="InternetLink"/>
                  <w:rFonts w:ascii="Times New Roman;serif" w:hAnsi="Times New Roman;serif"/>
                  <w:b w:val="false"/>
                  <w:color w:val="0000FF"/>
                  <w:sz w:val="24"/>
                  <w:u w:val="single"/>
                </w:rPr>
                <w:t>11</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
              <w:r>
                <w:rPr>
                  <w:rStyle w:val="InternetLink"/>
                  <w:rFonts w:ascii="Times New Roman;serif" w:hAnsi="Times New Roman;serif"/>
                  <w:b w:val="false"/>
                  <w:color w:val="0000FF"/>
                  <w:sz w:val="24"/>
                  <w:u w:val="single"/>
                </w:rPr>
                <w:t>Section 2.03</w:t>
              </w:r>
            </w:hyperlink>
            <w:hyperlink w:anchor="i41da357aab9a44bda68a0f3315110a93_34">
              <w:r>
                <w:rPr>
                  <w:rStyle w:val="InternetLink"/>
                  <w:strike w:val="false"/>
                  <w:dstrike w:val="false"/>
                  <w:color w:val="000000"/>
                  <w:u w:val="none"/>
                  <w:effect w:val="none"/>
                </w:rPr>
                <w:t>    </w:t>
              </w:r>
            </w:hyperlink>
            <w:hyperlink w:anchor="i41da357aab9a44bda68a0f3315110a93_34">
              <w:r>
                <w:rPr>
                  <w:rStyle w:val="InternetLink"/>
                  <w:rFonts w:ascii="Times New Roman;serif" w:hAnsi="Times New Roman;serif"/>
                  <w:b w:val="false"/>
                  <w:color w:val="0000FF"/>
                  <w:sz w:val="24"/>
                  <w:u w:val="single"/>
                </w:rPr>
                <w:t>Form of Trustee’s Certificate of Authentication by an Authenticating Agent</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
              <w:r>
                <w:rPr>
                  <w:rStyle w:val="InternetLink"/>
                  <w:rFonts w:ascii="Times New Roman;serif" w:hAnsi="Times New Roman;serif"/>
                  <w:b w:val="false"/>
                  <w:color w:val="0000FF"/>
                  <w:sz w:val="24"/>
                  <w:u w:val="single"/>
                </w:rPr>
                <w:t>12</w:t>
              </w:r>
            </w:hyperlink>
          </w:p>
        </w:tc>
      </w:tr>
      <w:tr>
        <w:trPr/>
        <w:tc>
          <w:tcPr>
            <w:tcW w:w="977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37">
              <w:r>
                <w:rPr>
                  <w:rStyle w:val="InternetLink"/>
                  <w:rFonts w:ascii="Times New Roman;serif" w:hAnsi="Times New Roman;serif"/>
                  <w:b w:val="false"/>
                  <w:color w:val="000080"/>
                  <w:sz w:val="24"/>
                  <w:u w:val="single"/>
                </w:rPr>
                <w:t>ARTICLE III</w:t>
              </w:r>
            </w:hyperlink>
            <w:hyperlink w:anchor="i41da357aab9a44bda68a0f3315110a93_37">
              <w:r>
                <w:rPr>
                  <w:rStyle w:val="InternetLink"/>
                  <w:rFonts w:ascii="Times New Roman;serif" w:hAnsi="Times New Roman;serif"/>
                  <w:b w:val="false"/>
                  <w:color w:val="000080"/>
                  <w:sz w:val="24"/>
                  <w:u w:val="single"/>
                </w:rPr>
                <w:br/>
              </w:r>
            </w:hyperlink>
            <w:hyperlink w:anchor="i41da357aab9a44bda68a0f3315110a93_37">
              <w:r>
                <w:rPr>
                  <w:rStyle w:val="InternetLink"/>
                  <w:rFonts w:ascii="Times New Roman;serif" w:hAnsi="Times New Roman;serif"/>
                  <w:b w:val="false"/>
                  <w:color w:val="000080"/>
                  <w:sz w:val="24"/>
                  <w:u w:val="single"/>
                </w:rPr>
                <w:br/>
              </w:r>
            </w:hyperlink>
            <w:hyperlink w:anchor="i41da357aab9a44bda68a0f3315110a93_37">
              <w:r>
                <w:rPr>
                  <w:rStyle w:val="InternetLink"/>
                  <w:rFonts w:ascii="Times New Roman;serif" w:hAnsi="Times New Roman;serif"/>
                  <w:b w:val="false"/>
                  <w:color w:val="000080"/>
                  <w:sz w:val="24"/>
                  <w:u w:val="single"/>
                </w:rPr>
                <w:t>THE DEBT SECURITIES</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0">
              <w:r>
                <w:rPr>
                  <w:rStyle w:val="InternetLink"/>
                  <w:rFonts w:ascii="Times New Roman;serif" w:hAnsi="Times New Roman;serif"/>
                  <w:b w:val="false"/>
                  <w:color w:val="0000FF"/>
                  <w:sz w:val="24"/>
                  <w:u w:val="single"/>
                </w:rPr>
                <w:t>Section 3.01</w:t>
              </w:r>
            </w:hyperlink>
            <w:hyperlink w:anchor="i41da357aab9a44bda68a0f3315110a93_40">
              <w:r>
                <w:rPr>
                  <w:rStyle w:val="InternetLink"/>
                  <w:strike w:val="false"/>
                  <w:dstrike w:val="false"/>
                  <w:color w:val="000000"/>
                  <w:u w:val="none"/>
                  <w:effect w:val="none"/>
                </w:rPr>
                <w:t>    </w:t>
              </w:r>
            </w:hyperlink>
            <w:hyperlink w:anchor="i41da357aab9a44bda68a0f3315110a93_40">
              <w:r>
                <w:rPr>
                  <w:rStyle w:val="InternetLink"/>
                  <w:rFonts w:ascii="Times New Roman;serif" w:hAnsi="Times New Roman;serif"/>
                  <w:b w:val="false"/>
                  <w:color w:val="0000FF"/>
                  <w:sz w:val="24"/>
                  <w:u w:val="single"/>
                </w:rPr>
                <w:t>Amount Unlimited; Issuable in Series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0">
              <w:r>
                <w:rPr>
                  <w:rStyle w:val="InternetLink"/>
                  <w:rFonts w:ascii="Times New Roman;serif" w:hAnsi="Times New Roman;serif"/>
                  <w:b w:val="false"/>
                  <w:strike w:val="false"/>
                  <w:dstrike w:val="false"/>
                  <w:color w:val="000000"/>
                  <w:sz w:val="24"/>
                  <w:u w:val="none"/>
                  <w:effect w:val="none"/>
                </w:rPr>
                <w:t>12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3">
              <w:r>
                <w:rPr>
                  <w:rStyle w:val="InternetLink"/>
                  <w:rFonts w:ascii="Times New Roman;serif" w:hAnsi="Times New Roman;serif"/>
                  <w:b w:val="false"/>
                  <w:color w:val="0000FF"/>
                  <w:sz w:val="24"/>
                  <w:u w:val="single"/>
                </w:rPr>
                <w:t>Section 3.02</w:t>
              </w:r>
            </w:hyperlink>
            <w:hyperlink w:anchor="i41da357aab9a44bda68a0f3315110a93_43">
              <w:r>
                <w:rPr>
                  <w:rStyle w:val="InternetLink"/>
                  <w:strike w:val="false"/>
                  <w:dstrike w:val="false"/>
                  <w:color w:val="000000"/>
                  <w:u w:val="none"/>
                  <w:effect w:val="none"/>
                </w:rPr>
                <w:t>    </w:t>
              </w:r>
            </w:hyperlink>
            <w:hyperlink w:anchor="i41da357aab9a44bda68a0f3315110a93_43">
              <w:r>
                <w:rPr>
                  <w:rStyle w:val="InternetLink"/>
                  <w:rFonts w:ascii="Times New Roman;serif" w:hAnsi="Times New Roman;serif"/>
                  <w:b w:val="false"/>
                  <w:color w:val="0000FF"/>
                  <w:sz w:val="24"/>
                  <w:u w:val="single"/>
                </w:rPr>
                <w:t>Denominations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3">
              <w:r>
                <w:rPr>
                  <w:rStyle w:val="InternetLink"/>
                  <w:rFonts w:ascii="Times New Roman;serif" w:hAnsi="Times New Roman;serif"/>
                  <w:b w:val="false"/>
                  <w:color w:val="0000FF"/>
                  <w:sz w:val="24"/>
                  <w:u w:val="single"/>
                </w:rPr>
                <w:t>15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6">
              <w:r>
                <w:rPr>
                  <w:rStyle w:val="InternetLink"/>
                  <w:rFonts w:ascii="Times New Roman;serif" w:hAnsi="Times New Roman;serif"/>
                  <w:b w:val="false"/>
                  <w:color w:val="0000FF"/>
                  <w:sz w:val="24"/>
                  <w:u w:val="single"/>
                </w:rPr>
                <w:t>Section 3.03</w:t>
              </w:r>
            </w:hyperlink>
            <w:hyperlink w:anchor="i41da357aab9a44bda68a0f3315110a93_46">
              <w:r>
                <w:rPr>
                  <w:rStyle w:val="InternetLink"/>
                  <w:strike w:val="false"/>
                  <w:dstrike w:val="false"/>
                  <w:color w:val="000000"/>
                  <w:u w:val="none"/>
                  <w:effect w:val="none"/>
                </w:rPr>
                <w:t>    </w:t>
              </w:r>
            </w:hyperlink>
            <w:hyperlink w:anchor="i41da357aab9a44bda68a0f3315110a93_46">
              <w:r>
                <w:rPr>
                  <w:rStyle w:val="InternetLink"/>
                  <w:rFonts w:ascii="Times New Roman;serif" w:hAnsi="Times New Roman;serif"/>
                  <w:b w:val="false"/>
                  <w:color w:val="0000FF"/>
                  <w:sz w:val="24"/>
                  <w:u w:val="single"/>
                </w:rPr>
                <w:t>Execution, Authentication, Delivery and Dating</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6">
              <w:r>
                <w:rPr>
                  <w:rStyle w:val="InternetLink"/>
                  <w:rFonts w:ascii="Times New Roman;serif" w:hAnsi="Times New Roman;serif"/>
                  <w:b w:val="false"/>
                  <w:color w:val="0000FF"/>
                  <w:sz w:val="24"/>
                  <w:u w:val="single"/>
                </w:rPr>
                <w:t>15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9">
              <w:r>
                <w:rPr>
                  <w:rStyle w:val="InternetLink"/>
                  <w:rFonts w:ascii="Times New Roman;serif" w:hAnsi="Times New Roman;serif"/>
                  <w:b w:val="false"/>
                  <w:color w:val="0000FF"/>
                  <w:sz w:val="24"/>
                  <w:u w:val="single"/>
                </w:rPr>
                <w:t>Section 3.04</w:t>
              </w:r>
            </w:hyperlink>
            <w:hyperlink w:anchor="i41da357aab9a44bda68a0f3315110a93_49">
              <w:r>
                <w:rPr>
                  <w:rStyle w:val="InternetLink"/>
                  <w:strike w:val="false"/>
                  <w:dstrike w:val="false"/>
                  <w:color w:val="000000"/>
                  <w:u w:val="none"/>
                  <w:effect w:val="none"/>
                </w:rPr>
                <w:t>    </w:t>
              </w:r>
            </w:hyperlink>
            <w:hyperlink w:anchor="i41da357aab9a44bda68a0f3315110a93_49">
              <w:r>
                <w:rPr>
                  <w:rStyle w:val="InternetLink"/>
                  <w:rFonts w:ascii="Times New Roman;serif" w:hAnsi="Times New Roman;serif"/>
                  <w:b w:val="false"/>
                  <w:color w:val="0000FF"/>
                  <w:sz w:val="24"/>
                  <w:u w:val="single"/>
                </w:rPr>
                <w:t>Temporary Securities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49">
              <w:r>
                <w:rPr>
                  <w:rStyle w:val="InternetLink"/>
                  <w:rFonts w:ascii="Times New Roman;serif" w:hAnsi="Times New Roman;serif"/>
                  <w:b w:val="false"/>
                  <w:color w:val="0000FF"/>
                  <w:sz w:val="24"/>
                  <w:u w:val="single"/>
                </w:rPr>
                <w:t>17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2">
              <w:r>
                <w:rPr>
                  <w:rStyle w:val="InternetLink"/>
                  <w:rFonts w:ascii="Times New Roman;serif" w:hAnsi="Times New Roman;serif"/>
                  <w:b w:val="false"/>
                  <w:color w:val="0000FF"/>
                  <w:sz w:val="24"/>
                  <w:u w:val="single"/>
                </w:rPr>
                <w:t>Section 3.05</w:t>
              </w:r>
            </w:hyperlink>
            <w:hyperlink w:anchor="i41da357aab9a44bda68a0f3315110a93_52">
              <w:r>
                <w:rPr>
                  <w:rStyle w:val="InternetLink"/>
                  <w:strike w:val="false"/>
                  <w:dstrike w:val="false"/>
                  <w:color w:val="000000"/>
                  <w:u w:val="none"/>
                  <w:effect w:val="none"/>
                </w:rPr>
                <w:t>    </w:t>
              </w:r>
            </w:hyperlink>
            <w:hyperlink w:anchor="i41da357aab9a44bda68a0f3315110a93_52">
              <w:r>
                <w:rPr>
                  <w:rStyle w:val="InternetLink"/>
                  <w:rFonts w:ascii="Times New Roman;serif" w:hAnsi="Times New Roman;serif"/>
                  <w:b w:val="false"/>
                  <w:color w:val="0000FF"/>
                  <w:sz w:val="24"/>
                  <w:u w:val="single"/>
                </w:rPr>
                <w:t>Registrar</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2">
              <w:r>
                <w:rPr>
                  <w:rStyle w:val="InternetLink"/>
                  <w:rFonts w:ascii="Times New Roman;serif" w:hAnsi="Times New Roman;serif"/>
                  <w:b w:val="false"/>
                  <w:color w:val="0000FF"/>
                  <w:sz w:val="24"/>
                  <w:u w:val="single"/>
                </w:rPr>
                <w:t>18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5">
              <w:r>
                <w:rPr>
                  <w:rStyle w:val="InternetLink"/>
                  <w:rFonts w:ascii="Times New Roman;serif" w:hAnsi="Times New Roman;serif"/>
                  <w:b w:val="false"/>
                  <w:color w:val="0000FF"/>
                  <w:sz w:val="24"/>
                  <w:u w:val="single"/>
                </w:rPr>
                <w:t>Section 3.06</w:t>
              </w:r>
            </w:hyperlink>
            <w:hyperlink w:anchor="i41da357aab9a44bda68a0f3315110a93_55">
              <w:r>
                <w:rPr>
                  <w:rStyle w:val="InternetLink"/>
                  <w:strike w:val="false"/>
                  <w:dstrike w:val="false"/>
                  <w:color w:val="000000"/>
                  <w:u w:val="none"/>
                  <w:effect w:val="none"/>
                </w:rPr>
                <w:t>    </w:t>
              </w:r>
            </w:hyperlink>
            <w:hyperlink w:anchor="i41da357aab9a44bda68a0f3315110a93_55">
              <w:r>
                <w:rPr>
                  <w:rStyle w:val="InternetLink"/>
                  <w:rFonts w:ascii="Times New Roman;serif" w:hAnsi="Times New Roman;serif"/>
                  <w:b w:val="false"/>
                  <w:color w:val="0000FF"/>
                  <w:sz w:val="24"/>
                  <w:u w:val="single"/>
                </w:rPr>
                <w:t>Transfer and Exchange</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5">
              <w:r>
                <w:rPr>
                  <w:rStyle w:val="InternetLink"/>
                  <w:rFonts w:ascii="Times New Roman;serif" w:hAnsi="Times New Roman;serif"/>
                  <w:b w:val="false"/>
                  <w:color w:val="0000FF"/>
                  <w:sz w:val="24"/>
                  <w:u w:val="single"/>
                </w:rPr>
                <w:t>18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8">
              <w:r>
                <w:rPr>
                  <w:rStyle w:val="InternetLink"/>
                  <w:rFonts w:ascii="Times New Roman;serif" w:hAnsi="Times New Roman;serif"/>
                  <w:b w:val="false"/>
                  <w:color w:val="0000FF"/>
                  <w:sz w:val="24"/>
                  <w:u w:val="single"/>
                </w:rPr>
                <w:t>Section 3.07</w:t>
              </w:r>
            </w:hyperlink>
            <w:hyperlink w:anchor="i41da357aab9a44bda68a0f3315110a93_58">
              <w:r>
                <w:rPr>
                  <w:rStyle w:val="InternetLink"/>
                  <w:strike w:val="false"/>
                  <w:dstrike w:val="false"/>
                  <w:color w:val="000000"/>
                  <w:u w:val="none"/>
                  <w:effect w:val="none"/>
                </w:rPr>
                <w:t>    </w:t>
              </w:r>
            </w:hyperlink>
            <w:hyperlink w:anchor="i41da357aab9a44bda68a0f3315110a93_58">
              <w:r>
                <w:rPr>
                  <w:rStyle w:val="InternetLink"/>
                  <w:rFonts w:ascii="Times New Roman;serif" w:hAnsi="Times New Roman;serif"/>
                  <w:b w:val="false"/>
                  <w:color w:val="0000FF"/>
                  <w:sz w:val="24"/>
                  <w:u w:val="single"/>
                </w:rPr>
                <w:t>Mutilated, Destroyed, Lost and Stolen Securities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58">
              <w:r>
                <w:rPr>
                  <w:rStyle w:val="InternetLink"/>
                  <w:rFonts w:ascii="Times New Roman;serif" w:hAnsi="Times New Roman;serif"/>
                  <w:b w:val="false"/>
                  <w:color w:val="0000FF"/>
                  <w:sz w:val="24"/>
                  <w:u w:val="single"/>
                </w:rPr>
                <w:t>22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1">
              <w:r>
                <w:rPr>
                  <w:rStyle w:val="InternetLink"/>
                  <w:rFonts w:ascii="Times New Roman;serif" w:hAnsi="Times New Roman;serif"/>
                  <w:b w:val="false"/>
                  <w:color w:val="0000FF"/>
                  <w:sz w:val="24"/>
                  <w:u w:val="single"/>
                </w:rPr>
                <w:t>Section 3.08</w:t>
              </w:r>
            </w:hyperlink>
            <w:hyperlink w:anchor="i41da357aab9a44bda68a0f3315110a93_61">
              <w:r>
                <w:rPr>
                  <w:rStyle w:val="InternetLink"/>
                  <w:strike w:val="false"/>
                  <w:dstrike w:val="false"/>
                  <w:color w:val="000000"/>
                  <w:u w:val="none"/>
                  <w:effect w:val="none"/>
                </w:rPr>
                <w:t>    </w:t>
              </w:r>
            </w:hyperlink>
            <w:hyperlink w:anchor="i41da357aab9a44bda68a0f3315110a93_61">
              <w:r>
                <w:rPr>
                  <w:rStyle w:val="InternetLink"/>
                  <w:rFonts w:ascii="Times New Roman;serif" w:hAnsi="Times New Roman;serif"/>
                  <w:b w:val="false"/>
                  <w:color w:val="0000FF"/>
                  <w:sz w:val="24"/>
                  <w:u w:val="single"/>
                </w:rPr>
                <w:t>Payment of Interest; Interest Rights Preserved</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1">
              <w:r>
                <w:rPr>
                  <w:rStyle w:val="InternetLink"/>
                  <w:rFonts w:ascii="Times New Roman;serif" w:hAnsi="Times New Roman;serif"/>
                  <w:b w:val="false"/>
                  <w:color w:val="0000FF"/>
                  <w:sz w:val="24"/>
                  <w:u w:val="single"/>
                </w:rPr>
                <w:t>22</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4">
              <w:r>
                <w:rPr>
                  <w:rStyle w:val="InternetLink"/>
                  <w:rFonts w:ascii="Times New Roman;serif" w:hAnsi="Times New Roman;serif"/>
                  <w:b w:val="false"/>
                  <w:color w:val="0000FF"/>
                  <w:sz w:val="24"/>
                  <w:u w:val="single"/>
                </w:rPr>
                <w:t>Section 3.09</w:t>
              </w:r>
            </w:hyperlink>
            <w:hyperlink w:anchor="i41da357aab9a44bda68a0f3315110a93_64">
              <w:r>
                <w:rPr>
                  <w:rStyle w:val="InternetLink"/>
                  <w:strike w:val="false"/>
                  <w:dstrike w:val="false"/>
                  <w:color w:val="000000"/>
                  <w:u w:val="none"/>
                  <w:effect w:val="none"/>
                </w:rPr>
                <w:t>    </w:t>
              </w:r>
            </w:hyperlink>
            <w:hyperlink w:anchor="i41da357aab9a44bda68a0f3315110a93_64">
              <w:r>
                <w:rPr>
                  <w:rStyle w:val="InternetLink"/>
                  <w:rFonts w:ascii="Times New Roman;serif" w:hAnsi="Times New Roman;serif"/>
                  <w:b w:val="false"/>
                  <w:color w:val="0000FF"/>
                  <w:sz w:val="24"/>
                  <w:u w:val="single"/>
                </w:rPr>
                <w:t>Cancellation</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4">
              <w:r>
                <w:rPr>
                  <w:rStyle w:val="InternetLink"/>
                  <w:rFonts w:ascii="Times New Roman;serif" w:hAnsi="Times New Roman;serif"/>
                  <w:b w:val="false"/>
                  <w:color w:val="0000FF"/>
                  <w:sz w:val="24"/>
                  <w:u w:val="single"/>
                </w:rPr>
                <w:t>23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7">
              <w:r>
                <w:rPr>
                  <w:rStyle w:val="InternetLink"/>
                  <w:rFonts w:ascii="Times New Roman;serif" w:hAnsi="Times New Roman;serif"/>
                  <w:b w:val="false"/>
                  <w:color w:val="0000FF"/>
                  <w:sz w:val="24"/>
                  <w:u w:val="single"/>
                </w:rPr>
                <w:t>Section 3.10</w:t>
              </w:r>
            </w:hyperlink>
            <w:hyperlink w:anchor="i41da357aab9a44bda68a0f3315110a93_67">
              <w:r>
                <w:rPr>
                  <w:rStyle w:val="InternetLink"/>
                  <w:strike w:val="false"/>
                  <w:dstrike w:val="false"/>
                  <w:color w:val="000000"/>
                  <w:u w:val="none"/>
                  <w:effect w:val="none"/>
                </w:rPr>
                <w:t>    </w:t>
              </w:r>
            </w:hyperlink>
            <w:hyperlink w:anchor="i41da357aab9a44bda68a0f3315110a93_67">
              <w:r>
                <w:rPr>
                  <w:rStyle w:val="InternetLink"/>
                  <w:rFonts w:ascii="Times New Roman;serif" w:hAnsi="Times New Roman;serif"/>
                  <w:b w:val="false"/>
                  <w:color w:val="0000FF"/>
                  <w:sz w:val="24"/>
                  <w:u w:val="single"/>
                </w:rPr>
                <w:t>Computation of Interest</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67">
              <w:r>
                <w:rPr>
                  <w:rStyle w:val="InternetLink"/>
                  <w:rFonts w:ascii="Times New Roman;serif" w:hAnsi="Times New Roman;serif"/>
                  <w:b w:val="false"/>
                  <w:color w:val="0000FF"/>
                  <w:sz w:val="24"/>
                  <w:u w:val="single"/>
                </w:rPr>
                <w:t>24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0">
              <w:r>
                <w:rPr>
                  <w:rStyle w:val="InternetLink"/>
                  <w:rFonts w:ascii="Times New Roman;serif" w:hAnsi="Times New Roman;serif"/>
                  <w:b w:val="false"/>
                  <w:color w:val="0000FF"/>
                  <w:sz w:val="24"/>
                  <w:u w:val="single"/>
                </w:rPr>
                <w:t>Section 3.11</w:t>
              </w:r>
            </w:hyperlink>
            <w:hyperlink w:anchor="i41da357aab9a44bda68a0f3315110a93_70">
              <w:r>
                <w:rPr>
                  <w:rStyle w:val="InternetLink"/>
                  <w:strike w:val="false"/>
                  <w:dstrike w:val="false"/>
                  <w:color w:val="000000"/>
                  <w:u w:val="none"/>
                  <w:effect w:val="none"/>
                </w:rPr>
                <w:t>    </w:t>
              </w:r>
            </w:hyperlink>
            <w:hyperlink w:anchor="i41da357aab9a44bda68a0f3315110a93_70">
              <w:r>
                <w:rPr>
                  <w:rStyle w:val="InternetLink"/>
                  <w:rFonts w:ascii="Times New Roman;serif" w:hAnsi="Times New Roman;serif"/>
                  <w:b w:val="false"/>
                  <w:color w:val="0000FF"/>
                  <w:sz w:val="24"/>
                  <w:u w:val="single"/>
                </w:rPr>
                <w:t>Currency of Payments in Respect of Securities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0">
              <w:r>
                <w:rPr>
                  <w:rStyle w:val="InternetLink"/>
                  <w:rFonts w:ascii="Times New Roman;serif" w:hAnsi="Times New Roman;serif"/>
                  <w:b w:val="false"/>
                  <w:color w:val="0000FF"/>
                  <w:sz w:val="24"/>
                  <w:u w:val="single"/>
                </w:rPr>
                <w:t>24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3">
              <w:r>
                <w:rPr>
                  <w:rStyle w:val="InternetLink"/>
                  <w:rFonts w:ascii="Times New Roman;serif" w:hAnsi="Times New Roman;serif"/>
                  <w:b w:val="false"/>
                  <w:color w:val="0000FF"/>
                  <w:sz w:val="24"/>
                  <w:u w:val="single"/>
                </w:rPr>
                <w:t>Section 3.12</w:t>
              </w:r>
            </w:hyperlink>
            <w:hyperlink w:anchor="i41da357aab9a44bda68a0f3315110a93_73">
              <w:r>
                <w:rPr>
                  <w:rStyle w:val="InternetLink"/>
                  <w:strike w:val="false"/>
                  <w:dstrike w:val="false"/>
                  <w:color w:val="000000"/>
                  <w:u w:val="none"/>
                  <w:effect w:val="none"/>
                </w:rPr>
                <w:t>    </w:t>
              </w:r>
            </w:hyperlink>
            <w:hyperlink w:anchor="i41da357aab9a44bda68a0f3315110a93_73">
              <w:r>
                <w:rPr>
                  <w:rStyle w:val="InternetLink"/>
                  <w:rFonts w:ascii="Times New Roman;serif" w:hAnsi="Times New Roman;serif"/>
                  <w:b w:val="false"/>
                  <w:color w:val="0000FF"/>
                  <w:sz w:val="24"/>
                  <w:u w:val="single"/>
                </w:rPr>
                <w:t>Judgments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3">
              <w:r>
                <w:rPr>
                  <w:rStyle w:val="InternetLink"/>
                  <w:rFonts w:ascii="Times New Roman;serif" w:hAnsi="Times New Roman;serif"/>
                  <w:b w:val="false"/>
                  <w:color w:val="0000FF"/>
                  <w:sz w:val="24"/>
                  <w:u w:val="single"/>
                </w:rPr>
                <w:t>24</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6">
              <w:r>
                <w:rPr>
                  <w:rStyle w:val="InternetLink"/>
                  <w:rFonts w:ascii="Times New Roman;serif" w:hAnsi="Times New Roman;serif"/>
                  <w:b w:val="false"/>
                  <w:color w:val="0000FF"/>
                  <w:sz w:val="24"/>
                  <w:u w:val="single"/>
                </w:rPr>
                <w:t>Section 3.13</w:t>
              </w:r>
            </w:hyperlink>
            <w:hyperlink w:anchor="i41da357aab9a44bda68a0f3315110a93_76">
              <w:r>
                <w:rPr>
                  <w:rStyle w:val="InternetLink"/>
                  <w:strike w:val="false"/>
                  <w:dstrike w:val="false"/>
                  <w:color w:val="000000"/>
                  <w:u w:val="none"/>
                  <w:effect w:val="none"/>
                </w:rPr>
                <w:t>    </w:t>
              </w:r>
            </w:hyperlink>
            <w:hyperlink w:anchor="i41da357aab9a44bda68a0f3315110a93_76">
              <w:r>
                <w:rPr>
                  <w:rStyle w:val="InternetLink"/>
                  <w:rFonts w:ascii="Times New Roman;serif" w:hAnsi="Times New Roman;serif"/>
                  <w:b w:val="false"/>
                  <w:color w:val="0000FF"/>
                  <w:sz w:val="24"/>
                  <w:u w:val="single"/>
                </w:rPr>
                <w:t>CUSIP Numbers</w:t>
              </w:r>
            </w:hyperlink>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76">
              <w:r>
                <w:rPr>
                  <w:rStyle w:val="InternetLink"/>
                  <w:rFonts w:ascii="Times New Roman;serif" w:hAnsi="Times New Roman;serif"/>
                  <w:b w:val="false"/>
                  <w:color w:val="0000FF"/>
                  <w:sz w:val="24"/>
                  <w:u w:val="single"/>
                </w:rPr>
                <w:t>25</w:t>
              </w:r>
            </w:hyperlink>
          </w:p>
        </w:tc>
      </w:tr>
      <w:tr>
        <w:trPr/>
        <w:tc>
          <w:tcPr>
            <w:tcW w:w="977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79">
              <w:r>
                <w:rPr>
                  <w:rStyle w:val="InternetLink"/>
                  <w:rFonts w:ascii="Times New Roman;serif" w:hAnsi="Times New Roman;serif"/>
                  <w:b w:val="false"/>
                  <w:color w:val="000080"/>
                  <w:sz w:val="24"/>
                  <w:u w:val="single"/>
                </w:rPr>
                <w:t>ARTICLE IV</w:t>
              </w:r>
            </w:hyperlink>
            <w:hyperlink w:anchor="i41da357aab9a44bda68a0f3315110a93_79">
              <w:r>
                <w:rPr>
                  <w:rStyle w:val="InternetLink"/>
                  <w:rFonts w:ascii="Times New Roman;serif" w:hAnsi="Times New Roman;serif"/>
                  <w:b w:val="false"/>
                  <w:color w:val="000080"/>
                  <w:sz w:val="24"/>
                  <w:u w:val="single"/>
                </w:rPr>
                <w:br/>
              </w:r>
            </w:hyperlink>
            <w:hyperlink w:anchor="i41da357aab9a44bda68a0f3315110a93_79">
              <w:r>
                <w:rPr>
                  <w:rStyle w:val="InternetLink"/>
                  <w:rFonts w:ascii="Times New Roman;serif" w:hAnsi="Times New Roman;serif"/>
                  <w:b w:val="false"/>
                  <w:color w:val="000080"/>
                  <w:sz w:val="24"/>
                  <w:u w:val="single"/>
                </w:rPr>
                <w:br/>
              </w:r>
            </w:hyperlink>
            <w:hyperlink w:anchor="i41da357aab9a44bda68a0f3315110a93_79">
              <w:r>
                <w:rPr>
                  <w:rStyle w:val="InternetLink"/>
                  <w:rFonts w:ascii="Times New Roman;serif" w:hAnsi="Times New Roman;serif"/>
                  <w:b w:val="false"/>
                  <w:color w:val="000080"/>
                  <w:sz w:val="24"/>
                  <w:u w:val="single"/>
                </w:rPr>
                <w:t>REDEMPTION OF SECURITIES</w:t>
              </w:r>
            </w:hyperlink>
          </w:p>
        </w:tc>
      </w:tr>
    </w:tbl>
    <w:p>
      <w:pPr>
        <w:pStyle w:val="TextBody"/>
        <w:bidi w:val="0"/>
        <w:spacing w:lineRule="auto" w:line="240" w:before="200" w:after="283"/>
        <w:ind w:left="0" w:right="0" w:hanging="360"/>
        <w:jc w:val="left"/>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Table of Contents is not a part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7305" w:type="dxa"/>
        <w:jc w:val="left"/>
        <w:tblInd w:w="0" w:type="dxa"/>
        <w:tblLayout w:type="fixed"/>
        <w:tblCellMar>
          <w:top w:w="28" w:type="dxa"/>
          <w:left w:w="28" w:type="dxa"/>
          <w:bottom w:w="28" w:type="dxa"/>
          <w:right w:w="28" w:type="dxa"/>
        </w:tblCellMar>
      </w:tblPr>
      <w:tblGrid>
        <w:gridCol w:w="2507"/>
        <w:gridCol w:w="2200"/>
        <w:gridCol w:w="2207"/>
        <w:gridCol w:w="114"/>
        <w:gridCol w:w="114"/>
        <w:gridCol w:w="163"/>
      </w:tblGrid>
      <w:tr>
        <w:trPr/>
        <w:tc>
          <w:tcPr>
            <w:tcW w:w="250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2">
              <w:r>
                <w:rPr>
                  <w:rStyle w:val="InternetLink"/>
                  <w:rFonts w:ascii="Times New Roman;serif" w:hAnsi="Times New Roman;serif"/>
                  <w:b w:val="false"/>
                  <w:color w:val="0000FF"/>
                  <w:sz w:val="24"/>
                  <w:u w:val="single"/>
                </w:rPr>
                <w:t>Section 4.01</w:t>
              </w:r>
            </w:hyperlink>
            <w:hyperlink w:anchor="i41da357aab9a44bda68a0f3315110a93_82">
              <w:r>
                <w:rPr>
                  <w:rStyle w:val="InternetLink"/>
                  <w:strike w:val="false"/>
                  <w:dstrike w:val="false"/>
                  <w:color w:val="000000"/>
                  <w:u w:val="none"/>
                  <w:effect w:val="none"/>
                </w:rPr>
                <w:t>    </w:t>
              </w:r>
            </w:hyperlink>
            <w:hyperlink w:anchor="i41da357aab9a44bda68a0f3315110a93_82">
              <w:r>
                <w:rPr>
                  <w:rStyle w:val="InternetLink"/>
                  <w:rFonts w:ascii="Times New Roman;serif" w:hAnsi="Times New Roman;serif"/>
                  <w:b w:val="false"/>
                  <w:color w:val="0000FF"/>
                  <w:sz w:val="24"/>
                  <w:u w:val="single"/>
                </w:rPr>
                <w:t>Applicability of Right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2">
              <w:r>
                <w:rPr>
                  <w:rStyle w:val="InternetLink"/>
                  <w:rFonts w:ascii="Times New Roman;serif" w:hAnsi="Times New Roman;serif"/>
                  <w:b w:val="false"/>
                  <w:color w:val="0000FF"/>
                  <w:sz w:val="24"/>
                  <w:u w:val="single"/>
                </w:rPr>
                <w:t>25</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5">
              <w:r>
                <w:rPr>
                  <w:rStyle w:val="InternetLink"/>
                  <w:rFonts w:ascii="Times New Roman;serif" w:hAnsi="Times New Roman;serif"/>
                  <w:b w:val="false"/>
                  <w:color w:val="0000FF"/>
                  <w:sz w:val="24"/>
                  <w:u w:val="single"/>
                </w:rPr>
                <w:t>Section 4.02</w:t>
              </w:r>
            </w:hyperlink>
            <w:hyperlink w:anchor="i41da357aab9a44bda68a0f3315110a93_85">
              <w:r>
                <w:rPr>
                  <w:rStyle w:val="InternetLink"/>
                  <w:strike w:val="false"/>
                  <w:dstrike w:val="false"/>
                  <w:color w:val="000000"/>
                  <w:u w:val="none"/>
                  <w:effect w:val="none"/>
                </w:rPr>
                <w:t>    </w:t>
              </w:r>
            </w:hyperlink>
            <w:hyperlink w:anchor="i41da357aab9a44bda68a0f3315110a93_85">
              <w:r>
                <w:rPr>
                  <w:rStyle w:val="InternetLink"/>
                  <w:rFonts w:ascii="Times New Roman;serif" w:hAnsi="Times New Roman;serif"/>
                  <w:b w:val="false"/>
                  <w:color w:val="0000FF"/>
                  <w:sz w:val="24"/>
                  <w:u w:val="single"/>
                </w:rPr>
                <w:t>Selection of Securities to be Redeemed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5">
              <w:r>
                <w:rPr>
                  <w:rStyle w:val="InternetLink"/>
                  <w:rFonts w:ascii="Times New Roman;serif" w:hAnsi="Times New Roman;serif"/>
                  <w:b w:val="false"/>
                  <w:color w:val="0000FF"/>
                  <w:sz w:val="24"/>
                  <w:u w:val="single"/>
                </w:rPr>
                <w:t>25</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8">
              <w:r>
                <w:rPr>
                  <w:rStyle w:val="InternetLink"/>
                  <w:rFonts w:ascii="Times New Roman;serif" w:hAnsi="Times New Roman;serif"/>
                  <w:b w:val="false"/>
                  <w:color w:val="0000FF"/>
                  <w:sz w:val="24"/>
                  <w:u w:val="single"/>
                </w:rPr>
                <w:t>Section 4.03</w:t>
              </w:r>
            </w:hyperlink>
            <w:hyperlink w:anchor="i41da357aab9a44bda68a0f3315110a93_88">
              <w:r>
                <w:rPr>
                  <w:rStyle w:val="InternetLink"/>
                  <w:strike w:val="false"/>
                  <w:dstrike w:val="false"/>
                  <w:color w:val="000000"/>
                  <w:u w:val="none"/>
                  <w:effect w:val="none"/>
                </w:rPr>
                <w:t>    </w:t>
              </w:r>
            </w:hyperlink>
            <w:hyperlink w:anchor="i41da357aab9a44bda68a0f3315110a93_88">
              <w:r>
                <w:rPr>
                  <w:rStyle w:val="InternetLink"/>
                  <w:rFonts w:ascii="Times New Roman;serif" w:hAnsi="Times New Roman;serif"/>
                  <w:b w:val="false"/>
                  <w:color w:val="0000FF"/>
                  <w:sz w:val="24"/>
                  <w:u w:val="single"/>
                </w:rPr>
                <w:t>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88">
              <w:r>
                <w:rPr>
                  <w:rStyle w:val="InternetLink"/>
                  <w:rFonts w:ascii="Times New Roman;serif" w:hAnsi="Times New Roman;serif"/>
                  <w:b w:val="false"/>
                  <w:color w:val="0000FF"/>
                  <w:sz w:val="24"/>
                  <w:u w:val="single"/>
                </w:rPr>
                <w:t>26</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1">
              <w:r>
                <w:rPr>
                  <w:rStyle w:val="InternetLink"/>
                  <w:rFonts w:ascii="Times New Roman;serif" w:hAnsi="Times New Roman;serif"/>
                  <w:b w:val="false"/>
                  <w:color w:val="0000FF"/>
                  <w:sz w:val="24"/>
                  <w:u w:val="single"/>
                </w:rPr>
                <w:t>Section 4.04</w:t>
              </w:r>
            </w:hyperlink>
            <w:hyperlink w:anchor="i41da357aab9a44bda68a0f3315110a93_91">
              <w:r>
                <w:rPr>
                  <w:rStyle w:val="InternetLink"/>
                  <w:strike w:val="false"/>
                  <w:dstrike w:val="false"/>
                  <w:color w:val="000000"/>
                  <w:u w:val="none"/>
                  <w:effect w:val="none"/>
                </w:rPr>
                <w:t>    </w:t>
              </w:r>
            </w:hyperlink>
            <w:hyperlink w:anchor="i41da357aab9a44bda68a0f3315110a93_91">
              <w:r>
                <w:rPr>
                  <w:rStyle w:val="InternetLink"/>
                  <w:rFonts w:ascii="Times New Roman;serif" w:hAnsi="Times New Roman;serif"/>
                  <w:b w:val="false"/>
                  <w:color w:val="0000FF"/>
                  <w:sz w:val="24"/>
                  <w:u w:val="single"/>
                </w:rPr>
                <w:t>Deposit of Redemption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1">
              <w:r>
                <w:rPr>
                  <w:rStyle w:val="InternetLink"/>
                  <w:rFonts w:ascii="Times New Roman;serif" w:hAnsi="Times New Roman;serif"/>
                  <w:b w:val="false"/>
                  <w:color w:val="0000FF"/>
                  <w:sz w:val="24"/>
                  <w:u w:val="single"/>
                </w:rPr>
                <w:t>26</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4">
              <w:r>
                <w:rPr>
                  <w:rStyle w:val="InternetLink"/>
                  <w:rFonts w:ascii="Times New Roman;serif" w:hAnsi="Times New Roman;serif"/>
                  <w:b w:val="false"/>
                  <w:color w:val="0000FF"/>
                  <w:sz w:val="24"/>
                  <w:u w:val="single"/>
                </w:rPr>
                <w:t>Section 4.05</w:t>
              </w:r>
            </w:hyperlink>
            <w:hyperlink w:anchor="i41da357aab9a44bda68a0f3315110a93_94">
              <w:r>
                <w:rPr>
                  <w:rStyle w:val="InternetLink"/>
                  <w:strike w:val="false"/>
                  <w:dstrike w:val="false"/>
                  <w:color w:val="000000"/>
                  <w:u w:val="none"/>
                  <w:effect w:val="none"/>
                </w:rPr>
                <w:t>    </w:t>
              </w:r>
            </w:hyperlink>
            <w:hyperlink w:anchor="i41da357aab9a44bda68a0f3315110a93_94">
              <w:r>
                <w:rPr>
                  <w:rStyle w:val="InternetLink"/>
                  <w:rFonts w:ascii="Times New Roman;serif" w:hAnsi="Times New Roman;serif"/>
                  <w:b w:val="false"/>
                  <w:color w:val="0000FF"/>
                  <w:sz w:val="24"/>
                  <w:u w:val="single"/>
                </w:rPr>
                <w:t>Securities Payable on Redemption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4">
              <w:r>
                <w:rPr>
                  <w:rStyle w:val="InternetLink"/>
                  <w:rFonts w:ascii="Times New Roman;serif" w:hAnsi="Times New Roman;serif"/>
                  <w:b w:val="false"/>
                  <w:color w:val="0000FF"/>
                  <w:sz w:val="24"/>
                  <w:u w:val="single"/>
                </w:rPr>
                <w:t>27</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7">
              <w:r>
                <w:rPr>
                  <w:rStyle w:val="InternetLink"/>
                  <w:rFonts w:ascii="Times New Roman;serif" w:hAnsi="Times New Roman;serif"/>
                  <w:b w:val="false"/>
                  <w:color w:val="0000FF"/>
                  <w:sz w:val="24"/>
                  <w:u w:val="single"/>
                </w:rPr>
                <w:t>Section 4.06</w:t>
              </w:r>
            </w:hyperlink>
            <w:hyperlink w:anchor="i41da357aab9a44bda68a0f3315110a93_97">
              <w:r>
                <w:rPr>
                  <w:rStyle w:val="InternetLink"/>
                  <w:strike w:val="false"/>
                  <w:dstrike w:val="false"/>
                  <w:color w:val="000000"/>
                  <w:u w:val="none"/>
                  <w:effect w:val="none"/>
                </w:rPr>
                <w:t>    </w:t>
              </w:r>
            </w:hyperlink>
            <w:hyperlink w:anchor="i41da357aab9a44bda68a0f3315110a93_97">
              <w:r>
                <w:rPr>
                  <w:rStyle w:val="InternetLink"/>
                  <w:rFonts w:ascii="Times New Roman;serif" w:hAnsi="Times New Roman;serif"/>
                  <w:b w:val="false"/>
                  <w:color w:val="0000FF"/>
                  <w:sz w:val="24"/>
                  <w:u w:val="single"/>
                </w:rPr>
                <w:t>Securities Redeemed in Part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97">
              <w:r>
                <w:rPr>
                  <w:rStyle w:val="InternetLink"/>
                  <w:rFonts w:ascii="Times New Roman;serif" w:hAnsi="Times New Roman;serif"/>
                  <w:b w:val="false"/>
                  <w:color w:val="0000FF"/>
                  <w:sz w:val="24"/>
                  <w:u w:val="single"/>
                </w:rPr>
                <w:t>27</w:t>
              </w:r>
            </w:hyperlink>
          </w:p>
        </w:tc>
      </w:tr>
      <w:tr>
        <w:trPr/>
        <w:tc>
          <w:tcPr>
            <w:tcW w:w="73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00">
              <w:r>
                <w:rPr>
                  <w:rStyle w:val="InternetLink"/>
                  <w:rFonts w:ascii="Times New Roman;serif" w:hAnsi="Times New Roman;serif"/>
                  <w:b w:val="false"/>
                  <w:color w:val="000080"/>
                  <w:sz w:val="24"/>
                  <w:u w:val="single"/>
                </w:rPr>
                <w:t>ARTICLE V</w:t>
              </w:r>
            </w:hyperlink>
            <w:hyperlink w:anchor="i41da357aab9a44bda68a0f3315110a93_100">
              <w:r>
                <w:rPr>
                  <w:rStyle w:val="InternetLink"/>
                  <w:rFonts w:ascii="Times New Roman;serif" w:hAnsi="Times New Roman;serif"/>
                  <w:b w:val="false"/>
                  <w:color w:val="000080"/>
                  <w:sz w:val="24"/>
                  <w:u w:val="single"/>
                </w:rPr>
                <w:br/>
              </w:r>
            </w:hyperlink>
            <w:hyperlink w:anchor="i41da357aab9a44bda68a0f3315110a93_100">
              <w:r>
                <w:rPr>
                  <w:rStyle w:val="InternetLink"/>
                  <w:rFonts w:ascii="Times New Roman;serif" w:hAnsi="Times New Roman;serif"/>
                  <w:b w:val="false"/>
                  <w:color w:val="000080"/>
                  <w:sz w:val="24"/>
                  <w:u w:val="single"/>
                </w:rPr>
                <w:br/>
              </w:r>
            </w:hyperlink>
            <w:hyperlink w:anchor="i41da357aab9a44bda68a0f3315110a93_100">
              <w:r>
                <w:rPr>
                  <w:rStyle w:val="InternetLink"/>
                  <w:rFonts w:ascii="Times New Roman;serif" w:hAnsi="Times New Roman;serif"/>
                  <w:b w:val="false"/>
                  <w:color w:val="000080"/>
                  <w:sz w:val="24"/>
                  <w:u w:val="single"/>
                </w:rPr>
                <w:t>SINKING FUNDS</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3">
              <w:r>
                <w:rPr>
                  <w:rStyle w:val="InternetLink"/>
                  <w:rFonts w:ascii="Times New Roman;serif" w:hAnsi="Times New Roman;serif"/>
                  <w:b w:val="false"/>
                  <w:color w:val="0000FF"/>
                  <w:sz w:val="24"/>
                  <w:u w:val="single"/>
                </w:rPr>
                <w:t>Section 5.01</w:t>
              </w:r>
            </w:hyperlink>
            <w:hyperlink w:anchor="i41da357aab9a44bda68a0f3315110a93_103">
              <w:r>
                <w:rPr>
                  <w:rStyle w:val="InternetLink"/>
                  <w:strike w:val="false"/>
                  <w:dstrike w:val="false"/>
                  <w:color w:val="000000"/>
                  <w:u w:val="none"/>
                  <w:effect w:val="none"/>
                </w:rPr>
                <w:t>    </w:t>
              </w:r>
            </w:hyperlink>
            <w:hyperlink w:anchor="i41da357aab9a44bda68a0f3315110a93_103">
              <w:r>
                <w:rPr>
                  <w:rStyle w:val="InternetLink"/>
                  <w:rFonts w:ascii="Times New Roman;serif" w:hAnsi="Times New Roman;serif"/>
                  <w:b w:val="false"/>
                  <w:color w:val="0000FF"/>
                  <w:sz w:val="24"/>
                  <w:u w:val="single"/>
                </w:rPr>
                <w:t>Applicability of Sinking Fund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3">
              <w:r>
                <w:rPr>
                  <w:rStyle w:val="InternetLink"/>
                  <w:rFonts w:ascii="Times New Roman;serif" w:hAnsi="Times New Roman;serif"/>
                  <w:b w:val="false"/>
                  <w:color w:val="0000FF"/>
                  <w:sz w:val="24"/>
                  <w:u w:val="single"/>
                </w:rPr>
                <w:t>27</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6">
              <w:r>
                <w:rPr>
                  <w:rStyle w:val="InternetLink"/>
                  <w:rFonts w:ascii="Times New Roman;serif" w:hAnsi="Times New Roman;serif"/>
                  <w:b w:val="false"/>
                  <w:color w:val="0000FF"/>
                  <w:sz w:val="24"/>
                  <w:u w:val="single"/>
                </w:rPr>
                <w:t>Section 5.02</w:t>
              </w:r>
            </w:hyperlink>
            <w:hyperlink w:anchor="i41da357aab9a44bda68a0f3315110a93_106">
              <w:r>
                <w:rPr>
                  <w:rStyle w:val="InternetLink"/>
                  <w:strike w:val="false"/>
                  <w:dstrike w:val="false"/>
                  <w:color w:val="000000"/>
                  <w:u w:val="none"/>
                  <w:effect w:val="none"/>
                </w:rPr>
                <w:t>    </w:t>
              </w:r>
            </w:hyperlink>
            <w:hyperlink w:anchor="i41da357aab9a44bda68a0f3315110a93_106">
              <w:r>
                <w:rPr>
                  <w:rStyle w:val="InternetLink"/>
                  <w:rFonts w:ascii="Times New Roman;serif" w:hAnsi="Times New Roman;serif"/>
                  <w:b w:val="false"/>
                  <w:color w:val="0000FF"/>
                  <w:sz w:val="24"/>
                  <w:u w:val="single"/>
                </w:rPr>
                <w:t>Mandatory Sinking Fund Obligation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6">
              <w:r>
                <w:rPr>
                  <w:rStyle w:val="InternetLink"/>
                  <w:rFonts w:ascii="Times New Roman;serif" w:hAnsi="Times New Roman;serif"/>
                  <w:b w:val="false"/>
                  <w:color w:val="0000FF"/>
                  <w:sz w:val="24"/>
                  <w:u w:val="single"/>
                </w:rPr>
                <w:t>28</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9">
              <w:r>
                <w:rPr>
                  <w:rStyle w:val="InternetLink"/>
                  <w:rFonts w:ascii="Times New Roman;serif" w:hAnsi="Times New Roman;serif"/>
                  <w:b w:val="false"/>
                  <w:color w:val="0000FF"/>
                  <w:sz w:val="24"/>
                  <w:u w:val="single"/>
                </w:rPr>
                <w:t>Section 5.03</w:t>
              </w:r>
            </w:hyperlink>
            <w:hyperlink w:anchor="i41da357aab9a44bda68a0f3315110a93_109">
              <w:r>
                <w:rPr>
                  <w:rStyle w:val="InternetLink"/>
                  <w:strike w:val="false"/>
                  <w:dstrike w:val="false"/>
                  <w:color w:val="000000"/>
                  <w:u w:val="none"/>
                  <w:effect w:val="none"/>
                </w:rPr>
                <w:t>    </w:t>
              </w:r>
            </w:hyperlink>
            <w:hyperlink w:anchor="i41da357aab9a44bda68a0f3315110a93_109">
              <w:r>
                <w:rPr>
                  <w:rStyle w:val="InternetLink"/>
                  <w:rFonts w:ascii="Times New Roman;serif" w:hAnsi="Times New Roman;serif"/>
                  <w:b w:val="false"/>
                  <w:color w:val="0000FF"/>
                  <w:sz w:val="24"/>
                  <w:u w:val="single"/>
                </w:rPr>
                <w:t>Optional Redemption at Sinking Fund Redemption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09">
              <w:r>
                <w:rPr>
                  <w:rStyle w:val="InternetLink"/>
                  <w:rFonts w:ascii="Times New Roman;serif" w:hAnsi="Times New Roman;serif"/>
                  <w:b w:val="false"/>
                  <w:color w:val="0000FF"/>
                  <w:sz w:val="24"/>
                  <w:u w:val="single"/>
                </w:rPr>
                <w:t>28</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12">
              <w:r>
                <w:rPr>
                  <w:rStyle w:val="InternetLink"/>
                  <w:rFonts w:ascii="Times New Roman;serif" w:hAnsi="Times New Roman;serif"/>
                  <w:b w:val="false"/>
                  <w:color w:val="0000FF"/>
                  <w:sz w:val="24"/>
                  <w:u w:val="single"/>
                </w:rPr>
                <w:t>Section 5.04</w:t>
              </w:r>
            </w:hyperlink>
            <w:hyperlink w:anchor="i41da357aab9a44bda68a0f3315110a93_112">
              <w:r>
                <w:rPr>
                  <w:rStyle w:val="InternetLink"/>
                  <w:strike w:val="false"/>
                  <w:dstrike w:val="false"/>
                  <w:color w:val="000000"/>
                  <w:u w:val="none"/>
                  <w:effect w:val="none"/>
                </w:rPr>
                <w:t>    </w:t>
              </w:r>
            </w:hyperlink>
            <w:hyperlink w:anchor="i41da357aab9a44bda68a0f3315110a93_112">
              <w:r>
                <w:rPr>
                  <w:rStyle w:val="InternetLink"/>
                  <w:rFonts w:ascii="Times New Roman;serif" w:hAnsi="Times New Roman;serif"/>
                  <w:b w:val="false"/>
                  <w:color w:val="0000FF"/>
                  <w:sz w:val="24"/>
                  <w:u w:val="single"/>
                </w:rPr>
                <w:t>Application of Sinking Fund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12">
              <w:r>
                <w:rPr>
                  <w:rStyle w:val="InternetLink"/>
                  <w:rFonts w:ascii="Times New Roman;serif" w:hAnsi="Times New Roman;serif"/>
                  <w:b w:val="false"/>
                  <w:color w:val="0000FF"/>
                  <w:sz w:val="24"/>
                  <w:u w:val="single"/>
                </w:rPr>
                <w:t>28</w:t>
              </w:r>
            </w:hyperlink>
          </w:p>
        </w:tc>
      </w:tr>
      <w:tr>
        <w:trPr/>
        <w:tc>
          <w:tcPr>
            <w:tcW w:w="73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15">
              <w:r>
                <w:rPr>
                  <w:rStyle w:val="InternetLink"/>
                  <w:rFonts w:ascii="Times New Roman;serif" w:hAnsi="Times New Roman;serif"/>
                  <w:b w:val="false"/>
                  <w:color w:val="000080"/>
                  <w:sz w:val="24"/>
                  <w:u w:val="single"/>
                </w:rPr>
                <w:t>ARTICLE VI</w:t>
              </w:r>
            </w:hyperlink>
            <w:hyperlink w:anchor="i41da357aab9a44bda68a0f3315110a93_115">
              <w:r>
                <w:rPr>
                  <w:rStyle w:val="InternetLink"/>
                  <w:rFonts w:ascii="Times New Roman;serif" w:hAnsi="Times New Roman;serif"/>
                  <w:b w:val="false"/>
                  <w:color w:val="000080"/>
                  <w:sz w:val="24"/>
                  <w:u w:val="single"/>
                </w:rPr>
                <w:br/>
              </w:r>
            </w:hyperlink>
            <w:hyperlink w:anchor="i41da357aab9a44bda68a0f3315110a93_115">
              <w:r>
                <w:rPr>
                  <w:rStyle w:val="InternetLink"/>
                  <w:rFonts w:ascii="Times New Roman;serif" w:hAnsi="Times New Roman;serif"/>
                  <w:b w:val="false"/>
                  <w:color w:val="000080"/>
                  <w:sz w:val="24"/>
                  <w:u w:val="single"/>
                </w:rPr>
                <w:br/>
              </w:r>
            </w:hyperlink>
            <w:hyperlink w:anchor="i41da357aab9a44bda68a0f3315110a93_115">
              <w:r>
                <w:rPr>
                  <w:rStyle w:val="InternetLink"/>
                  <w:rFonts w:ascii="Times New Roman;serif" w:hAnsi="Times New Roman;serif"/>
                  <w:b w:val="false"/>
                  <w:color w:val="000080"/>
                  <w:sz w:val="24"/>
                  <w:u w:val="single"/>
                </w:rPr>
                <w:t>PARTICULAR COVENANTS OF THE COMPANY</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18">
              <w:r>
                <w:rPr>
                  <w:rStyle w:val="InternetLink"/>
                  <w:rFonts w:ascii="Times New Roman;serif" w:hAnsi="Times New Roman;serif"/>
                  <w:b w:val="false"/>
                  <w:color w:val="0000FF"/>
                  <w:sz w:val="24"/>
                  <w:u w:val="single"/>
                </w:rPr>
                <w:t>Section 6.01</w:t>
              </w:r>
            </w:hyperlink>
            <w:hyperlink w:anchor="i41da357aab9a44bda68a0f3315110a93_118">
              <w:r>
                <w:rPr>
                  <w:rStyle w:val="InternetLink"/>
                  <w:strike w:val="false"/>
                  <w:dstrike w:val="false"/>
                  <w:color w:val="000000"/>
                  <w:u w:val="none"/>
                  <w:effect w:val="none"/>
                </w:rPr>
                <w:t>    </w:t>
              </w:r>
            </w:hyperlink>
            <w:hyperlink w:anchor="i41da357aab9a44bda68a0f3315110a93_118">
              <w:r>
                <w:rPr>
                  <w:rStyle w:val="InternetLink"/>
                  <w:rFonts w:ascii="Times New Roman;serif" w:hAnsi="Times New Roman;serif"/>
                  <w:b w:val="false"/>
                  <w:color w:val="0000FF"/>
                  <w:sz w:val="24"/>
                  <w:u w:val="single"/>
                </w:rPr>
                <w:t>Payments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18">
              <w:r>
                <w:rPr>
                  <w:rStyle w:val="InternetLink"/>
                  <w:rFonts w:ascii="Times New Roman;serif" w:hAnsi="Times New Roman;serif"/>
                  <w:b w:val="false"/>
                  <w:color w:val="0000FF"/>
                  <w:sz w:val="24"/>
                  <w:u w:val="single"/>
                </w:rPr>
                <w:t>29</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1">
              <w:r>
                <w:rPr>
                  <w:rStyle w:val="InternetLink"/>
                  <w:rFonts w:ascii="Times New Roman;serif" w:hAnsi="Times New Roman;serif"/>
                  <w:b w:val="false"/>
                  <w:color w:val="0000FF"/>
                  <w:sz w:val="24"/>
                  <w:u w:val="single"/>
                </w:rPr>
                <w:t>Section 6.02</w:t>
              </w:r>
            </w:hyperlink>
            <w:hyperlink w:anchor="i41da357aab9a44bda68a0f3315110a93_121">
              <w:r>
                <w:rPr>
                  <w:rStyle w:val="InternetLink"/>
                  <w:strike w:val="false"/>
                  <w:dstrike w:val="false"/>
                  <w:color w:val="000000"/>
                  <w:u w:val="none"/>
                  <w:effect w:val="none"/>
                </w:rPr>
                <w:t>    </w:t>
              </w:r>
            </w:hyperlink>
            <w:hyperlink w:anchor="i41da357aab9a44bda68a0f3315110a93_121">
              <w:r>
                <w:rPr>
                  <w:rStyle w:val="InternetLink"/>
                  <w:rFonts w:ascii="Times New Roman;serif" w:hAnsi="Times New Roman;serif"/>
                  <w:b w:val="false"/>
                  <w:color w:val="0000FF"/>
                  <w:sz w:val="24"/>
                  <w:u w:val="single"/>
                </w:rPr>
                <w:t>Paying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1">
              <w:r>
                <w:rPr>
                  <w:rStyle w:val="InternetLink"/>
                  <w:rFonts w:ascii="Times New Roman;serif" w:hAnsi="Times New Roman;serif"/>
                  <w:b w:val="false"/>
                  <w:color w:val="0000FF"/>
                  <w:sz w:val="24"/>
                  <w:u w:val="single"/>
                </w:rPr>
                <w:t>29</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4">
              <w:r>
                <w:rPr>
                  <w:rStyle w:val="InternetLink"/>
                  <w:rFonts w:ascii="Times New Roman;serif" w:hAnsi="Times New Roman;serif"/>
                  <w:b w:val="false"/>
                  <w:color w:val="0000FF"/>
                  <w:sz w:val="24"/>
                  <w:u w:val="single"/>
                </w:rPr>
                <w:t>Section 6.03</w:t>
              </w:r>
            </w:hyperlink>
            <w:hyperlink w:anchor="i41da357aab9a44bda68a0f3315110a93_124">
              <w:r>
                <w:rPr>
                  <w:rStyle w:val="InternetLink"/>
                  <w:strike w:val="false"/>
                  <w:dstrike w:val="false"/>
                  <w:color w:val="000000"/>
                  <w:u w:val="none"/>
                  <w:effect w:val="none"/>
                </w:rPr>
                <w:t>    </w:t>
              </w:r>
            </w:hyperlink>
            <w:hyperlink w:anchor="i41da357aab9a44bda68a0f3315110a93_124">
              <w:r>
                <w:rPr>
                  <w:rStyle w:val="InternetLink"/>
                  <w:rFonts w:ascii="Times New Roman;serif" w:hAnsi="Times New Roman;serif"/>
                  <w:b w:val="false"/>
                  <w:color w:val="0000FF"/>
                  <w:sz w:val="24"/>
                  <w:u w:val="single"/>
                </w:rPr>
                <w:t>To Hold Payment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4">
              <w:r>
                <w:rPr>
                  <w:rStyle w:val="InternetLink"/>
                  <w:rFonts w:ascii="Times New Roman;serif" w:hAnsi="Times New Roman;serif"/>
                  <w:b w:val="false"/>
                  <w:color w:val="0000FF"/>
                  <w:sz w:val="24"/>
                  <w:u w:val="single"/>
                </w:rPr>
                <w:t>30</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7">
              <w:r>
                <w:rPr>
                  <w:rStyle w:val="InternetLink"/>
                  <w:rFonts w:ascii="Times New Roman;serif" w:hAnsi="Times New Roman;serif"/>
                  <w:b w:val="false"/>
                  <w:color w:val="0000FF"/>
                  <w:sz w:val="24"/>
                  <w:u w:val="single"/>
                </w:rPr>
                <w:t>Section 6.04</w:t>
              </w:r>
            </w:hyperlink>
            <w:hyperlink w:anchor="i41da357aab9a44bda68a0f3315110a93_127">
              <w:r>
                <w:rPr>
                  <w:rStyle w:val="InternetLink"/>
                  <w:strike w:val="false"/>
                  <w:dstrike w:val="false"/>
                  <w:color w:val="000000"/>
                  <w:u w:val="none"/>
                  <w:effect w:val="none"/>
                </w:rPr>
                <w:t>    </w:t>
              </w:r>
            </w:hyperlink>
            <w:hyperlink w:anchor="i41da357aab9a44bda68a0f3315110a93_127">
              <w:r>
                <w:rPr>
                  <w:rStyle w:val="InternetLink"/>
                  <w:rFonts w:ascii="Times New Roman;serif" w:hAnsi="Times New Roman;serif"/>
                  <w:b w:val="false"/>
                  <w:color w:val="0000FF"/>
                  <w:sz w:val="24"/>
                  <w:u w:val="single"/>
                </w:rPr>
                <w:t>Merger, Consolidation and Sale of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27">
              <w:r>
                <w:rPr>
                  <w:rStyle w:val="InternetLink"/>
                  <w:rFonts w:ascii="Times New Roman;serif" w:hAnsi="Times New Roman;serif"/>
                  <w:b w:val="false"/>
                  <w:color w:val="0000FF"/>
                  <w:sz w:val="24"/>
                  <w:u w:val="single"/>
                </w:rPr>
                <w:t>31</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0">
              <w:r>
                <w:rPr>
                  <w:rStyle w:val="InternetLink"/>
                  <w:rFonts w:ascii="Times New Roman;serif" w:hAnsi="Times New Roman;serif"/>
                  <w:b w:val="false"/>
                  <w:color w:val="0000FF"/>
                  <w:sz w:val="24"/>
                  <w:u w:val="single"/>
                </w:rPr>
                <w:t>Section 6.05</w:t>
              </w:r>
            </w:hyperlink>
            <w:hyperlink w:anchor="i41da357aab9a44bda68a0f3315110a93_130">
              <w:r>
                <w:rPr>
                  <w:rStyle w:val="InternetLink"/>
                  <w:strike w:val="false"/>
                  <w:dstrike w:val="false"/>
                  <w:color w:val="000000"/>
                  <w:u w:val="none"/>
                  <w:effect w:val="none"/>
                </w:rPr>
                <w:t>    </w:t>
              </w:r>
            </w:hyperlink>
            <w:hyperlink w:anchor="i41da357aab9a44bda68a0f3315110a93_130">
              <w:r>
                <w:rPr>
                  <w:rStyle w:val="InternetLink"/>
                  <w:rFonts w:ascii="Times New Roman;serif" w:hAnsi="Times New Roman;serif"/>
                  <w:b w:val="false"/>
                  <w:color w:val="0000FF"/>
                  <w:sz w:val="24"/>
                  <w:u w:val="single"/>
                </w:rPr>
                <w:t>Compliance Certificate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0">
              <w:r>
                <w:rPr>
                  <w:rStyle w:val="InternetLink"/>
                  <w:rFonts w:ascii="Times New Roman;serif" w:hAnsi="Times New Roman;serif"/>
                  <w:b w:val="false"/>
                  <w:color w:val="0000FF"/>
                  <w:sz w:val="24"/>
                  <w:u w:val="single"/>
                </w:rPr>
                <w:t>32</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3">
              <w:r>
                <w:rPr>
                  <w:rStyle w:val="InternetLink"/>
                  <w:rFonts w:ascii="Times New Roman;serif" w:hAnsi="Times New Roman;serif"/>
                  <w:b w:val="false"/>
                  <w:color w:val="0000FF"/>
                  <w:sz w:val="24"/>
                  <w:u w:val="single"/>
                </w:rPr>
                <w:t>Section 6.06</w:t>
              </w:r>
            </w:hyperlink>
            <w:hyperlink w:anchor="i41da357aab9a44bda68a0f3315110a93_133">
              <w:r>
                <w:rPr>
                  <w:rStyle w:val="InternetLink"/>
                  <w:strike w:val="false"/>
                  <w:dstrike w:val="false"/>
                  <w:color w:val="000000"/>
                  <w:u w:val="none"/>
                  <w:effect w:val="none"/>
                </w:rPr>
                <w:t>    </w:t>
              </w:r>
            </w:hyperlink>
            <w:hyperlink w:anchor="i41da357aab9a44bda68a0f3315110a93_133">
              <w:r>
                <w:rPr>
                  <w:rStyle w:val="InternetLink"/>
                  <w:rFonts w:ascii="Times New Roman;serif" w:hAnsi="Times New Roman;serif"/>
                  <w:b w:val="false"/>
                  <w:color w:val="0000FF"/>
                  <w:sz w:val="24"/>
                  <w:u w:val="single"/>
                </w:rPr>
                <w:t>Conditional Waiver by Holders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3">
              <w:r>
                <w:rPr>
                  <w:rStyle w:val="InternetLink"/>
                  <w:rFonts w:ascii="Times New Roman;serif" w:hAnsi="Times New Roman;serif"/>
                  <w:b w:val="false"/>
                  <w:color w:val="0000FF"/>
                  <w:sz w:val="24"/>
                  <w:u w:val="single"/>
                </w:rPr>
                <w:t>32</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6">
              <w:r>
                <w:rPr>
                  <w:rStyle w:val="InternetLink"/>
                  <w:rFonts w:ascii="Times New Roman;serif" w:hAnsi="Times New Roman;serif"/>
                  <w:b w:val="false"/>
                  <w:color w:val="0000FF"/>
                  <w:sz w:val="24"/>
                  <w:u w:val="single"/>
                </w:rPr>
                <w:t>Section 6.07</w:t>
              </w:r>
            </w:hyperlink>
            <w:hyperlink w:anchor="i41da357aab9a44bda68a0f3315110a93_136">
              <w:r>
                <w:rPr>
                  <w:rStyle w:val="InternetLink"/>
                  <w:strike w:val="false"/>
                  <w:dstrike w:val="false"/>
                  <w:color w:val="000000"/>
                  <w:u w:val="none"/>
                  <w:effect w:val="none"/>
                </w:rPr>
                <w:t>    </w:t>
              </w:r>
            </w:hyperlink>
            <w:hyperlink w:anchor="i41da357aab9a44bda68a0f3315110a93_136">
              <w:r>
                <w:rPr>
                  <w:rStyle w:val="InternetLink"/>
                  <w:rFonts w:ascii="Times New Roman;serif" w:hAnsi="Times New Roman;serif"/>
                  <w:b w:val="false"/>
                  <w:color w:val="0000FF"/>
                  <w:sz w:val="24"/>
                  <w:u w:val="single"/>
                </w:rPr>
                <w:t>Statement by Officers as to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36">
              <w:r>
                <w:rPr>
                  <w:rStyle w:val="InternetLink"/>
                  <w:rFonts w:ascii="Times New Roman;serif" w:hAnsi="Times New Roman;serif"/>
                  <w:b w:val="false"/>
                  <w:color w:val="0000FF"/>
                  <w:sz w:val="24"/>
                  <w:u w:val="single"/>
                </w:rPr>
                <w:t>32</w:t>
              </w:r>
            </w:hyperlink>
          </w:p>
        </w:tc>
      </w:tr>
      <w:tr>
        <w:trPr/>
        <w:tc>
          <w:tcPr>
            <w:tcW w:w="73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39">
              <w:r>
                <w:rPr>
                  <w:rStyle w:val="InternetLink"/>
                  <w:rFonts w:ascii="Times New Roman;serif" w:hAnsi="Times New Roman;serif"/>
                  <w:b w:val="false"/>
                  <w:color w:val="000080"/>
                  <w:sz w:val="24"/>
                  <w:u w:val="single"/>
                </w:rPr>
                <w:t>ARTICLE VII</w:t>
              </w:r>
            </w:hyperlink>
            <w:hyperlink w:anchor="i41da357aab9a44bda68a0f3315110a93_139">
              <w:r>
                <w:rPr>
                  <w:rStyle w:val="InternetLink"/>
                  <w:rFonts w:ascii="Times New Roman;serif" w:hAnsi="Times New Roman;serif"/>
                  <w:b w:val="false"/>
                  <w:color w:val="000080"/>
                  <w:sz w:val="24"/>
                  <w:u w:val="single"/>
                </w:rPr>
                <w:br/>
              </w:r>
            </w:hyperlink>
            <w:hyperlink w:anchor="i41da357aab9a44bda68a0f3315110a93_139">
              <w:r>
                <w:rPr>
                  <w:rStyle w:val="InternetLink"/>
                  <w:rFonts w:ascii="Times New Roman;serif" w:hAnsi="Times New Roman;serif"/>
                  <w:b w:val="false"/>
                  <w:color w:val="000080"/>
                  <w:sz w:val="24"/>
                  <w:u w:val="single"/>
                </w:rPr>
                <w:br/>
              </w:r>
            </w:hyperlink>
            <w:hyperlink w:anchor="i41da357aab9a44bda68a0f3315110a93_139">
              <w:r>
                <w:rPr>
                  <w:rStyle w:val="InternetLink"/>
                  <w:rFonts w:ascii="Times New Roman;serif" w:hAnsi="Times New Roman;serif"/>
                  <w:b w:val="false"/>
                  <w:color w:val="000080"/>
                  <w:sz w:val="24"/>
                  <w:u w:val="single"/>
                </w:rPr>
                <w:t>REMEDIES OF TRUSTEE AND SECURITYHOLDERS</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2">
              <w:r>
                <w:rPr>
                  <w:rStyle w:val="InternetLink"/>
                  <w:rFonts w:ascii="Times New Roman;serif" w:hAnsi="Times New Roman;serif"/>
                  <w:b w:val="false"/>
                  <w:color w:val="0000FF"/>
                  <w:sz w:val="24"/>
                  <w:u w:val="single"/>
                </w:rPr>
                <w:t>Section 7.01</w:t>
              </w:r>
            </w:hyperlink>
            <w:hyperlink w:anchor="i41da357aab9a44bda68a0f3315110a93_142">
              <w:r>
                <w:rPr>
                  <w:rStyle w:val="InternetLink"/>
                  <w:strike w:val="false"/>
                  <w:dstrike w:val="false"/>
                  <w:color w:val="000000"/>
                  <w:u w:val="none"/>
                  <w:effect w:val="none"/>
                </w:rPr>
                <w:t>    </w:t>
              </w:r>
            </w:hyperlink>
            <w:hyperlink w:anchor="i41da357aab9a44bda68a0f3315110a93_142">
              <w:r>
                <w:rPr>
                  <w:rStyle w:val="InternetLink"/>
                  <w:rFonts w:ascii="Times New Roman;serif" w:hAnsi="Times New Roman;serif"/>
                  <w:b w:val="false"/>
                  <w:color w:val="0000FF"/>
                  <w:sz w:val="24"/>
                  <w:u w:val="single"/>
                </w:rPr>
                <w:t>Events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2">
              <w:r>
                <w:rPr>
                  <w:rStyle w:val="InternetLink"/>
                  <w:rFonts w:ascii="Times New Roman;serif" w:hAnsi="Times New Roman;serif"/>
                  <w:b w:val="false"/>
                  <w:color w:val="0000FF"/>
                  <w:sz w:val="24"/>
                  <w:u w:val="single"/>
                </w:rPr>
                <w:t>33</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5">
              <w:r>
                <w:rPr>
                  <w:rStyle w:val="InternetLink"/>
                  <w:rFonts w:ascii="Times New Roman;serif" w:hAnsi="Times New Roman;serif"/>
                  <w:b w:val="false"/>
                  <w:color w:val="0000FF"/>
                  <w:sz w:val="24"/>
                  <w:u w:val="single"/>
                </w:rPr>
                <w:t>Section 7.02</w:t>
              </w:r>
            </w:hyperlink>
            <w:hyperlink w:anchor="i41da357aab9a44bda68a0f3315110a93_145">
              <w:r>
                <w:rPr>
                  <w:rStyle w:val="InternetLink"/>
                  <w:strike w:val="false"/>
                  <w:dstrike w:val="false"/>
                  <w:color w:val="000000"/>
                  <w:u w:val="none"/>
                  <w:effect w:val="none"/>
                </w:rPr>
                <w:t>    </w:t>
              </w:r>
            </w:hyperlink>
            <w:hyperlink w:anchor="i41da357aab9a44bda68a0f3315110a93_145">
              <w:r>
                <w:rPr>
                  <w:rStyle w:val="InternetLink"/>
                  <w:rFonts w:ascii="Times New Roman;serif" w:hAnsi="Times New Roman;serif"/>
                  <w:b w:val="false"/>
                  <w:color w:val="0000FF"/>
                  <w:sz w:val="24"/>
                  <w:u w:val="single"/>
                </w:rPr>
                <w:t>Acceleration; Rescission and Annulment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5">
              <w:r>
                <w:rPr>
                  <w:rStyle w:val="InternetLink"/>
                  <w:rFonts w:ascii="Times New Roman;serif" w:hAnsi="Times New Roman;serif"/>
                  <w:b w:val="false"/>
                  <w:color w:val="0000FF"/>
                  <w:sz w:val="24"/>
                  <w:u w:val="single"/>
                </w:rPr>
                <w:t>35</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8">
              <w:r>
                <w:rPr>
                  <w:rStyle w:val="InternetLink"/>
                  <w:rFonts w:ascii="Times New Roman;serif" w:hAnsi="Times New Roman;serif"/>
                  <w:b w:val="false"/>
                  <w:color w:val="0000FF"/>
                  <w:sz w:val="24"/>
                  <w:u w:val="single"/>
                </w:rPr>
                <w:t>Section 7.03</w:t>
              </w:r>
            </w:hyperlink>
            <w:hyperlink w:anchor="i41da357aab9a44bda68a0f3315110a93_148">
              <w:r>
                <w:rPr>
                  <w:rStyle w:val="InternetLink"/>
                  <w:strike w:val="false"/>
                  <w:dstrike w:val="false"/>
                  <w:color w:val="000000"/>
                  <w:u w:val="none"/>
                  <w:effect w:val="none"/>
                </w:rPr>
                <w:t>    </w:t>
              </w:r>
            </w:hyperlink>
            <w:hyperlink w:anchor="i41da357aab9a44bda68a0f3315110a93_148">
              <w:r>
                <w:rPr>
                  <w:rStyle w:val="InternetLink"/>
                  <w:rFonts w:ascii="Times New Roman;serif" w:hAnsi="Times New Roman;serif"/>
                  <w:b w:val="false"/>
                  <w:color w:val="0000FF"/>
                  <w:sz w:val="24"/>
                  <w:u w:val="single"/>
                </w:rPr>
                <w:t>Other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48">
              <w:r>
                <w:rPr>
                  <w:rStyle w:val="InternetLink"/>
                  <w:rFonts w:ascii="Times New Roman;serif" w:hAnsi="Times New Roman;serif"/>
                  <w:b w:val="false"/>
                  <w:color w:val="0000FF"/>
                  <w:sz w:val="24"/>
                  <w:u w:val="single"/>
                </w:rPr>
                <w:t>36</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1">
              <w:r>
                <w:rPr>
                  <w:rStyle w:val="InternetLink"/>
                  <w:rFonts w:ascii="Times New Roman;serif" w:hAnsi="Times New Roman;serif"/>
                  <w:b w:val="false"/>
                  <w:color w:val="0000FF"/>
                  <w:sz w:val="24"/>
                  <w:u w:val="single"/>
                </w:rPr>
                <w:t>Section 7.04</w:t>
              </w:r>
            </w:hyperlink>
            <w:hyperlink w:anchor="i41da357aab9a44bda68a0f3315110a93_151">
              <w:r>
                <w:rPr>
                  <w:rStyle w:val="InternetLink"/>
                  <w:strike w:val="false"/>
                  <w:dstrike w:val="false"/>
                  <w:color w:val="000000"/>
                  <w:u w:val="none"/>
                  <w:effect w:val="none"/>
                </w:rPr>
                <w:t>    </w:t>
              </w:r>
            </w:hyperlink>
            <w:hyperlink w:anchor="i41da357aab9a44bda68a0f3315110a93_151">
              <w:r>
                <w:rPr>
                  <w:rStyle w:val="InternetLink"/>
                  <w:rFonts w:ascii="Times New Roman;serif" w:hAnsi="Times New Roman;serif"/>
                  <w:b w:val="false"/>
                  <w:color w:val="0000FF"/>
                  <w:sz w:val="24"/>
                  <w:u w:val="single"/>
                </w:rPr>
                <w:t>Trustee as Attorney-in-Fact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1">
              <w:r>
                <w:rPr>
                  <w:rStyle w:val="InternetLink"/>
                  <w:rFonts w:ascii="Times New Roman;serif" w:hAnsi="Times New Roman;serif"/>
                  <w:b w:val="false"/>
                  <w:color w:val="0000FF"/>
                  <w:sz w:val="24"/>
                  <w:u w:val="single"/>
                </w:rPr>
                <w:t>37</w:t>
              </w:r>
            </w:hyperlink>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4">
              <w:r>
                <w:rPr>
                  <w:rStyle w:val="InternetLink"/>
                  <w:rFonts w:ascii="Times New Roman;serif" w:hAnsi="Times New Roman;serif"/>
                  <w:b w:val="false"/>
                  <w:color w:val="0000FF"/>
                  <w:sz w:val="24"/>
                  <w:u w:val="single"/>
                </w:rPr>
                <w:t>Section 7.05</w:t>
              </w:r>
            </w:hyperlink>
            <w:hyperlink w:anchor="i41da357aab9a44bda68a0f3315110a93_154">
              <w:r>
                <w:rPr>
                  <w:rStyle w:val="InternetLink"/>
                  <w:strike w:val="false"/>
                  <w:dstrike w:val="false"/>
                  <w:color w:val="000000"/>
                  <w:u w:val="none"/>
                  <w:effect w:val="none"/>
                </w:rPr>
                <w:t>    </w:t>
              </w:r>
            </w:hyperlink>
            <w:hyperlink w:anchor="i41da357aab9a44bda68a0f3315110a93_154">
              <w:r>
                <w:rPr>
                  <w:rStyle w:val="InternetLink"/>
                  <w:rFonts w:ascii="Times New Roman;serif" w:hAnsi="Times New Roman;serif"/>
                  <w:b w:val="false"/>
                  <w:color w:val="0000FF"/>
                  <w:sz w:val="24"/>
                  <w:u w:val="single"/>
                </w:rPr>
                <w:t>Priorities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4">
              <w:r>
                <w:rPr>
                  <w:rStyle w:val="InternetLink"/>
                  <w:rFonts w:ascii="Times New Roman;serif" w:hAnsi="Times New Roman;serif"/>
                  <w:b w:val="false"/>
                  <w:color w:val="0000FF"/>
                  <w:sz w:val="24"/>
                  <w:u w:val="single"/>
                </w:rPr>
                <w:t>37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6856" w:type="dxa"/>
        <w:jc w:val="left"/>
        <w:tblInd w:w="0" w:type="dxa"/>
        <w:tblLayout w:type="fixed"/>
        <w:tblCellMar>
          <w:top w:w="28" w:type="dxa"/>
          <w:left w:w="28" w:type="dxa"/>
          <w:bottom w:w="28" w:type="dxa"/>
          <w:right w:w="28" w:type="dxa"/>
        </w:tblCellMar>
      </w:tblPr>
      <w:tblGrid>
        <w:gridCol w:w="2342"/>
        <w:gridCol w:w="2060"/>
        <w:gridCol w:w="2063"/>
        <w:gridCol w:w="114"/>
        <w:gridCol w:w="114"/>
        <w:gridCol w:w="163"/>
      </w:tblGrid>
      <w:tr>
        <w:trPr/>
        <w:tc>
          <w:tcPr>
            <w:tcW w:w="234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7">
              <w:r>
                <w:rPr>
                  <w:rStyle w:val="InternetLink"/>
                  <w:rFonts w:ascii="Times New Roman;serif" w:hAnsi="Times New Roman;serif"/>
                  <w:b w:val="false"/>
                  <w:color w:val="0000FF"/>
                  <w:sz w:val="24"/>
                  <w:u w:val="single"/>
                </w:rPr>
                <w:t>Section 7.06</w:t>
              </w:r>
            </w:hyperlink>
            <w:hyperlink w:anchor="i41da357aab9a44bda68a0f3315110a93_157">
              <w:r>
                <w:rPr>
                  <w:rStyle w:val="InternetLink"/>
                  <w:strike w:val="false"/>
                  <w:dstrike w:val="false"/>
                  <w:color w:val="000000"/>
                  <w:u w:val="none"/>
                  <w:effect w:val="none"/>
                </w:rPr>
                <w:t>    </w:t>
              </w:r>
            </w:hyperlink>
            <w:hyperlink w:anchor="i41da357aab9a44bda68a0f3315110a93_157">
              <w:r>
                <w:rPr>
                  <w:rStyle w:val="InternetLink"/>
                  <w:rFonts w:ascii="Times New Roman;serif" w:hAnsi="Times New Roman;serif"/>
                  <w:b w:val="false"/>
                  <w:color w:val="0000FF"/>
                  <w:sz w:val="24"/>
                  <w:u w:val="single"/>
                </w:rPr>
                <w:t>Control by Securityholders; Waiver of Past Defaults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57">
              <w:r>
                <w:rPr>
                  <w:rStyle w:val="InternetLink"/>
                  <w:rFonts w:ascii="Times New Roman;serif" w:hAnsi="Times New Roman;serif"/>
                  <w:b w:val="false"/>
                  <w:color w:val="0000FF"/>
                  <w:sz w:val="24"/>
                  <w:u w:val="single"/>
                </w:rPr>
                <w:t>38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0">
              <w:r>
                <w:rPr>
                  <w:rStyle w:val="InternetLink"/>
                  <w:rFonts w:ascii="Times New Roman;serif" w:hAnsi="Times New Roman;serif"/>
                  <w:b w:val="false"/>
                  <w:color w:val="0000FF"/>
                  <w:sz w:val="24"/>
                  <w:u w:val="single"/>
                </w:rPr>
                <w:t>Section 7.07</w:t>
              </w:r>
            </w:hyperlink>
            <w:hyperlink w:anchor="i41da357aab9a44bda68a0f3315110a93_160">
              <w:r>
                <w:rPr>
                  <w:rStyle w:val="InternetLink"/>
                  <w:strike w:val="false"/>
                  <w:dstrike w:val="false"/>
                  <w:color w:val="000000"/>
                  <w:u w:val="none"/>
                  <w:effect w:val="none"/>
                </w:rPr>
                <w:t>    </w:t>
              </w:r>
            </w:hyperlink>
            <w:hyperlink w:anchor="i41da357aab9a44bda68a0f3315110a93_160">
              <w:r>
                <w:rPr>
                  <w:rStyle w:val="InternetLink"/>
                  <w:rFonts w:ascii="Times New Roman;serif" w:hAnsi="Times New Roman;serif"/>
                  <w:b w:val="false"/>
                  <w:color w:val="0000FF"/>
                  <w:sz w:val="24"/>
                  <w:u w:val="single"/>
                </w:rPr>
                <w:t>Limitation on Suits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0">
              <w:r>
                <w:rPr>
                  <w:rStyle w:val="InternetLink"/>
                  <w:rFonts w:ascii="Times New Roman;serif" w:hAnsi="Times New Roman;serif"/>
                  <w:b w:val="false"/>
                  <w:color w:val="0000FF"/>
                  <w:sz w:val="24"/>
                  <w:u w:val="single"/>
                </w:rPr>
                <w:t>38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3">
              <w:r>
                <w:rPr>
                  <w:rStyle w:val="InternetLink"/>
                  <w:rFonts w:ascii="Times New Roman;serif" w:hAnsi="Times New Roman;serif"/>
                  <w:b w:val="false"/>
                  <w:color w:val="0000FF"/>
                  <w:sz w:val="24"/>
                  <w:u w:val="single"/>
                </w:rPr>
                <w:t>Section 7.08</w:t>
              </w:r>
            </w:hyperlink>
            <w:hyperlink w:anchor="i41da357aab9a44bda68a0f3315110a93_163">
              <w:r>
                <w:rPr>
                  <w:rStyle w:val="InternetLink"/>
                  <w:strike w:val="false"/>
                  <w:dstrike w:val="false"/>
                  <w:color w:val="000000"/>
                  <w:u w:val="none"/>
                  <w:effect w:val="none"/>
                </w:rPr>
                <w:t>    </w:t>
              </w:r>
            </w:hyperlink>
            <w:hyperlink w:anchor="i41da357aab9a44bda68a0f3315110a93_163">
              <w:r>
                <w:rPr>
                  <w:rStyle w:val="InternetLink"/>
                  <w:rFonts w:ascii="Times New Roman;serif" w:hAnsi="Times New Roman;serif"/>
                  <w:b w:val="false"/>
                  <w:color w:val="0000FF"/>
                  <w:sz w:val="24"/>
                  <w:u w:val="single"/>
                </w:rPr>
                <w:t>Undertaking for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3">
              <w:r>
                <w:rPr>
                  <w:rStyle w:val="InternetLink"/>
                  <w:rFonts w:ascii="Times New Roman;serif" w:hAnsi="Times New Roman;serif"/>
                  <w:b w:val="false"/>
                  <w:color w:val="0000FF"/>
                  <w:sz w:val="24"/>
                  <w:u w:val="single"/>
                </w:rPr>
                <w:t>39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6">
              <w:r>
                <w:rPr>
                  <w:rStyle w:val="InternetLink"/>
                  <w:rFonts w:ascii="Times New Roman;serif" w:hAnsi="Times New Roman;serif"/>
                  <w:b w:val="false"/>
                  <w:color w:val="0000FF"/>
                  <w:sz w:val="24"/>
                  <w:u w:val="single"/>
                </w:rPr>
                <w:t>Section 7.09</w:t>
              </w:r>
            </w:hyperlink>
            <w:hyperlink w:anchor="i41da357aab9a44bda68a0f3315110a93_166">
              <w:r>
                <w:rPr>
                  <w:rStyle w:val="InternetLink"/>
                  <w:strike w:val="false"/>
                  <w:dstrike w:val="false"/>
                  <w:color w:val="000000"/>
                  <w:u w:val="none"/>
                  <w:effect w:val="none"/>
                </w:rPr>
                <w:t>    </w:t>
              </w:r>
            </w:hyperlink>
            <w:hyperlink w:anchor="i41da357aab9a44bda68a0f3315110a93_166">
              <w:r>
                <w:rPr>
                  <w:rStyle w:val="InternetLink"/>
                  <w:rFonts w:ascii="Times New Roman;serif" w:hAnsi="Times New Roman;serif"/>
                  <w:b w:val="false"/>
                  <w:color w:val="0000FF"/>
                  <w:sz w:val="24"/>
                  <w:u w:val="single"/>
                </w:rPr>
                <w:t>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66">
              <w:r>
                <w:rPr>
                  <w:rStyle w:val="InternetLink"/>
                  <w:rFonts w:ascii="Times New Roman;serif" w:hAnsi="Times New Roman;serif"/>
                  <w:b w:val="false"/>
                  <w:color w:val="0000FF"/>
                  <w:sz w:val="24"/>
                  <w:u w:val="single"/>
                </w:rPr>
                <w:t>39</w:t>
              </w:r>
            </w:hyperlink>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69">
              <w:r>
                <w:rPr>
                  <w:rStyle w:val="InternetLink"/>
                  <w:rFonts w:ascii="Times New Roman;serif" w:hAnsi="Times New Roman;serif"/>
                  <w:b w:val="false"/>
                  <w:color w:val="000080"/>
                  <w:sz w:val="24"/>
                  <w:u w:val="single"/>
                </w:rPr>
                <w:t>ARTICLE VIII</w:t>
              </w:r>
            </w:hyperlink>
            <w:hyperlink w:anchor="i41da357aab9a44bda68a0f3315110a93_169">
              <w:r>
                <w:rPr>
                  <w:rStyle w:val="InternetLink"/>
                  <w:rFonts w:ascii="Times New Roman;serif" w:hAnsi="Times New Roman;serif"/>
                  <w:b w:val="false"/>
                  <w:color w:val="000080"/>
                  <w:sz w:val="24"/>
                  <w:u w:val="single"/>
                </w:rPr>
                <w:br/>
              </w:r>
            </w:hyperlink>
            <w:hyperlink w:anchor="i41da357aab9a44bda68a0f3315110a93_169">
              <w:r>
                <w:rPr>
                  <w:rStyle w:val="InternetLink"/>
                  <w:rFonts w:ascii="Times New Roman;serif" w:hAnsi="Times New Roman;serif"/>
                  <w:b w:val="false"/>
                  <w:color w:val="000080"/>
                  <w:sz w:val="24"/>
                  <w:u w:val="single"/>
                </w:rPr>
                <w:br/>
              </w:r>
            </w:hyperlink>
            <w:hyperlink w:anchor="i41da357aab9a44bda68a0f3315110a93_169">
              <w:r>
                <w:rPr>
                  <w:rStyle w:val="InternetLink"/>
                  <w:rFonts w:ascii="Times New Roman;serif" w:hAnsi="Times New Roman;serif"/>
                  <w:b w:val="false"/>
                  <w:color w:val="000080"/>
                  <w:sz w:val="24"/>
                  <w:u w:val="single"/>
                </w:rPr>
                <w:t>CONCERNING THE SECURITYHOLDERS</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2">
              <w:r>
                <w:rPr>
                  <w:rStyle w:val="InternetLink"/>
                  <w:rFonts w:ascii="Times New Roman;serif" w:hAnsi="Times New Roman;serif"/>
                  <w:b w:val="false"/>
                  <w:color w:val="0000FF"/>
                  <w:sz w:val="24"/>
                  <w:u w:val="single"/>
                </w:rPr>
                <w:t>Section 8.01</w:t>
              </w:r>
            </w:hyperlink>
            <w:hyperlink w:anchor="i41da357aab9a44bda68a0f3315110a93_172">
              <w:r>
                <w:rPr>
                  <w:rStyle w:val="InternetLink"/>
                  <w:strike w:val="false"/>
                  <w:dstrike w:val="false"/>
                  <w:color w:val="000000"/>
                  <w:u w:val="none"/>
                  <w:effect w:val="none"/>
                </w:rPr>
                <w:t>    </w:t>
              </w:r>
            </w:hyperlink>
            <w:hyperlink w:anchor="i41da357aab9a44bda68a0f3315110a93_172">
              <w:r>
                <w:rPr>
                  <w:rStyle w:val="InternetLink"/>
                  <w:rFonts w:ascii="Times New Roman;serif" w:hAnsi="Times New Roman;serif"/>
                  <w:b w:val="false"/>
                  <w:color w:val="0000FF"/>
                  <w:sz w:val="24"/>
                  <w:u w:val="single"/>
                </w:rPr>
                <w:t>Evidence of Action of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2">
              <w:r>
                <w:rPr>
                  <w:rStyle w:val="InternetLink"/>
                  <w:rFonts w:ascii="Times New Roman;serif" w:hAnsi="Times New Roman;serif"/>
                  <w:b w:val="false"/>
                  <w:color w:val="0000FF"/>
                  <w:sz w:val="24"/>
                  <w:u w:val="single"/>
                </w:rPr>
                <w:t>40</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5">
              <w:r>
                <w:rPr>
                  <w:rStyle w:val="InternetLink"/>
                  <w:rFonts w:ascii="Times New Roman;serif" w:hAnsi="Times New Roman;serif"/>
                  <w:b w:val="false"/>
                  <w:color w:val="0000FF"/>
                  <w:sz w:val="24"/>
                  <w:u w:val="single"/>
                </w:rPr>
                <w:t>Section 8.02</w:t>
              </w:r>
            </w:hyperlink>
            <w:hyperlink w:anchor="i41da357aab9a44bda68a0f3315110a93_175">
              <w:r>
                <w:rPr>
                  <w:rStyle w:val="InternetLink"/>
                  <w:strike w:val="false"/>
                  <w:dstrike w:val="false"/>
                  <w:color w:val="000000"/>
                  <w:u w:val="none"/>
                  <w:effect w:val="none"/>
                </w:rPr>
                <w:t>    </w:t>
              </w:r>
            </w:hyperlink>
            <w:hyperlink w:anchor="i41da357aab9a44bda68a0f3315110a93_175">
              <w:r>
                <w:rPr>
                  <w:rStyle w:val="InternetLink"/>
                  <w:rFonts w:ascii="Times New Roman;serif" w:hAnsi="Times New Roman;serif"/>
                  <w:b w:val="false"/>
                  <w:color w:val="0000FF"/>
                  <w:sz w:val="24"/>
                  <w:u w:val="single"/>
                </w:rPr>
                <w:t>Proof of Execution or Holding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5">
              <w:r>
                <w:rPr>
                  <w:rStyle w:val="InternetLink"/>
                  <w:rFonts w:ascii="Times New Roman;serif" w:hAnsi="Times New Roman;serif"/>
                  <w:b w:val="false"/>
                  <w:color w:val="0000FF"/>
                  <w:sz w:val="24"/>
                  <w:u w:val="single"/>
                </w:rPr>
                <w:t>40</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8">
              <w:r>
                <w:rPr>
                  <w:rStyle w:val="InternetLink"/>
                  <w:rFonts w:ascii="Times New Roman;serif" w:hAnsi="Times New Roman;serif"/>
                  <w:b w:val="false"/>
                  <w:color w:val="0000FF"/>
                  <w:sz w:val="24"/>
                  <w:u w:val="single"/>
                </w:rPr>
                <w:t>Section 8.03</w:t>
              </w:r>
            </w:hyperlink>
            <w:hyperlink w:anchor="i41da357aab9a44bda68a0f3315110a93_178">
              <w:r>
                <w:rPr>
                  <w:rStyle w:val="InternetLink"/>
                  <w:strike w:val="false"/>
                  <w:dstrike w:val="false"/>
                  <w:color w:val="000000"/>
                  <w:u w:val="none"/>
                  <w:effect w:val="none"/>
                </w:rPr>
                <w:t>    </w:t>
              </w:r>
            </w:hyperlink>
            <w:hyperlink w:anchor="i41da357aab9a44bda68a0f3315110a93_178">
              <w:r>
                <w:rPr>
                  <w:rStyle w:val="InternetLink"/>
                  <w:rFonts w:ascii="Times New Roman;serif" w:hAnsi="Times New Roman;serif"/>
                  <w:b w:val="false"/>
                  <w:color w:val="0000FF"/>
                  <w:sz w:val="24"/>
                  <w:u w:val="single"/>
                </w:rPr>
                <w:t>Persons Deemed Owners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78">
              <w:r>
                <w:rPr>
                  <w:rStyle w:val="InternetLink"/>
                  <w:rFonts w:ascii="Times New Roman;serif" w:hAnsi="Times New Roman;serif"/>
                  <w:b w:val="false"/>
                  <w:color w:val="0000FF"/>
                  <w:sz w:val="24"/>
                  <w:u w:val="single"/>
                </w:rPr>
                <w:t>41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81">
              <w:r>
                <w:rPr>
                  <w:rStyle w:val="InternetLink"/>
                  <w:rFonts w:ascii="Times New Roman;serif" w:hAnsi="Times New Roman;serif"/>
                  <w:b w:val="false"/>
                  <w:color w:val="0000FF"/>
                  <w:sz w:val="24"/>
                  <w:u w:val="single"/>
                </w:rPr>
                <w:t>Section 8.04</w:t>
              </w:r>
            </w:hyperlink>
            <w:hyperlink w:anchor="i41da357aab9a44bda68a0f3315110a93_181">
              <w:r>
                <w:rPr>
                  <w:rStyle w:val="InternetLink"/>
                  <w:strike w:val="false"/>
                  <w:dstrike w:val="false"/>
                  <w:color w:val="000000"/>
                  <w:u w:val="none"/>
                  <w:effect w:val="none"/>
                </w:rPr>
                <w:t>    </w:t>
              </w:r>
            </w:hyperlink>
            <w:hyperlink w:anchor="i41da357aab9a44bda68a0f3315110a93_181">
              <w:r>
                <w:rPr>
                  <w:rStyle w:val="InternetLink"/>
                  <w:rFonts w:ascii="Times New Roman;serif" w:hAnsi="Times New Roman;serif"/>
                  <w:b w:val="false"/>
                  <w:color w:val="0000FF"/>
                  <w:sz w:val="24"/>
                  <w:u w:val="single"/>
                </w:rPr>
                <w:t>Effect of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81">
              <w:r>
                <w:rPr>
                  <w:rStyle w:val="InternetLink"/>
                  <w:rFonts w:ascii="Times New Roman;serif" w:hAnsi="Times New Roman;serif"/>
                  <w:b w:val="false"/>
                  <w:color w:val="0000FF"/>
                  <w:sz w:val="24"/>
                  <w:u w:val="single"/>
                </w:rPr>
                <w:t>41</w:t>
              </w:r>
            </w:hyperlink>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184">
              <w:r>
                <w:rPr>
                  <w:rStyle w:val="InternetLink"/>
                  <w:rFonts w:ascii="Times New Roman;serif" w:hAnsi="Times New Roman;serif"/>
                  <w:b w:val="false"/>
                  <w:color w:val="000080"/>
                  <w:sz w:val="24"/>
                  <w:u w:val="single"/>
                </w:rPr>
                <w:t>ARTICLE IX</w:t>
              </w:r>
            </w:hyperlink>
            <w:hyperlink w:anchor="i41da357aab9a44bda68a0f3315110a93_184">
              <w:r>
                <w:rPr>
                  <w:rStyle w:val="InternetLink"/>
                  <w:rFonts w:ascii="Times New Roman;serif" w:hAnsi="Times New Roman;serif"/>
                  <w:b w:val="false"/>
                  <w:color w:val="000080"/>
                  <w:sz w:val="24"/>
                  <w:u w:val="single"/>
                </w:rPr>
                <w:br/>
              </w:r>
            </w:hyperlink>
            <w:hyperlink w:anchor="i41da357aab9a44bda68a0f3315110a93_184">
              <w:r>
                <w:rPr>
                  <w:rStyle w:val="InternetLink"/>
                  <w:rFonts w:ascii="Times New Roman;serif" w:hAnsi="Times New Roman;serif"/>
                  <w:b w:val="false"/>
                  <w:color w:val="000080"/>
                  <w:sz w:val="24"/>
                  <w:u w:val="single"/>
                </w:rPr>
                <w:br/>
              </w:r>
            </w:hyperlink>
            <w:hyperlink w:anchor="i41da357aab9a44bda68a0f3315110a93_184">
              <w:r>
                <w:rPr>
                  <w:rStyle w:val="InternetLink"/>
                  <w:rFonts w:ascii="Times New Roman;serif" w:hAnsi="Times New Roman;serif"/>
                  <w:b w:val="false"/>
                  <w:color w:val="000080"/>
                  <w:sz w:val="24"/>
                  <w:u w:val="single"/>
                </w:rPr>
                <w:t>SECURITYHOLDERS’ MEETINGS</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87">
              <w:r>
                <w:rPr>
                  <w:rStyle w:val="InternetLink"/>
                  <w:rFonts w:ascii="Times New Roman;serif" w:hAnsi="Times New Roman;serif"/>
                  <w:b w:val="false"/>
                  <w:color w:val="0000FF"/>
                  <w:sz w:val="24"/>
                  <w:u w:val="single"/>
                </w:rPr>
                <w:t>Section 9.01</w:t>
              </w:r>
            </w:hyperlink>
            <w:hyperlink w:anchor="i41da357aab9a44bda68a0f3315110a93_187">
              <w:r>
                <w:rPr>
                  <w:rStyle w:val="InternetLink"/>
                  <w:strike w:val="false"/>
                  <w:dstrike w:val="false"/>
                  <w:color w:val="000000"/>
                  <w:u w:val="none"/>
                  <w:effect w:val="none"/>
                </w:rPr>
                <w:t>    </w:t>
              </w:r>
            </w:hyperlink>
            <w:hyperlink w:anchor="i41da357aab9a44bda68a0f3315110a93_187">
              <w:r>
                <w:rPr>
                  <w:rStyle w:val="InternetLink"/>
                  <w:rFonts w:ascii="Times New Roman;serif" w:hAnsi="Times New Roman;serif"/>
                  <w:b w:val="false"/>
                  <w:color w:val="0000FF"/>
                  <w:sz w:val="24"/>
                  <w:u w:val="single"/>
                </w:rPr>
                <w:t>Purposes of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87">
              <w:r>
                <w:rPr>
                  <w:rStyle w:val="InternetLink"/>
                  <w:rFonts w:ascii="Times New Roman;serif" w:hAnsi="Times New Roman;serif"/>
                  <w:b w:val="false"/>
                  <w:color w:val="0000FF"/>
                  <w:sz w:val="24"/>
                  <w:u w:val="single"/>
                </w:rPr>
                <w:t>41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0">
              <w:r>
                <w:rPr>
                  <w:rStyle w:val="InternetLink"/>
                  <w:rFonts w:ascii="Times New Roman;serif" w:hAnsi="Times New Roman;serif"/>
                  <w:b w:val="false"/>
                  <w:color w:val="0000FF"/>
                  <w:sz w:val="24"/>
                  <w:u w:val="single"/>
                </w:rPr>
                <w:t>Section 9.02</w:t>
              </w:r>
            </w:hyperlink>
            <w:hyperlink w:anchor="i41da357aab9a44bda68a0f3315110a93_190">
              <w:r>
                <w:rPr>
                  <w:rStyle w:val="InternetLink"/>
                  <w:strike w:val="false"/>
                  <w:dstrike w:val="false"/>
                  <w:color w:val="000000"/>
                  <w:u w:val="none"/>
                  <w:effect w:val="none"/>
                </w:rPr>
                <w:t>    </w:t>
              </w:r>
            </w:hyperlink>
            <w:hyperlink w:anchor="i41da357aab9a44bda68a0f3315110a93_190">
              <w:r>
                <w:rPr>
                  <w:rStyle w:val="InternetLink"/>
                  <w:rFonts w:ascii="Times New Roman;serif" w:hAnsi="Times New Roman;serif"/>
                  <w:b w:val="false"/>
                  <w:color w:val="0000FF"/>
                  <w:sz w:val="24"/>
                  <w:u w:val="single"/>
                </w:rPr>
                <w:t>Call of Meetings by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0">
              <w:r>
                <w:rPr>
                  <w:rStyle w:val="InternetLink"/>
                  <w:rFonts w:ascii="Times New Roman;serif" w:hAnsi="Times New Roman;serif"/>
                  <w:b w:val="false"/>
                  <w:color w:val="0000FF"/>
                  <w:sz w:val="24"/>
                  <w:u w:val="single"/>
                </w:rPr>
                <w:t>41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3">
              <w:r>
                <w:rPr>
                  <w:rStyle w:val="InternetLink"/>
                  <w:rFonts w:ascii="Times New Roman;serif" w:hAnsi="Times New Roman;serif"/>
                  <w:b w:val="false"/>
                  <w:color w:val="0000FF"/>
                  <w:sz w:val="24"/>
                  <w:u w:val="single"/>
                </w:rPr>
                <w:t>Section 9.03</w:t>
              </w:r>
            </w:hyperlink>
            <w:hyperlink w:anchor="i41da357aab9a44bda68a0f3315110a93_193">
              <w:r>
                <w:rPr>
                  <w:rStyle w:val="InternetLink"/>
                  <w:strike w:val="false"/>
                  <w:dstrike w:val="false"/>
                  <w:color w:val="000000"/>
                  <w:u w:val="none"/>
                  <w:effect w:val="none"/>
                </w:rPr>
                <w:t>    </w:t>
              </w:r>
            </w:hyperlink>
            <w:hyperlink w:anchor="i41da357aab9a44bda68a0f3315110a93_193">
              <w:r>
                <w:rPr>
                  <w:rStyle w:val="InternetLink"/>
                  <w:rFonts w:ascii="Times New Roman;serif" w:hAnsi="Times New Roman;serif"/>
                  <w:b w:val="false"/>
                  <w:color w:val="0000FF"/>
                  <w:sz w:val="24"/>
                  <w:u w:val="single"/>
                </w:rPr>
                <w:t>Call of Meetings by Company or Securityholders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3">
              <w:r>
                <w:rPr>
                  <w:rStyle w:val="InternetLink"/>
                  <w:rFonts w:ascii="Times New Roman;serif" w:hAnsi="Times New Roman;serif"/>
                  <w:b w:val="false"/>
                  <w:color w:val="0000FF"/>
                  <w:sz w:val="24"/>
                  <w:u w:val="single"/>
                </w:rPr>
                <w:t>42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6">
              <w:r>
                <w:rPr>
                  <w:rStyle w:val="InternetLink"/>
                  <w:rFonts w:ascii="Times New Roman;serif" w:hAnsi="Times New Roman;serif"/>
                  <w:b w:val="false"/>
                  <w:color w:val="0000FF"/>
                  <w:sz w:val="24"/>
                  <w:u w:val="single"/>
                </w:rPr>
                <w:t>Section 9.04</w:t>
              </w:r>
            </w:hyperlink>
            <w:hyperlink w:anchor="i41da357aab9a44bda68a0f3315110a93_196">
              <w:r>
                <w:rPr>
                  <w:rStyle w:val="InternetLink"/>
                  <w:strike w:val="false"/>
                  <w:dstrike w:val="false"/>
                  <w:color w:val="000000"/>
                  <w:u w:val="none"/>
                  <w:effect w:val="none"/>
                </w:rPr>
                <w:t>    </w:t>
              </w:r>
            </w:hyperlink>
            <w:hyperlink w:anchor="i41da357aab9a44bda68a0f3315110a93_196">
              <w:r>
                <w:rPr>
                  <w:rStyle w:val="InternetLink"/>
                  <w:rFonts w:ascii="Times New Roman;serif" w:hAnsi="Times New Roman;serif"/>
                  <w:b w:val="false"/>
                  <w:color w:val="0000FF"/>
                  <w:sz w:val="24"/>
                  <w:u w:val="single"/>
                </w:rPr>
                <w:t>Qualifications for Voting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6">
              <w:r>
                <w:rPr>
                  <w:rStyle w:val="InternetLink"/>
                  <w:rFonts w:ascii="Times New Roman;serif" w:hAnsi="Times New Roman;serif"/>
                  <w:b w:val="false"/>
                  <w:color w:val="0000FF"/>
                  <w:sz w:val="24"/>
                  <w:u w:val="single"/>
                </w:rPr>
                <w:t>42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9">
              <w:r>
                <w:rPr>
                  <w:rStyle w:val="InternetLink"/>
                  <w:rFonts w:ascii="Times New Roman;serif" w:hAnsi="Times New Roman;serif"/>
                  <w:b w:val="false"/>
                  <w:color w:val="0000FF"/>
                  <w:sz w:val="24"/>
                  <w:u w:val="single"/>
                </w:rPr>
                <w:t>Section 9.05</w:t>
              </w:r>
            </w:hyperlink>
            <w:hyperlink w:anchor="i41da357aab9a44bda68a0f3315110a93_199">
              <w:r>
                <w:rPr>
                  <w:rStyle w:val="InternetLink"/>
                  <w:strike w:val="false"/>
                  <w:dstrike w:val="false"/>
                  <w:color w:val="000000"/>
                  <w:u w:val="none"/>
                  <w:effect w:val="none"/>
                </w:rPr>
                <w:t>    </w:t>
              </w:r>
            </w:hyperlink>
            <w:hyperlink w:anchor="i41da357aab9a44bda68a0f3315110a93_199">
              <w:r>
                <w:rPr>
                  <w:rStyle w:val="InternetLink"/>
                  <w:rFonts w:ascii="Times New Roman;serif" w:hAnsi="Times New Roman;serif"/>
                  <w:b w:val="false"/>
                  <w:color w:val="0000FF"/>
                  <w:sz w:val="24"/>
                  <w:u w:val="single"/>
                </w:rPr>
                <w:t>Regulation of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199">
              <w:r>
                <w:rPr>
                  <w:rStyle w:val="InternetLink"/>
                  <w:rFonts w:ascii="Times New Roman;serif" w:hAnsi="Times New Roman;serif"/>
                  <w:b w:val="false"/>
                  <w:color w:val="0000FF"/>
                  <w:sz w:val="24"/>
                  <w:u w:val="single"/>
                </w:rPr>
                <w:t>42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02">
              <w:r>
                <w:rPr>
                  <w:rStyle w:val="InternetLink"/>
                  <w:rFonts w:ascii="Times New Roman;serif" w:hAnsi="Times New Roman;serif"/>
                  <w:b w:val="false"/>
                  <w:color w:val="0000FF"/>
                  <w:sz w:val="24"/>
                  <w:u w:val="single"/>
                </w:rPr>
                <w:t>Section 9.06</w:t>
              </w:r>
            </w:hyperlink>
            <w:hyperlink w:anchor="i41da357aab9a44bda68a0f3315110a93_202">
              <w:r>
                <w:rPr>
                  <w:rStyle w:val="InternetLink"/>
                  <w:strike w:val="false"/>
                  <w:dstrike w:val="false"/>
                  <w:color w:val="000000"/>
                  <w:u w:val="none"/>
                  <w:effect w:val="none"/>
                </w:rPr>
                <w:t>    </w:t>
              </w:r>
            </w:hyperlink>
            <w:hyperlink w:anchor="i41da357aab9a44bda68a0f3315110a93_202">
              <w:r>
                <w:rPr>
                  <w:rStyle w:val="InternetLink"/>
                  <w:rFonts w:ascii="Times New Roman;serif" w:hAnsi="Times New Roman;serif"/>
                  <w:b w:val="false"/>
                  <w:color w:val="0000FF"/>
                  <w:sz w:val="24"/>
                  <w:u w:val="single"/>
                </w:rPr>
                <w:t>Voting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02">
              <w:r>
                <w:rPr>
                  <w:rStyle w:val="InternetLink"/>
                  <w:rFonts w:ascii="Times New Roman;serif" w:hAnsi="Times New Roman;serif"/>
                  <w:b w:val="false"/>
                  <w:color w:val="0000FF"/>
                  <w:sz w:val="24"/>
                  <w:u w:val="single"/>
                </w:rPr>
                <w:t>43</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05">
              <w:r>
                <w:rPr>
                  <w:rStyle w:val="InternetLink"/>
                  <w:rFonts w:ascii="Times New Roman;serif" w:hAnsi="Times New Roman;serif"/>
                  <w:b w:val="false"/>
                  <w:color w:val="0000FF"/>
                  <w:sz w:val="24"/>
                  <w:u w:val="single"/>
                </w:rPr>
                <w:t>Section 9.07</w:t>
              </w:r>
            </w:hyperlink>
            <w:hyperlink w:anchor="i41da357aab9a44bda68a0f3315110a93_205">
              <w:r>
                <w:rPr>
                  <w:rStyle w:val="InternetLink"/>
                  <w:strike w:val="false"/>
                  <w:dstrike w:val="false"/>
                  <w:color w:val="000000"/>
                  <w:u w:val="none"/>
                  <w:effect w:val="none"/>
                </w:rPr>
                <w:t>    </w:t>
              </w:r>
            </w:hyperlink>
            <w:hyperlink w:anchor="i41da357aab9a44bda68a0f3315110a93_205">
              <w:r>
                <w:rPr>
                  <w:rStyle w:val="InternetLink"/>
                  <w:rFonts w:ascii="Times New Roman;serif" w:hAnsi="Times New Roman;serif"/>
                  <w:b w:val="false"/>
                  <w:color w:val="0000FF"/>
                  <w:sz w:val="24"/>
                  <w:u w:val="single"/>
                </w:rPr>
                <w:t>No Delay of Rights by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05">
              <w:r>
                <w:rPr>
                  <w:rStyle w:val="InternetLink"/>
                  <w:rFonts w:ascii="Times New Roman;serif" w:hAnsi="Times New Roman;serif"/>
                  <w:b w:val="false"/>
                  <w:color w:val="0000FF"/>
                  <w:sz w:val="24"/>
                  <w:u w:val="single"/>
                </w:rPr>
                <w:t>43</w:t>
              </w:r>
            </w:hyperlink>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08">
              <w:r>
                <w:rPr>
                  <w:rStyle w:val="InternetLink"/>
                  <w:rFonts w:ascii="Times New Roman;serif" w:hAnsi="Times New Roman;serif"/>
                  <w:b w:val="false"/>
                  <w:color w:val="000080"/>
                  <w:sz w:val="24"/>
                  <w:u w:val="single"/>
                </w:rPr>
                <w:t>ARTICLE X</w:t>
              </w:r>
            </w:hyperlink>
            <w:hyperlink w:anchor="i41da357aab9a44bda68a0f3315110a93_208">
              <w:r>
                <w:rPr>
                  <w:rStyle w:val="InternetLink"/>
                  <w:rFonts w:ascii="Times New Roman;serif" w:hAnsi="Times New Roman;serif"/>
                  <w:b w:val="false"/>
                  <w:color w:val="000080"/>
                  <w:sz w:val="24"/>
                  <w:u w:val="single"/>
                </w:rPr>
                <w:br/>
              </w:r>
            </w:hyperlink>
            <w:hyperlink w:anchor="i41da357aab9a44bda68a0f3315110a93_208">
              <w:r>
                <w:rPr>
                  <w:rStyle w:val="InternetLink"/>
                  <w:rFonts w:ascii="Times New Roman;serif" w:hAnsi="Times New Roman;serif"/>
                  <w:b w:val="false"/>
                  <w:color w:val="000080"/>
                  <w:sz w:val="24"/>
                  <w:u w:val="single"/>
                </w:rPr>
                <w:br/>
              </w:r>
            </w:hyperlink>
            <w:hyperlink w:anchor="i41da357aab9a44bda68a0f3315110a93_208">
              <w:r>
                <w:rPr>
                  <w:rStyle w:val="InternetLink"/>
                  <w:rFonts w:ascii="Times New Roman;serif" w:hAnsi="Times New Roman;serif"/>
                  <w:b w:val="false"/>
                  <w:color w:val="000080"/>
                  <w:sz w:val="24"/>
                  <w:u w:val="single"/>
                </w:rPr>
                <w:t>REPORTS BY THE COMPANY AND THE TRUSTEE AND</w:t>
              </w:r>
            </w:hyperlink>
            <w:hyperlink w:anchor="i41da357aab9a44bda68a0f3315110a93_208">
              <w:r>
                <w:rPr>
                  <w:rStyle w:val="InternetLink"/>
                  <w:rFonts w:ascii="Times New Roman;serif" w:hAnsi="Times New Roman;serif"/>
                  <w:b w:val="false"/>
                  <w:color w:val="000080"/>
                  <w:sz w:val="24"/>
                  <w:u w:val="single"/>
                </w:rPr>
                <w:br/>
              </w:r>
            </w:hyperlink>
            <w:hyperlink w:anchor="i41da357aab9a44bda68a0f3315110a93_208">
              <w:r>
                <w:rPr>
                  <w:rStyle w:val="InternetLink"/>
                  <w:rFonts w:ascii="Times New Roman;serif" w:hAnsi="Times New Roman;serif"/>
                  <w:b w:val="false"/>
                  <w:color w:val="000080"/>
                  <w:sz w:val="24"/>
                  <w:u w:val="single"/>
                </w:rPr>
                <w:t>SECURITYHOLDERS’ LISTS</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1">
              <w:r>
                <w:rPr>
                  <w:rStyle w:val="InternetLink"/>
                  <w:rFonts w:ascii="Times New Roman;serif" w:hAnsi="Times New Roman;serif"/>
                  <w:b w:val="false"/>
                  <w:color w:val="0000FF"/>
                  <w:sz w:val="24"/>
                  <w:u w:val="single"/>
                </w:rPr>
                <w:t>Section 10.01</w:t>
              </w:r>
            </w:hyperlink>
            <w:hyperlink w:anchor="i41da357aab9a44bda68a0f3315110a93_211">
              <w:r>
                <w:rPr>
                  <w:rStyle w:val="InternetLink"/>
                  <w:strike w:val="false"/>
                  <w:dstrike w:val="false"/>
                  <w:color w:val="000000"/>
                  <w:u w:val="none"/>
                  <w:effect w:val="none"/>
                </w:rPr>
                <w:t>    </w:t>
              </w:r>
            </w:hyperlink>
            <w:hyperlink w:anchor="i41da357aab9a44bda68a0f3315110a93_211">
              <w:r>
                <w:rPr>
                  <w:rStyle w:val="InternetLink"/>
                  <w:rFonts w:ascii="Times New Roman;serif" w:hAnsi="Times New Roman;serif"/>
                  <w:b w:val="false"/>
                  <w:color w:val="0000FF"/>
                  <w:sz w:val="24"/>
                  <w:u w:val="single"/>
                </w:rPr>
                <w:t>Reports by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1">
              <w:r>
                <w:rPr>
                  <w:rStyle w:val="InternetLink"/>
                  <w:rFonts w:ascii="Times New Roman;serif" w:hAnsi="Times New Roman;serif"/>
                  <w:b w:val="false"/>
                  <w:color w:val="0000FF"/>
                  <w:sz w:val="24"/>
                  <w:u w:val="single"/>
                </w:rPr>
                <w:t>43</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4">
              <w:r>
                <w:rPr>
                  <w:rStyle w:val="InternetLink"/>
                  <w:rFonts w:ascii="Times New Roman;serif" w:hAnsi="Times New Roman;serif"/>
                  <w:b w:val="false"/>
                  <w:color w:val="0000FF"/>
                  <w:sz w:val="24"/>
                  <w:u w:val="single"/>
                </w:rPr>
                <w:t>Section 10.02</w:t>
              </w:r>
            </w:hyperlink>
            <w:hyperlink w:anchor="i41da357aab9a44bda68a0f3315110a93_214">
              <w:r>
                <w:rPr>
                  <w:rStyle w:val="InternetLink"/>
                  <w:strike w:val="false"/>
                  <w:dstrike w:val="false"/>
                  <w:color w:val="000000"/>
                  <w:u w:val="none"/>
                  <w:effect w:val="none"/>
                </w:rPr>
                <w:t>    </w:t>
              </w:r>
            </w:hyperlink>
            <w:hyperlink w:anchor="i41da357aab9a44bda68a0f3315110a93_214">
              <w:r>
                <w:rPr>
                  <w:rStyle w:val="InternetLink"/>
                  <w:rFonts w:ascii="Times New Roman;serif" w:hAnsi="Times New Roman;serif"/>
                  <w:b w:val="false"/>
                  <w:color w:val="0000FF"/>
                  <w:sz w:val="24"/>
                  <w:u w:val="single"/>
                </w:rPr>
                <w:t>Reports by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4">
              <w:r>
                <w:rPr>
                  <w:rStyle w:val="InternetLink"/>
                  <w:rFonts w:ascii="Times New Roman;serif" w:hAnsi="Times New Roman;serif"/>
                  <w:b w:val="false"/>
                  <w:color w:val="0000FF"/>
                  <w:sz w:val="24"/>
                  <w:u w:val="single"/>
                </w:rPr>
                <w:t>44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7">
              <w:r>
                <w:rPr>
                  <w:rStyle w:val="InternetLink"/>
                  <w:rFonts w:ascii="Times New Roman;serif" w:hAnsi="Times New Roman;serif"/>
                  <w:b w:val="false"/>
                  <w:color w:val="0000FF"/>
                  <w:sz w:val="24"/>
                  <w:u w:val="single"/>
                </w:rPr>
                <w:t>Section 10.03</w:t>
              </w:r>
            </w:hyperlink>
            <w:hyperlink w:anchor="i41da357aab9a44bda68a0f3315110a93_217">
              <w:r>
                <w:rPr>
                  <w:rStyle w:val="InternetLink"/>
                  <w:strike w:val="false"/>
                  <w:dstrike w:val="false"/>
                  <w:color w:val="000000"/>
                  <w:u w:val="none"/>
                  <w:effect w:val="none"/>
                </w:rPr>
                <w:t>    </w:t>
              </w:r>
            </w:hyperlink>
            <w:hyperlink w:anchor="i41da357aab9a44bda68a0f3315110a93_217">
              <w:r>
                <w:rPr>
                  <w:rStyle w:val="InternetLink"/>
                  <w:rFonts w:ascii="Times New Roman;serif" w:hAnsi="Times New Roman;serif"/>
                  <w:b w:val="false"/>
                  <w:color w:val="0000FF"/>
                  <w:sz w:val="24"/>
                  <w:u w:val="single"/>
                </w:rPr>
                <w:t>Securityholders’ Lists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17">
              <w:r>
                <w:rPr>
                  <w:rStyle w:val="InternetLink"/>
                  <w:rFonts w:ascii="Times New Roman;serif" w:hAnsi="Times New Roman;serif"/>
                  <w:b w:val="false"/>
                  <w:color w:val="0000FF"/>
                  <w:sz w:val="24"/>
                  <w:u w:val="single"/>
                </w:rPr>
                <w:t>44</w:t>
              </w:r>
            </w:hyperlink>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20">
              <w:r>
                <w:rPr>
                  <w:rStyle w:val="InternetLink"/>
                  <w:rFonts w:ascii="Times New Roman;serif" w:hAnsi="Times New Roman;serif"/>
                  <w:b w:val="false"/>
                  <w:color w:val="000080"/>
                  <w:sz w:val="24"/>
                  <w:u w:val="single"/>
                </w:rPr>
                <w:t>ARTICLE XI</w:t>
              </w:r>
            </w:hyperlink>
            <w:hyperlink w:anchor="i41da357aab9a44bda68a0f3315110a93_220">
              <w:r>
                <w:rPr>
                  <w:rStyle w:val="InternetLink"/>
                  <w:rFonts w:ascii="Times New Roman;serif" w:hAnsi="Times New Roman;serif"/>
                  <w:b w:val="false"/>
                  <w:color w:val="000080"/>
                  <w:sz w:val="24"/>
                  <w:u w:val="single"/>
                </w:rPr>
                <w:br/>
              </w:r>
            </w:hyperlink>
            <w:hyperlink w:anchor="i41da357aab9a44bda68a0f3315110a93_220">
              <w:r>
                <w:rPr>
                  <w:rStyle w:val="InternetLink"/>
                  <w:rFonts w:ascii="Times New Roman;serif" w:hAnsi="Times New Roman;serif"/>
                  <w:b w:val="false"/>
                  <w:color w:val="000080"/>
                  <w:sz w:val="24"/>
                  <w:u w:val="single"/>
                </w:rPr>
                <w:br/>
              </w:r>
            </w:hyperlink>
            <w:hyperlink w:anchor="i41da357aab9a44bda68a0f3315110a93_220">
              <w:r>
                <w:rPr>
                  <w:rStyle w:val="InternetLink"/>
                  <w:rFonts w:ascii="Times New Roman;serif" w:hAnsi="Times New Roman;serif"/>
                  <w:b w:val="false"/>
                  <w:color w:val="000080"/>
                  <w:sz w:val="24"/>
                  <w:u w:val="single"/>
                </w:rPr>
                <w:t>CONCERNING THE TRUSTEE</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3">
              <w:r>
                <w:rPr>
                  <w:rStyle w:val="InternetLink"/>
                  <w:rFonts w:ascii="Times New Roman;serif" w:hAnsi="Times New Roman;serif"/>
                  <w:b w:val="false"/>
                  <w:color w:val="0000FF"/>
                  <w:sz w:val="24"/>
                  <w:u w:val="single"/>
                </w:rPr>
                <w:t>Section 11.01</w:t>
              </w:r>
            </w:hyperlink>
            <w:hyperlink w:anchor="i41da357aab9a44bda68a0f3315110a93_223">
              <w:r>
                <w:rPr>
                  <w:rStyle w:val="InternetLink"/>
                  <w:strike w:val="false"/>
                  <w:dstrike w:val="false"/>
                  <w:color w:val="000000"/>
                  <w:u w:val="none"/>
                  <w:effect w:val="none"/>
                </w:rPr>
                <w:t>    </w:t>
              </w:r>
            </w:hyperlink>
            <w:hyperlink w:anchor="i41da357aab9a44bda68a0f3315110a93_223">
              <w:r>
                <w:rPr>
                  <w:rStyle w:val="InternetLink"/>
                  <w:rFonts w:ascii="Times New Roman;serif" w:hAnsi="Times New Roman;serif"/>
                  <w:b w:val="false"/>
                  <w:color w:val="0000FF"/>
                  <w:sz w:val="24"/>
                  <w:u w:val="single"/>
                </w:rPr>
                <w:t>Rights of Trustees; Compensation and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3">
              <w:r>
                <w:rPr>
                  <w:rStyle w:val="InternetLink"/>
                  <w:rFonts w:ascii="Times New Roman;serif" w:hAnsi="Times New Roman;serif"/>
                  <w:b w:val="false"/>
                  <w:color w:val="0000FF"/>
                  <w:sz w:val="24"/>
                  <w:u w:val="single"/>
                </w:rPr>
                <w:t>44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6">
              <w:r>
                <w:rPr>
                  <w:rStyle w:val="InternetLink"/>
                  <w:rFonts w:ascii="Times New Roman;serif" w:hAnsi="Times New Roman;serif"/>
                  <w:b w:val="false"/>
                  <w:color w:val="0000FF"/>
                  <w:sz w:val="24"/>
                  <w:u w:val="single"/>
                </w:rPr>
                <w:t>Section 11.02</w:t>
              </w:r>
            </w:hyperlink>
            <w:hyperlink w:anchor="i41da357aab9a44bda68a0f3315110a93_226">
              <w:r>
                <w:rPr>
                  <w:rStyle w:val="InternetLink"/>
                  <w:strike w:val="false"/>
                  <w:dstrike w:val="false"/>
                  <w:color w:val="000000"/>
                  <w:u w:val="none"/>
                  <w:effect w:val="none"/>
                </w:rPr>
                <w:t>    </w:t>
              </w:r>
            </w:hyperlink>
            <w:hyperlink w:anchor="i41da357aab9a44bda68a0f3315110a93_226">
              <w:r>
                <w:rPr>
                  <w:rStyle w:val="InternetLink"/>
                  <w:rFonts w:ascii="Times New Roman;serif" w:hAnsi="Times New Roman;serif"/>
                  <w:b w:val="false"/>
                  <w:color w:val="0000FF"/>
                  <w:sz w:val="24"/>
                  <w:u w:val="single"/>
                </w:rPr>
                <w:t>Duties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6">
              <w:r>
                <w:rPr>
                  <w:rStyle w:val="InternetLink"/>
                  <w:rFonts w:ascii="Times New Roman;serif" w:hAnsi="Times New Roman;serif"/>
                  <w:b w:val="false"/>
                  <w:color w:val="0000FF"/>
                  <w:sz w:val="24"/>
                  <w:u w:val="single"/>
                </w:rPr>
                <w:t>47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9">
              <w:r>
                <w:rPr>
                  <w:rStyle w:val="InternetLink"/>
                  <w:rFonts w:ascii="Times New Roman;serif" w:hAnsi="Times New Roman;serif"/>
                  <w:b w:val="false"/>
                  <w:color w:val="0000FF"/>
                  <w:sz w:val="24"/>
                  <w:u w:val="single"/>
                </w:rPr>
                <w:t>Section 11.03</w:t>
              </w:r>
            </w:hyperlink>
            <w:hyperlink w:anchor="i41da357aab9a44bda68a0f3315110a93_229">
              <w:r>
                <w:rPr>
                  <w:rStyle w:val="InternetLink"/>
                  <w:strike w:val="false"/>
                  <w:dstrike w:val="false"/>
                  <w:color w:val="000000"/>
                  <w:u w:val="none"/>
                  <w:effect w:val="none"/>
                </w:rPr>
                <w:t>    </w:t>
              </w:r>
            </w:hyperlink>
            <w:hyperlink w:anchor="i41da357aab9a44bda68a0f3315110a93_229">
              <w:r>
                <w:rPr>
                  <w:rStyle w:val="InternetLink"/>
                  <w:rFonts w:ascii="Times New Roman;serif" w:hAnsi="Times New Roman;serif"/>
                  <w:b w:val="false"/>
                  <w:color w:val="0000FF"/>
                  <w:sz w:val="24"/>
                  <w:u w:val="single"/>
                </w:rPr>
                <w:t>Notice of Defaults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29">
              <w:r>
                <w:rPr>
                  <w:rStyle w:val="InternetLink"/>
                  <w:rFonts w:ascii="Times New Roman;serif" w:hAnsi="Times New Roman;serif"/>
                  <w:b w:val="false"/>
                  <w:color w:val="0000FF"/>
                  <w:sz w:val="24"/>
                  <w:u w:val="single"/>
                </w:rPr>
                <w:t>48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2">
              <w:r>
                <w:rPr>
                  <w:rStyle w:val="InternetLink"/>
                  <w:rFonts w:ascii="Times New Roman;serif" w:hAnsi="Times New Roman;serif"/>
                  <w:b w:val="false"/>
                  <w:color w:val="0000FF"/>
                  <w:sz w:val="24"/>
                  <w:u w:val="single"/>
                </w:rPr>
                <w:t>Section 11.04</w:t>
              </w:r>
            </w:hyperlink>
            <w:hyperlink w:anchor="i41da357aab9a44bda68a0f3315110a93_232">
              <w:r>
                <w:rPr>
                  <w:rStyle w:val="InternetLink"/>
                  <w:strike w:val="false"/>
                  <w:dstrike w:val="false"/>
                  <w:color w:val="000000"/>
                  <w:u w:val="none"/>
                  <w:effect w:val="none"/>
                </w:rPr>
                <w:t>    </w:t>
              </w:r>
            </w:hyperlink>
            <w:hyperlink w:anchor="i41da357aab9a44bda68a0f3315110a93_232">
              <w:r>
                <w:rPr>
                  <w:rStyle w:val="InternetLink"/>
                  <w:rFonts w:ascii="Times New Roman;serif" w:hAnsi="Times New Roman;serif"/>
                  <w:b w:val="false"/>
                  <w:color w:val="0000FF"/>
                  <w:sz w:val="24"/>
                  <w:u w:val="single"/>
                </w:rPr>
                <w:t>Eligibility; Disqualification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2">
              <w:r>
                <w:rPr>
                  <w:rStyle w:val="InternetLink"/>
                  <w:rFonts w:ascii="Times New Roman;serif" w:hAnsi="Times New Roman;serif"/>
                  <w:b w:val="false"/>
                  <w:color w:val="0000FF"/>
                  <w:sz w:val="24"/>
                  <w:u w:val="single"/>
                </w:rPr>
                <w:t>48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5">
              <w:r>
                <w:rPr>
                  <w:rStyle w:val="InternetLink"/>
                  <w:rFonts w:ascii="Times New Roman;serif" w:hAnsi="Times New Roman;serif"/>
                  <w:b w:val="false"/>
                  <w:color w:val="0000FF"/>
                  <w:sz w:val="24"/>
                  <w:u w:val="single"/>
                </w:rPr>
                <w:t>Section 11.05</w:t>
              </w:r>
            </w:hyperlink>
            <w:hyperlink w:anchor="i41da357aab9a44bda68a0f3315110a93_235">
              <w:r>
                <w:rPr>
                  <w:rStyle w:val="InternetLink"/>
                  <w:strike w:val="false"/>
                  <w:dstrike w:val="false"/>
                  <w:color w:val="000000"/>
                  <w:u w:val="none"/>
                  <w:effect w:val="none"/>
                </w:rPr>
                <w:t>    </w:t>
              </w:r>
            </w:hyperlink>
            <w:hyperlink w:anchor="i41da357aab9a44bda68a0f3315110a93_235">
              <w:r>
                <w:rPr>
                  <w:rStyle w:val="InternetLink"/>
                  <w:rFonts w:ascii="Times New Roman;serif" w:hAnsi="Times New Roman;serif"/>
                  <w:b w:val="false"/>
                  <w:color w:val="0000FF"/>
                  <w:sz w:val="24"/>
                  <w:u w:val="single"/>
                </w:rPr>
                <w:t>Resignation and Notice; Removal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5">
              <w:r>
                <w:rPr>
                  <w:rStyle w:val="InternetLink"/>
                  <w:rFonts w:ascii="Times New Roman;serif" w:hAnsi="Times New Roman;serif"/>
                  <w:b w:val="false"/>
                  <w:color w:val="0000FF"/>
                  <w:sz w:val="24"/>
                  <w:u w:val="single"/>
                </w:rPr>
                <w:t>49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09"/>
        <w:gridCol w:w="3098"/>
        <w:gridCol w:w="3105"/>
        <w:gridCol w:w="114"/>
        <w:gridCol w:w="114"/>
        <w:gridCol w:w="165"/>
      </w:tblGrid>
      <w:tr>
        <w:trPr/>
        <w:tc>
          <w:tcPr>
            <w:tcW w:w="360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8">
              <w:r>
                <w:rPr>
                  <w:rStyle w:val="InternetLink"/>
                  <w:rFonts w:ascii="Times New Roman;serif" w:hAnsi="Times New Roman;serif"/>
                  <w:b w:val="false"/>
                  <w:color w:val="0000FF"/>
                  <w:sz w:val="24"/>
                  <w:u w:val="single"/>
                </w:rPr>
                <w:t>Section 11.06</w:t>
              </w:r>
            </w:hyperlink>
            <w:hyperlink w:anchor="i41da357aab9a44bda68a0f3315110a93_238">
              <w:r>
                <w:rPr>
                  <w:rStyle w:val="InternetLink"/>
                  <w:strike w:val="false"/>
                  <w:dstrike w:val="false"/>
                  <w:color w:val="000000"/>
                  <w:u w:val="none"/>
                  <w:effect w:val="none"/>
                </w:rPr>
                <w:t>    </w:t>
              </w:r>
            </w:hyperlink>
            <w:hyperlink w:anchor="i41da357aab9a44bda68a0f3315110a93_238">
              <w:r>
                <w:rPr>
                  <w:rStyle w:val="InternetLink"/>
                  <w:rFonts w:ascii="Times New Roman;serif" w:hAnsi="Times New Roman;serif"/>
                  <w:b w:val="false"/>
                  <w:color w:val="0000FF"/>
                  <w:sz w:val="24"/>
                  <w:u w:val="single"/>
                </w:rPr>
                <w:t>Successor Trustee by Appointment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38">
              <w:r>
                <w:rPr>
                  <w:rStyle w:val="InternetLink"/>
                  <w:rFonts w:ascii="Times New Roman;serif" w:hAnsi="Times New Roman;serif"/>
                  <w:b w:val="false"/>
                  <w:color w:val="0000FF"/>
                  <w:sz w:val="24"/>
                  <w:u w:val="singl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1">
              <w:r>
                <w:rPr>
                  <w:rStyle w:val="InternetLink"/>
                  <w:rFonts w:ascii="Times New Roman;serif" w:hAnsi="Times New Roman;serif"/>
                  <w:b w:val="false"/>
                  <w:color w:val="0000FF"/>
                  <w:sz w:val="24"/>
                  <w:u w:val="single"/>
                </w:rPr>
                <w:t>Section 11.07</w:t>
              </w:r>
            </w:hyperlink>
            <w:hyperlink w:anchor="i41da357aab9a44bda68a0f3315110a93_241">
              <w:r>
                <w:rPr>
                  <w:rStyle w:val="InternetLink"/>
                  <w:strike w:val="false"/>
                  <w:dstrike w:val="false"/>
                  <w:color w:val="000000"/>
                  <w:u w:val="none"/>
                  <w:effect w:val="none"/>
                </w:rPr>
                <w:t>    </w:t>
              </w:r>
            </w:hyperlink>
            <w:hyperlink w:anchor="i41da357aab9a44bda68a0f3315110a93_241">
              <w:r>
                <w:rPr>
                  <w:rStyle w:val="InternetLink"/>
                  <w:rFonts w:ascii="Times New Roman;serif" w:hAnsi="Times New Roman;serif"/>
                  <w:b w:val="false"/>
                  <w:color w:val="0000FF"/>
                  <w:sz w:val="24"/>
                  <w:u w:val="single"/>
                </w:rPr>
                <w:t>Successor Trustee by Merger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1">
              <w:r>
                <w:rPr>
                  <w:rStyle w:val="InternetLink"/>
                  <w:rFonts w:ascii="Times New Roman;serif" w:hAnsi="Times New Roman;serif"/>
                  <w:b w:val="false"/>
                  <w:color w:val="0000FF"/>
                  <w:sz w:val="24"/>
                  <w:u w:val="singl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4">
              <w:r>
                <w:rPr>
                  <w:rStyle w:val="InternetLink"/>
                  <w:rFonts w:ascii="Times New Roman;serif" w:hAnsi="Times New Roman;serif"/>
                  <w:b w:val="false"/>
                  <w:color w:val="0000FF"/>
                  <w:sz w:val="24"/>
                  <w:u w:val="single"/>
                </w:rPr>
                <w:t>Section 11.08</w:t>
              </w:r>
            </w:hyperlink>
            <w:hyperlink w:anchor="i41da357aab9a44bda68a0f3315110a93_244">
              <w:r>
                <w:rPr>
                  <w:rStyle w:val="InternetLink"/>
                  <w:strike w:val="false"/>
                  <w:dstrike w:val="false"/>
                  <w:color w:val="000000"/>
                  <w:u w:val="none"/>
                  <w:effect w:val="none"/>
                </w:rPr>
                <w:t>    </w:t>
              </w:r>
            </w:hyperlink>
            <w:hyperlink w:anchor="i41da357aab9a44bda68a0f3315110a93_244">
              <w:r>
                <w:rPr>
                  <w:rStyle w:val="InternetLink"/>
                  <w:rFonts w:ascii="Times New Roman;serif" w:hAnsi="Times New Roman;serif"/>
                  <w:b w:val="false"/>
                  <w:color w:val="0000FF"/>
                  <w:sz w:val="24"/>
                  <w:u w:val="single"/>
                </w:rPr>
                <w:t>Right to Rely on Officer’s Certificate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4">
              <w:r>
                <w:rPr>
                  <w:rStyle w:val="InternetLink"/>
                  <w:rFonts w:ascii="Times New Roman;serif" w:hAnsi="Times New Roman;serif"/>
                  <w:b w:val="false"/>
                  <w:color w:val="0000FF"/>
                  <w:sz w:val="24"/>
                  <w:u w:val="singl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7">
              <w:r>
                <w:rPr>
                  <w:rStyle w:val="InternetLink"/>
                  <w:rFonts w:ascii="Times New Roman;serif" w:hAnsi="Times New Roman;serif"/>
                  <w:b w:val="false"/>
                  <w:color w:val="0000FF"/>
                  <w:sz w:val="24"/>
                  <w:u w:val="single"/>
                </w:rPr>
                <w:t>Section 11.09</w:t>
              </w:r>
            </w:hyperlink>
            <w:hyperlink w:anchor="i41da357aab9a44bda68a0f3315110a93_247">
              <w:r>
                <w:rPr>
                  <w:rStyle w:val="InternetLink"/>
                  <w:strike w:val="false"/>
                  <w:dstrike w:val="false"/>
                  <w:color w:val="000000"/>
                  <w:u w:val="none"/>
                  <w:effect w:val="none"/>
                </w:rPr>
                <w:t>    </w:t>
              </w:r>
            </w:hyperlink>
            <w:hyperlink w:anchor="i41da357aab9a44bda68a0f3315110a93_247">
              <w:r>
                <w:rPr>
                  <w:rStyle w:val="InternetLink"/>
                  <w:rFonts w:ascii="Times New Roman;serif" w:hAnsi="Times New Roman;serif"/>
                  <w:b w:val="false"/>
                  <w:color w:val="0000FF"/>
                  <w:sz w:val="24"/>
                  <w:u w:val="single"/>
                </w:rPr>
                <w:t>Appointment of Authenticating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47">
              <w:r>
                <w:rPr>
                  <w:rStyle w:val="InternetLink"/>
                  <w:rFonts w:ascii="Times New Roman;serif" w:hAnsi="Times New Roman;serif"/>
                  <w:b w:val="false"/>
                  <w:color w:val="0000FF"/>
                  <w:sz w:val="24"/>
                  <w:u w:val="singl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0">
              <w:r>
                <w:rPr>
                  <w:rStyle w:val="InternetLink"/>
                  <w:rFonts w:ascii="Times New Roman;serif" w:hAnsi="Times New Roman;serif"/>
                  <w:b w:val="false"/>
                  <w:color w:val="0000FF"/>
                  <w:sz w:val="24"/>
                  <w:u w:val="single"/>
                </w:rPr>
                <w:t>Section 11.10</w:t>
              </w:r>
            </w:hyperlink>
            <w:hyperlink w:anchor="i41da357aab9a44bda68a0f3315110a93_250">
              <w:r>
                <w:rPr>
                  <w:rStyle w:val="InternetLink"/>
                  <w:strike w:val="false"/>
                  <w:dstrike w:val="false"/>
                  <w:color w:val="000000"/>
                  <w:u w:val="none"/>
                  <w:effect w:val="none"/>
                </w:rPr>
                <w:t>    </w:t>
              </w:r>
            </w:hyperlink>
            <w:hyperlink w:anchor="i41da357aab9a44bda68a0f3315110a93_250">
              <w:r>
                <w:rPr>
                  <w:rStyle w:val="InternetLink"/>
                  <w:rFonts w:ascii="Times New Roman;serif" w:hAnsi="Times New Roman;serif"/>
                  <w:b w:val="false"/>
                  <w:color w:val="0000FF"/>
                  <w:sz w:val="24"/>
                  <w:u w:val="single"/>
                </w:rPr>
                <w:t>Communications by Securityholders with Other Securityholders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0">
              <w:r>
                <w:rPr>
                  <w:rStyle w:val="InternetLink"/>
                  <w:rFonts w:ascii="Times New Roman;serif" w:hAnsi="Times New Roman;serif"/>
                  <w:b w:val="false"/>
                  <w:color w:val="0000FF"/>
                  <w:sz w:val="24"/>
                  <w:u w:val="single"/>
                </w:rPr>
                <w:t>52</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53">
              <w:r>
                <w:rPr>
                  <w:rStyle w:val="InternetLink"/>
                  <w:rFonts w:ascii="Times New Roman;serif" w:hAnsi="Times New Roman;serif"/>
                  <w:b w:val="false"/>
                  <w:color w:val="000080"/>
                  <w:sz w:val="24"/>
                  <w:u w:val="single"/>
                </w:rPr>
                <w:t>ARTICLE XII</w:t>
              </w:r>
            </w:hyperlink>
            <w:hyperlink w:anchor="i41da357aab9a44bda68a0f3315110a93_253">
              <w:r>
                <w:rPr>
                  <w:rStyle w:val="InternetLink"/>
                  <w:rFonts w:ascii="Times New Roman;serif" w:hAnsi="Times New Roman;serif"/>
                  <w:b w:val="false"/>
                  <w:color w:val="000080"/>
                  <w:sz w:val="24"/>
                  <w:u w:val="single"/>
                </w:rPr>
                <w:br/>
              </w:r>
            </w:hyperlink>
            <w:hyperlink w:anchor="i41da357aab9a44bda68a0f3315110a93_253">
              <w:r>
                <w:rPr>
                  <w:rStyle w:val="InternetLink"/>
                  <w:rFonts w:ascii="Times New Roman;serif" w:hAnsi="Times New Roman;serif"/>
                  <w:b w:val="false"/>
                  <w:color w:val="000080"/>
                  <w:sz w:val="24"/>
                  <w:u w:val="single"/>
                </w:rPr>
                <w:br/>
              </w:r>
            </w:hyperlink>
            <w:hyperlink w:anchor="i41da357aab9a44bda68a0f3315110a93_253">
              <w:r>
                <w:rPr>
                  <w:rStyle w:val="InternetLink"/>
                  <w:rFonts w:ascii="Times New Roman;serif" w:hAnsi="Times New Roman;serif"/>
                  <w:b w:val="false"/>
                  <w:color w:val="000080"/>
                  <w:sz w:val="24"/>
                  <w:u w:val="single"/>
                </w:rPr>
                <w:t>SATISFACTION AND DISCHARGE; DEFEASANCE</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6">
              <w:r>
                <w:rPr>
                  <w:rStyle w:val="InternetLink"/>
                  <w:rFonts w:ascii="Times New Roman;serif" w:hAnsi="Times New Roman;serif"/>
                  <w:b w:val="false"/>
                  <w:color w:val="0000FF"/>
                  <w:sz w:val="24"/>
                  <w:u w:val="single"/>
                </w:rPr>
                <w:t>Section 12.01</w:t>
              </w:r>
            </w:hyperlink>
            <w:hyperlink w:anchor="i41da357aab9a44bda68a0f3315110a93_256">
              <w:r>
                <w:rPr>
                  <w:rStyle w:val="InternetLink"/>
                  <w:strike w:val="false"/>
                  <w:dstrike w:val="false"/>
                  <w:color w:val="000000"/>
                  <w:u w:val="none"/>
                  <w:effect w:val="none"/>
                </w:rPr>
                <w:t>    </w:t>
              </w:r>
            </w:hyperlink>
            <w:hyperlink w:anchor="i41da357aab9a44bda68a0f3315110a93_256">
              <w:r>
                <w:rPr>
                  <w:rStyle w:val="InternetLink"/>
                  <w:rFonts w:ascii="Times New Roman;serif" w:hAnsi="Times New Roman;serif"/>
                  <w:b w:val="false"/>
                  <w:color w:val="0000FF"/>
                  <w:sz w:val="24"/>
                  <w:u w:val="single"/>
                </w:rPr>
                <w:t>Applicability of Article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6">
              <w:r>
                <w:rPr>
                  <w:rStyle w:val="InternetLink"/>
                  <w:rFonts w:ascii="Times New Roman;serif" w:hAnsi="Times New Roman;serif"/>
                  <w:b w:val="false"/>
                  <w:color w:val="0000FF"/>
                  <w:sz w:val="24"/>
                  <w:u w:val="singl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9">
              <w:r>
                <w:rPr>
                  <w:rStyle w:val="InternetLink"/>
                  <w:rFonts w:ascii="Times New Roman;serif" w:hAnsi="Times New Roman;serif"/>
                  <w:b w:val="false"/>
                  <w:color w:val="0000FF"/>
                  <w:sz w:val="24"/>
                  <w:u w:val="single"/>
                </w:rPr>
                <w:t>Section 12.02</w:t>
              </w:r>
            </w:hyperlink>
            <w:hyperlink w:anchor="i41da357aab9a44bda68a0f3315110a93_259">
              <w:r>
                <w:rPr>
                  <w:rStyle w:val="InternetLink"/>
                  <w:strike w:val="false"/>
                  <w:dstrike w:val="false"/>
                  <w:color w:val="000000"/>
                  <w:u w:val="none"/>
                  <w:effect w:val="none"/>
                </w:rPr>
                <w:t>    </w:t>
              </w:r>
            </w:hyperlink>
            <w:hyperlink w:anchor="i41da357aab9a44bda68a0f3315110a93_259">
              <w:r>
                <w:rPr>
                  <w:rStyle w:val="InternetLink"/>
                  <w:rFonts w:ascii="Times New Roman;serif" w:hAnsi="Times New Roman;serif"/>
                  <w:b w:val="false"/>
                  <w:color w:val="0000FF"/>
                  <w:sz w:val="24"/>
                  <w:u w:val="single"/>
                </w:rPr>
                <w:t>Satisfaction and Discharge of Indenture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59">
              <w:r>
                <w:rPr>
                  <w:rStyle w:val="InternetLink"/>
                  <w:rFonts w:ascii="Times New Roman;serif" w:hAnsi="Times New Roman;serif"/>
                  <w:b w:val="false"/>
                  <w:color w:val="0000FF"/>
                  <w:sz w:val="24"/>
                  <w:u w:val="singl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2">
              <w:r>
                <w:rPr>
                  <w:rStyle w:val="InternetLink"/>
                  <w:rFonts w:ascii="Times New Roman;serif" w:hAnsi="Times New Roman;serif"/>
                  <w:b w:val="false"/>
                  <w:color w:val="0000FF"/>
                  <w:sz w:val="24"/>
                  <w:u w:val="single"/>
                </w:rPr>
                <w:t>Section 12.03</w:t>
              </w:r>
            </w:hyperlink>
            <w:hyperlink w:anchor="i41da357aab9a44bda68a0f3315110a93_262">
              <w:r>
                <w:rPr>
                  <w:rStyle w:val="InternetLink"/>
                  <w:strike w:val="false"/>
                  <w:dstrike w:val="false"/>
                  <w:color w:val="000000"/>
                  <w:u w:val="none"/>
                  <w:effect w:val="none"/>
                </w:rPr>
                <w:t>    </w:t>
              </w:r>
            </w:hyperlink>
            <w:hyperlink w:anchor="i41da357aab9a44bda68a0f3315110a93_262">
              <w:r>
                <w:rPr>
                  <w:rStyle w:val="InternetLink"/>
                  <w:rFonts w:ascii="Times New Roman;serif" w:hAnsi="Times New Roman;serif"/>
                  <w:b w:val="false"/>
                  <w:color w:val="0000FF"/>
                  <w:sz w:val="24"/>
                  <w:u w:val="single"/>
                </w:rPr>
                <w:t>Defeasance and Covenant Defeasance upon Deposit of Moneys or U.S. Government Obligations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2">
              <w:r>
                <w:rPr>
                  <w:rStyle w:val="InternetLink"/>
                  <w:rFonts w:ascii="Times New Roman;serif" w:hAnsi="Times New Roman;serif"/>
                  <w:b w:val="false"/>
                  <w:color w:val="0000FF"/>
                  <w:sz w:val="24"/>
                  <w:u w:val="singl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5">
              <w:r>
                <w:rPr>
                  <w:rStyle w:val="InternetLink"/>
                  <w:rFonts w:ascii="Times New Roman;serif" w:hAnsi="Times New Roman;serif"/>
                  <w:b w:val="false"/>
                  <w:color w:val="0000FF"/>
                  <w:sz w:val="24"/>
                  <w:u w:val="single"/>
                </w:rPr>
                <w:t>Section 12.04</w:t>
              </w:r>
            </w:hyperlink>
            <w:hyperlink w:anchor="i41da357aab9a44bda68a0f3315110a93_265">
              <w:r>
                <w:rPr>
                  <w:rStyle w:val="InternetLink"/>
                  <w:strike w:val="false"/>
                  <w:dstrike w:val="false"/>
                  <w:color w:val="000000"/>
                  <w:u w:val="none"/>
                  <w:effect w:val="none"/>
                </w:rPr>
                <w:t>    </w:t>
              </w:r>
            </w:hyperlink>
            <w:hyperlink w:anchor="i41da357aab9a44bda68a0f3315110a93_265">
              <w:r>
                <w:rPr>
                  <w:rStyle w:val="InternetLink"/>
                  <w:rFonts w:ascii="Times New Roman;serif" w:hAnsi="Times New Roman;serif"/>
                  <w:b w:val="false"/>
                  <w:color w:val="0000FF"/>
                  <w:sz w:val="24"/>
                  <w:u w:val="single"/>
                </w:rPr>
                <w:t>Repayment to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5">
              <w:r>
                <w:rPr>
                  <w:rStyle w:val="InternetLink"/>
                  <w:rFonts w:ascii="Times New Roman;serif" w:hAnsi="Times New Roman;serif"/>
                  <w:b w:val="false"/>
                  <w:color w:val="0000FF"/>
                  <w:sz w:val="24"/>
                  <w:u w:val="singl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8">
              <w:r>
                <w:rPr>
                  <w:rStyle w:val="InternetLink"/>
                  <w:rFonts w:ascii="Times New Roman;serif" w:hAnsi="Times New Roman;serif"/>
                  <w:b w:val="false"/>
                  <w:color w:val="0000FF"/>
                  <w:sz w:val="24"/>
                  <w:u w:val="single"/>
                </w:rPr>
                <w:t>Section 12.05</w:t>
              </w:r>
            </w:hyperlink>
            <w:hyperlink w:anchor="i41da357aab9a44bda68a0f3315110a93_268">
              <w:r>
                <w:rPr>
                  <w:rStyle w:val="InternetLink"/>
                  <w:strike w:val="false"/>
                  <w:dstrike w:val="false"/>
                  <w:color w:val="000000"/>
                  <w:u w:val="none"/>
                  <w:effect w:val="none"/>
                </w:rPr>
                <w:t>    </w:t>
              </w:r>
            </w:hyperlink>
            <w:hyperlink w:anchor="i41da357aab9a44bda68a0f3315110a93_268">
              <w:r>
                <w:rPr>
                  <w:rStyle w:val="InternetLink"/>
                  <w:rFonts w:ascii="Times New Roman;serif" w:hAnsi="Times New Roman;serif"/>
                  <w:b w:val="false"/>
                  <w:color w:val="0000FF"/>
                  <w:sz w:val="24"/>
                  <w:u w:val="single"/>
                </w:rPr>
                <w:t>Indemnity for U.S. Government Obligations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68">
              <w:r>
                <w:rPr>
                  <w:rStyle w:val="InternetLink"/>
                  <w:rFonts w:ascii="Times New Roman;serif" w:hAnsi="Times New Roman;serif"/>
                  <w:b w:val="false"/>
                  <w:color w:val="0000FF"/>
                  <w:sz w:val="24"/>
                  <w:u w:val="single"/>
                </w:rPr>
                <w:t>56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1">
              <w:r>
                <w:rPr>
                  <w:rStyle w:val="InternetLink"/>
                  <w:rFonts w:ascii="Times New Roman;serif" w:hAnsi="Times New Roman;serif"/>
                  <w:b w:val="false"/>
                  <w:color w:val="0000FF"/>
                  <w:sz w:val="24"/>
                  <w:u w:val="single"/>
                </w:rPr>
                <w:t>Section 12.06</w:t>
              </w:r>
            </w:hyperlink>
            <w:hyperlink w:anchor="i41da357aab9a44bda68a0f3315110a93_271">
              <w:r>
                <w:rPr>
                  <w:rStyle w:val="InternetLink"/>
                  <w:strike w:val="false"/>
                  <w:dstrike w:val="false"/>
                  <w:color w:val="000000"/>
                  <w:u w:val="none"/>
                  <w:effect w:val="none"/>
                </w:rPr>
                <w:t>    </w:t>
              </w:r>
            </w:hyperlink>
            <w:hyperlink w:anchor="i41da357aab9a44bda68a0f3315110a93_271">
              <w:r>
                <w:rPr>
                  <w:rStyle w:val="InternetLink"/>
                  <w:rFonts w:ascii="Times New Roman;serif" w:hAnsi="Times New Roman;serif"/>
                  <w:b w:val="false"/>
                  <w:color w:val="0000FF"/>
                  <w:sz w:val="24"/>
                  <w:u w:val="single"/>
                </w:rPr>
                <w:t>Deposits to Be Held in Escrow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1">
              <w:r>
                <w:rPr>
                  <w:rStyle w:val="InternetLink"/>
                  <w:rFonts w:ascii="Times New Roman;serif" w:hAnsi="Times New Roman;serif"/>
                  <w:b w:val="false"/>
                  <w:color w:val="0000FF"/>
                  <w:sz w:val="24"/>
                  <w:u w:val="single"/>
                </w:rPr>
                <w:t>56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4">
              <w:r>
                <w:rPr>
                  <w:rStyle w:val="InternetLink"/>
                  <w:rFonts w:ascii="Times New Roman;serif" w:hAnsi="Times New Roman;serif"/>
                  <w:b w:val="false"/>
                  <w:color w:val="0000FF"/>
                  <w:sz w:val="24"/>
                  <w:u w:val="single"/>
                </w:rPr>
                <w:t>Section 12.07</w:t>
              </w:r>
            </w:hyperlink>
            <w:hyperlink w:anchor="i41da357aab9a44bda68a0f3315110a93_274">
              <w:r>
                <w:rPr>
                  <w:rStyle w:val="InternetLink"/>
                  <w:strike w:val="false"/>
                  <w:dstrike w:val="false"/>
                  <w:color w:val="000000"/>
                  <w:u w:val="none"/>
                  <w:effect w:val="none"/>
                </w:rPr>
                <w:t>    </w:t>
              </w:r>
            </w:hyperlink>
            <w:hyperlink w:anchor="i41da357aab9a44bda68a0f3315110a93_274">
              <w:r>
                <w:rPr>
                  <w:rStyle w:val="InternetLink"/>
                  <w:rFonts w:ascii="Times New Roman;serif" w:hAnsi="Times New Roman;serif"/>
                  <w:b w:val="false"/>
                  <w:color w:val="0000FF"/>
                  <w:sz w:val="24"/>
                  <w:u w:val="single"/>
                </w:rPr>
                <w:t>Application of Trust Money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4">
              <w:r>
                <w:rPr>
                  <w:rStyle w:val="InternetLink"/>
                  <w:rFonts w:ascii="Times New Roman;serif" w:hAnsi="Times New Roman;serif"/>
                  <w:b w:val="false"/>
                  <w:color w:val="0000FF"/>
                  <w:sz w:val="24"/>
                  <w:u w:val="single"/>
                </w:rPr>
                <w:t>56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7">
              <w:r>
                <w:rPr>
                  <w:rStyle w:val="InternetLink"/>
                  <w:rFonts w:ascii="Times New Roman;serif" w:hAnsi="Times New Roman;serif"/>
                  <w:b w:val="false"/>
                  <w:color w:val="0000FF"/>
                  <w:sz w:val="24"/>
                  <w:u w:val="single"/>
                </w:rPr>
                <w:t>Section 12.08</w:t>
              </w:r>
            </w:hyperlink>
            <w:hyperlink w:anchor="i41da357aab9a44bda68a0f3315110a93_277">
              <w:r>
                <w:rPr>
                  <w:rStyle w:val="InternetLink"/>
                  <w:strike w:val="false"/>
                  <w:dstrike w:val="false"/>
                  <w:color w:val="000000"/>
                  <w:u w:val="none"/>
                  <w:effect w:val="none"/>
                </w:rPr>
                <w:t>    </w:t>
              </w:r>
            </w:hyperlink>
            <w:hyperlink w:anchor="i41da357aab9a44bda68a0f3315110a93_277">
              <w:r>
                <w:rPr>
                  <w:rStyle w:val="InternetLink"/>
                  <w:rFonts w:ascii="Times New Roman;serif" w:hAnsi="Times New Roman;serif"/>
                  <w:b w:val="false"/>
                  <w:color w:val="0000FF"/>
                  <w:sz w:val="24"/>
                  <w:u w:val="single"/>
                </w:rPr>
                <w:t>Deposits of Non-U.S. Currencies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77">
              <w:r>
                <w:rPr>
                  <w:rStyle w:val="InternetLink"/>
                  <w:rFonts w:ascii="Times New Roman;serif" w:hAnsi="Times New Roman;serif"/>
                  <w:b w:val="false"/>
                  <w:color w:val="0000FF"/>
                  <w:sz w:val="24"/>
                  <w:u w:val="single"/>
                </w:rPr>
                <w:t>56</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80">
              <w:r>
                <w:rPr>
                  <w:rStyle w:val="InternetLink"/>
                  <w:rFonts w:ascii="Times New Roman;serif" w:hAnsi="Times New Roman;serif"/>
                  <w:b w:val="false"/>
                  <w:color w:val="000080"/>
                  <w:sz w:val="24"/>
                  <w:u w:val="single"/>
                </w:rPr>
                <w:t>ARTICLE XIII</w:t>
              </w:r>
            </w:hyperlink>
            <w:hyperlink w:anchor="i41da357aab9a44bda68a0f3315110a93_280">
              <w:r>
                <w:rPr>
                  <w:rStyle w:val="InternetLink"/>
                  <w:rFonts w:ascii="Times New Roman;serif" w:hAnsi="Times New Roman;serif"/>
                  <w:b w:val="false"/>
                  <w:color w:val="000080"/>
                  <w:sz w:val="24"/>
                  <w:u w:val="single"/>
                </w:rPr>
                <w:br/>
              </w:r>
            </w:hyperlink>
            <w:hyperlink w:anchor="i41da357aab9a44bda68a0f3315110a93_280">
              <w:r>
                <w:rPr>
                  <w:rStyle w:val="InternetLink"/>
                  <w:rFonts w:ascii="Times New Roman;serif" w:hAnsi="Times New Roman;serif"/>
                  <w:b w:val="false"/>
                  <w:color w:val="000080"/>
                  <w:sz w:val="24"/>
                  <w:u w:val="single"/>
                </w:rPr>
                <w:br/>
              </w:r>
            </w:hyperlink>
            <w:hyperlink w:anchor="i41da357aab9a44bda68a0f3315110a93_280">
              <w:r>
                <w:rPr>
                  <w:rStyle w:val="InternetLink"/>
                  <w:rFonts w:ascii="Times New Roman;serif" w:hAnsi="Times New Roman;serif"/>
                  <w:b w:val="false"/>
                  <w:color w:val="000080"/>
                  <w:sz w:val="24"/>
                  <w:u w:val="single"/>
                </w:rPr>
                <w:t>IMMUNITY OF CERTAIN PERSONS</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3">
              <w:r>
                <w:rPr>
                  <w:rStyle w:val="InternetLink"/>
                  <w:rFonts w:ascii="Times New Roman;serif" w:hAnsi="Times New Roman;serif"/>
                  <w:b w:val="false"/>
                  <w:color w:val="0000FF"/>
                  <w:sz w:val="24"/>
                  <w:u w:val="single"/>
                </w:rPr>
                <w:t>Section 13.01</w:t>
              </w:r>
            </w:hyperlink>
            <w:hyperlink w:anchor="i41da357aab9a44bda68a0f3315110a93_283">
              <w:r>
                <w:rPr>
                  <w:rStyle w:val="InternetLink"/>
                  <w:strike w:val="false"/>
                  <w:dstrike w:val="false"/>
                  <w:color w:val="000000"/>
                  <w:u w:val="none"/>
                  <w:effect w:val="none"/>
                </w:rPr>
                <w:t>    </w:t>
              </w:r>
            </w:hyperlink>
            <w:hyperlink w:anchor="i41da357aab9a44bda68a0f3315110a93_283">
              <w:r>
                <w:rPr>
                  <w:rStyle w:val="InternetLink"/>
                  <w:rFonts w:ascii="Times New Roman;serif" w:hAnsi="Times New Roman;serif"/>
                  <w:b w:val="false"/>
                  <w:color w:val="0000FF"/>
                  <w:sz w:val="24"/>
                  <w:u w:val="single"/>
                </w:rPr>
                <w:t>No Personal Liability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3">
              <w:r>
                <w:rPr>
                  <w:rStyle w:val="InternetLink"/>
                  <w:rFonts w:ascii="Times New Roman;serif" w:hAnsi="Times New Roman;serif"/>
                  <w:b w:val="false"/>
                  <w:color w:val="0000FF"/>
                  <w:sz w:val="24"/>
                  <w:u w:val="single"/>
                </w:rPr>
                <w:t>57</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286">
              <w:r>
                <w:rPr>
                  <w:rStyle w:val="InternetLink"/>
                  <w:rFonts w:ascii="Times New Roman;serif" w:hAnsi="Times New Roman;serif"/>
                  <w:b w:val="false"/>
                  <w:color w:val="000080"/>
                  <w:sz w:val="24"/>
                  <w:u w:val="single"/>
                </w:rPr>
                <w:t>ARTICLE XIV</w:t>
              </w:r>
            </w:hyperlink>
            <w:hyperlink w:anchor="i41da357aab9a44bda68a0f3315110a93_286">
              <w:r>
                <w:rPr>
                  <w:rStyle w:val="InternetLink"/>
                  <w:rFonts w:ascii="Times New Roman;serif" w:hAnsi="Times New Roman;serif"/>
                  <w:b w:val="false"/>
                  <w:color w:val="000080"/>
                  <w:sz w:val="24"/>
                  <w:u w:val="single"/>
                </w:rPr>
                <w:br/>
              </w:r>
            </w:hyperlink>
            <w:hyperlink w:anchor="i41da357aab9a44bda68a0f3315110a93_286">
              <w:r>
                <w:rPr>
                  <w:rStyle w:val="InternetLink"/>
                  <w:rFonts w:ascii="Times New Roman;serif" w:hAnsi="Times New Roman;serif"/>
                  <w:b w:val="false"/>
                  <w:color w:val="000080"/>
                  <w:sz w:val="24"/>
                  <w:u w:val="single"/>
                </w:rPr>
                <w:br/>
              </w:r>
            </w:hyperlink>
            <w:hyperlink w:anchor="i41da357aab9a44bda68a0f3315110a93_286">
              <w:r>
                <w:rPr>
                  <w:rStyle w:val="InternetLink"/>
                  <w:rFonts w:ascii="Times New Roman;serif" w:hAnsi="Times New Roman;serif"/>
                  <w:b w:val="false"/>
                  <w:color w:val="000080"/>
                  <w:sz w:val="24"/>
                  <w:u w:val="single"/>
                </w:rPr>
                <w:t>SUPPLEMENTAL INDENTURES</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9">
              <w:r>
                <w:rPr>
                  <w:rStyle w:val="InternetLink"/>
                  <w:rFonts w:ascii="Times New Roman;serif" w:hAnsi="Times New Roman;serif"/>
                  <w:b w:val="false"/>
                  <w:color w:val="0000FF"/>
                  <w:sz w:val="24"/>
                  <w:u w:val="single"/>
                </w:rPr>
                <w:t>Section 14.01</w:t>
              </w:r>
            </w:hyperlink>
            <w:hyperlink w:anchor="i41da357aab9a44bda68a0f3315110a93_289">
              <w:r>
                <w:rPr>
                  <w:rStyle w:val="InternetLink"/>
                  <w:strike w:val="false"/>
                  <w:dstrike w:val="false"/>
                  <w:color w:val="000000"/>
                  <w:u w:val="none"/>
                  <w:effect w:val="none"/>
                </w:rPr>
                <w:t>    </w:t>
              </w:r>
            </w:hyperlink>
            <w:hyperlink w:anchor="i41da357aab9a44bda68a0f3315110a93_289">
              <w:r>
                <w:rPr>
                  <w:rStyle w:val="InternetLink"/>
                  <w:rFonts w:ascii="Times New Roman;serif" w:hAnsi="Times New Roman;serif"/>
                  <w:b w:val="false"/>
                  <w:color w:val="0000FF"/>
                  <w:sz w:val="24"/>
                  <w:u w:val="single"/>
                </w:rPr>
                <w:t>Without Consent of Securityholders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89">
              <w:r>
                <w:rPr>
                  <w:rStyle w:val="InternetLink"/>
                  <w:rFonts w:ascii="Times New Roman;serif" w:hAnsi="Times New Roman;serif"/>
                  <w:b w:val="false"/>
                  <w:color w:val="0000FF"/>
                  <w:sz w:val="24"/>
                  <w:u w:val="singl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2">
              <w:r>
                <w:rPr>
                  <w:rStyle w:val="InternetLink"/>
                  <w:rFonts w:ascii="Times New Roman;serif" w:hAnsi="Times New Roman;serif"/>
                  <w:b w:val="false"/>
                  <w:color w:val="0000FF"/>
                  <w:sz w:val="24"/>
                  <w:u w:val="single"/>
                </w:rPr>
                <w:t>Section 14.02</w:t>
              </w:r>
            </w:hyperlink>
            <w:hyperlink w:anchor="i41da357aab9a44bda68a0f3315110a93_292">
              <w:r>
                <w:rPr>
                  <w:rStyle w:val="InternetLink"/>
                  <w:strike w:val="false"/>
                  <w:dstrike w:val="false"/>
                  <w:color w:val="000000"/>
                  <w:u w:val="none"/>
                  <w:effect w:val="none"/>
                </w:rPr>
                <w:t>    </w:t>
              </w:r>
            </w:hyperlink>
            <w:hyperlink w:anchor="i41da357aab9a44bda68a0f3315110a93_292">
              <w:r>
                <w:rPr>
                  <w:rStyle w:val="InternetLink"/>
                  <w:rFonts w:ascii="Times New Roman;serif" w:hAnsi="Times New Roman;serif"/>
                  <w:b w:val="false"/>
                  <w:color w:val="0000FF"/>
                  <w:sz w:val="24"/>
                  <w:u w:val="single"/>
                </w:rPr>
                <w:t>With Consent of Securityholders; Limitations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2">
              <w:r>
                <w:rPr>
                  <w:rStyle w:val="InternetLink"/>
                  <w:rFonts w:ascii="Times New Roman;serif" w:hAnsi="Times New Roman;serif"/>
                  <w:b w:val="false"/>
                  <w:color w:val="0000FF"/>
                  <w:sz w:val="24"/>
                  <w:u w:val="singl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5">
              <w:r>
                <w:rPr>
                  <w:rStyle w:val="InternetLink"/>
                  <w:rFonts w:ascii="Times New Roman;serif" w:hAnsi="Times New Roman;serif"/>
                  <w:b w:val="false"/>
                  <w:color w:val="0000FF"/>
                  <w:sz w:val="24"/>
                  <w:u w:val="single"/>
                </w:rPr>
                <w:t>Section 14.03</w:t>
              </w:r>
            </w:hyperlink>
            <w:hyperlink w:anchor="i41da357aab9a44bda68a0f3315110a93_295">
              <w:r>
                <w:rPr>
                  <w:rStyle w:val="InternetLink"/>
                  <w:strike w:val="false"/>
                  <w:dstrike w:val="false"/>
                  <w:color w:val="000000"/>
                  <w:u w:val="none"/>
                  <w:effect w:val="none"/>
                </w:rPr>
                <w:t>    </w:t>
              </w:r>
            </w:hyperlink>
            <w:hyperlink w:anchor="i41da357aab9a44bda68a0f3315110a93_295">
              <w:r>
                <w:rPr>
                  <w:rStyle w:val="InternetLink"/>
                  <w:rFonts w:ascii="Times New Roman;serif" w:hAnsi="Times New Roman;serif"/>
                  <w:b w:val="false"/>
                  <w:color w:val="0000FF"/>
                  <w:sz w:val="24"/>
                  <w:u w:val="single"/>
                </w:rPr>
                <w:t>Trustee Protected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5">
              <w:r>
                <w:rPr>
                  <w:rStyle w:val="InternetLink"/>
                  <w:rFonts w:ascii="Times New Roman;serif" w:hAnsi="Times New Roman;serif"/>
                  <w:b w:val="false"/>
                  <w:color w:val="0000FF"/>
                  <w:sz w:val="24"/>
                  <w:u w:val="singl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8">
              <w:r>
                <w:rPr>
                  <w:rStyle w:val="InternetLink"/>
                  <w:rFonts w:ascii="Times New Roman;serif" w:hAnsi="Times New Roman;serif"/>
                  <w:b w:val="false"/>
                  <w:color w:val="0000FF"/>
                  <w:sz w:val="24"/>
                  <w:u w:val="single"/>
                </w:rPr>
                <w:t>Section 14.04</w:t>
              </w:r>
            </w:hyperlink>
            <w:hyperlink w:anchor="i41da357aab9a44bda68a0f3315110a93_298">
              <w:r>
                <w:rPr>
                  <w:rStyle w:val="InternetLink"/>
                  <w:strike w:val="false"/>
                  <w:dstrike w:val="false"/>
                  <w:color w:val="000000"/>
                  <w:u w:val="none"/>
                  <w:effect w:val="none"/>
                </w:rPr>
                <w:t>    </w:t>
              </w:r>
            </w:hyperlink>
            <w:hyperlink w:anchor="i41da357aab9a44bda68a0f3315110a93_298">
              <w:r>
                <w:rPr>
                  <w:rStyle w:val="InternetLink"/>
                  <w:rFonts w:ascii="Times New Roman;serif" w:hAnsi="Times New Roman;serif"/>
                  <w:b w:val="false"/>
                  <w:color w:val="0000FF"/>
                  <w:sz w:val="24"/>
                  <w:u w:val="single"/>
                </w:rPr>
                <w:t>Effect of Execution of Supplemental Indenture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298">
              <w:r>
                <w:rPr>
                  <w:rStyle w:val="InternetLink"/>
                  <w:rFonts w:ascii="Times New Roman;serif" w:hAnsi="Times New Roman;serif"/>
                  <w:b w:val="false"/>
                  <w:color w:val="0000FF"/>
                  <w:sz w:val="24"/>
                  <w:u w:val="singl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01">
              <w:r>
                <w:rPr>
                  <w:rStyle w:val="InternetLink"/>
                  <w:rFonts w:ascii="Times New Roman;serif" w:hAnsi="Times New Roman;serif"/>
                  <w:b w:val="false"/>
                  <w:color w:val="0000FF"/>
                  <w:sz w:val="24"/>
                  <w:u w:val="single"/>
                </w:rPr>
                <w:t>Section 14.05</w:t>
              </w:r>
            </w:hyperlink>
            <w:hyperlink w:anchor="i41da357aab9a44bda68a0f3315110a93_301">
              <w:r>
                <w:rPr>
                  <w:rStyle w:val="InternetLink"/>
                  <w:strike w:val="false"/>
                  <w:dstrike w:val="false"/>
                  <w:color w:val="000000"/>
                  <w:u w:val="none"/>
                  <w:effect w:val="none"/>
                </w:rPr>
                <w:t>    </w:t>
              </w:r>
            </w:hyperlink>
            <w:hyperlink w:anchor="i41da357aab9a44bda68a0f3315110a93_301">
              <w:r>
                <w:rPr>
                  <w:rStyle w:val="InternetLink"/>
                  <w:rFonts w:ascii="Times New Roman;serif" w:hAnsi="Times New Roman;serif"/>
                  <w:b w:val="false"/>
                  <w:color w:val="0000FF"/>
                  <w:sz w:val="24"/>
                  <w:u w:val="single"/>
                </w:rPr>
                <w:t>Notation on or Exchange of Securities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01">
              <w:r>
                <w:rPr>
                  <w:rStyle w:val="InternetLink"/>
                  <w:rFonts w:ascii="Times New Roman;serif" w:hAnsi="Times New Roman;serif"/>
                  <w:b w:val="false"/>
                  <w:color w:val="0000FF"/>
                  <w:sz w:val="24"/>
                  <w:u w:val="singl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04">
              <w:r>
                <w:rPr>
                  <w:rStyle w:val="InternetLink"/>
                  <w:rFonts w:ascii="Times New Roman;serif" w:hAnsi="Times New Roman;serif"/>
                  <w:b w:val="false"/>
                  <w:color w:val="0000FF"/>
                  <w:sz w:val="24"/>
                  <w:u w:val="single"/>
                </w:rPr>
                <w:t>Section 14.06</w:t>
              </w:r>
            </w:hyperlink>
            <w:hyperlink w:anchor="i41da357aab9a44bda68a0f3315110a93_304">
              <w:r>
                <w:rPr>
                  <w:rStyle w:val="InternetLink"/>
                  <w:strike w:val="false"/>
                  <w:dstrike w:val="false"/>
                  <w:color w:val="000000"/>
                  <w:u w:val="none"/>
                  <w:effect w:val="none"/>
                </w:rPr>
                <w:t>    </w:t>
              </w:r>
            </w:hyperlink>
            <w:hyperlink w:anchor="i41da357aab9a44bda68a0f3315110a93_304">
              <w:r>
                <w:rPr>
                  <w:rStyle w:val="InternetLink"/>
                  <w:rFonts w:ascii="Times New Roman;serif" w:hAnsi="Times New Roman;serif"/>
                  <w:b w:val="false"/>
                  <w:color w:val="0000FF"/>
                  <w:sz w:val="24"/>
                  <w:u w:val="single"/>
                </w:rPr>
                <w:t>Conformity with TIA</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04">
              <w:r>
                <w:rPr>
                  <w:rStyle w:val="InternetLink"/>
                  <w:rFonts w:ascii="Times New Roman;serif" w:hAnsi="Times New Roman;serif"/>
                  <w:b w:val="false"/>
                  <w:color w:val="0000FF"/>
                  <w:sz w:val="24"/>
                  <w:u w:val="single"/>
                </w:rPr>
                <w:t>61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044"/>
        <w:gridCol w:w="2626"/>
        <w:gridCol w:w="2636"/>
        <w:gridCol w:w="554"/>
        <w:gridCol w:w="554"/>
        <w:gridCol w:w="791"/>
      </w:tblGrid>
      <w:tr>
        <w:trPr/>
        <w:tc>
          <w:tcPr>
            <w:tcW w:w="3044"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307">
              <w:r>
                <w:rPr>
                  <w:rStyle w:val="InternetLink"/>
                  <w:rFonts w:ascii="Times New Roman;serif" w:hAnsi="Times New Roman;serif"/>
                  <w:b w:val="false"/>
                  <w:color w:val="000080"/>
                  <w:sz w:val="24"/>
                  <w:u w:val="single"/>
                </w:rPr>
                <w:t>ARTICLE XV</w:t>
              </w:r>
            </w:hyperlink>
            <w:hyperlink w:anchor="i41da357aab9a44bda68a0f3315110a93_307">
              <w:r>
                <w:rPr>
                  <w:rStyle w:val="InternetLink"/>
                  <w:rFonts w:ascii="Times New Roman;serif" w:hAnsi="Times New Roman;serif"/>
                  <w:b w:val="false"/>
                  <w:color w:val="000080"/>
                  <w:sz w:val="24"/>
                  <w:u w:val="single"/>
                </w:rPr>
                <w:br/>
              </w:r>
            </w:hyperlink>
            <w:hyperlink w:anchor="i41da357aab9a44bda68a0f3315110a93_307">
              <w:r>
                <w:rPr>
                  <w:rStyle w:val="InternetLink"/>
                  <w:rFonts w:ascii="Times New Roman;serif" w:hAnsi="Times New Roman;serif"/>
                  <w:b w:val="false"/>
                  <w:color w:val="000080"/>
                  <w:sz w:val="24"/>
                  <w:u w:val="single"/>
                </w:rPr>
                <w:br/>
              </w:r>
            </w:hyperlink>
            <w:hyperlink w:anchor="i41da357aab9a44bda68a0f3315110a93_307">
              <w:r>
                <w:rPr>
                  <w:rStyle w:val="InternetLink"/>
                  <w:rFonts w:ascii="Times New Roman;serif" w:hAnsi="Times New Roman;serif"/>
                  <w:b w:val="false"/>
                  <w:color w:val="000080"/>
                  <w:sz w:val="24"/>
                  <w:u w:val="single"/>
                </w:rPr>
                <w:t>SUBORDINATION OF SECURITIES</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0">
              <w:r>
                <w:rPr>
                  <w:rStyle w:val="InternetLink"/>
                  <w:rFonts w:ascii="Times New Roman;serif" w:hAnsi="Times New Roman;serif"/>
                  <w:b w:val="false"/>
                  <w:color w:val="0000FF"/>
                  <w:sz w:val="24"/>
                  <w:u w:val="single"/>
                </w:rPr>
                <w:t>Section 15.01</w:t>
              </w:r>
            </w:hyperlink>
            <w:hyperlink w:anchor="i41da357aab9a44bda68a0f3315110a93_310">
              <w:r>
                <w:rPr>
                  <w:rStyle w:val="InternetLink"/>
                  <w:strike w:val="false"/>
                  <w:dstrike w:val="false"/>
                  <w:color w:val="000000"/>
                  <w:u w:val="none"/>
                  <w:effect w:val="none"/>
                </w:rPr>
                <w:t>    </w:t>
              </w:r>
            </w:hyperlink>
            <w:hyperlink w:anchor="i41da357aab9a44bda68a0f3315110a93_310">
              <w:r>
                <w:rPr>
                  <w:rStyle w:val="InternetLink"/>
                  <w:rFonts w:ascii="Times New Roman;serif" w:hAnsi="Times New Roman;serif"/>
                  <w:b w:val="false"/>
                  <w:color w:val="0000FF"/>
                  <w:sz w:val="24"/>
                  <w:u w:val="single"/>
                </w:rPr>
                <w:t>Agreement to Subordinate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0">
              <w:r>
                <w:rPr>
                  <w:rStyle w:val="InternetLink"/>
                  <w:rFonts w:ascii="Times New Roman;serif" w:hAnsi="Times New Roman;serif"/>
                  <w:b w:val="false"/>
                  <w:color w:val="0000FF"/>
                  <w:sz w:val="24"/>
                  <w:u w:val="single"/>
                </w:rPr>
                <w:t>61</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3">
              <w:r>
                <w:rPr>
                  <w:rStyle w:val="InternetLink"/>
                  <w:rFonts w:ascii="Times New Roman;serif" w:hAnsi="Times New Roman;serif"/>
                  <w:b w:val="false"/>
                  <w:color w:val="0000FF"/>
                  <w:sz w:val="24"/>
                  <w:u w:val="single"/>
                </w:rPr>
                <w:t>Section 15.02</w:t>
              </w:r>
            </w:hyperlink>
            <w:hyperlink w:anchor="i41da357aab9a44bda68a0f3315110a93_313">
              <w:r>
                <w:rPr>
                  <w:rStyle w:val="InternetLink"/>
                  <w:strike w:val="false"/>
                  <w:dstrike w:val="false"/>
                  <w:color w:val="000000"/>
                  <w:u w:val="none"/>
                  <w:effect w:val="none"/>
                </w:rPr>
                <w:t>    </w:t>
              </w:r>
            </w:hyperlink>
            <w:hyperlink w:anchor="i41da357aab9a44bda68a0f3315110a93_313">
              <w:r>
                <w:rPr>
                  <w:rStyle w:val="InternetLink"/>
                  <w:rFonts w:ascii="Times New Roman;serif" w:hAnsi="Times New Roman;serif"/>
                  <w:b w:val="false"/>
                  <w:color w:val="0000FF"/>
                  <w:sz w:val="24"/>
                  <w:u w:val="single"/>
                </w:rPr>
                <w:t>Distribution on Dissolution, Liquidation and Reorganization; Subrogation of Securities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3">
              <w:r>
                <w:rPr>
                  <w:rStyle w:val="InternetLink"/>
                  <w:rFonts w:ascii="Times New Roman;serif" w:hAnsi="Times New Roman;serif"/>
                  <w:b w:val="false"/>
                  <w:color w:val="0000FF"/>
                  <w:sz w:val="24"/>
                  <w:u w:val="single"/>
                </w:rPr>
                <w:t>61</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6">
              <w:r>
                <w:rPr>
                  <w:rStyle w:val="InternetLink"/>
                  <w:rFonts w:ascii="Times New Roman;serif" w:hAnsi="Times New Roman;serif"/>
                  <w:b w:val="false"/>
                  <w:color w:val="0000FF"/>
                  <w:sz w:val="24"/>
                  <w:u w:val="single"/>
                </w:rPr>
                <w:t>Section 15.03</w:t>
              </w:r>
            </w:hyperlink>
            <w:hyperlink w:anchor="i41da357aab9a44bda68a0f3315110a93_316">
              <w:r>
                <w:rPr>
                  <w:rStyle w:val="InternetLink"/>
                  <w:strike w:val="false"/>
                  <w:dstrike w:val="false"/>
                  <w:color w:val="000000"/>
                  <w:u w:val="none"/>
                  <w:effect w:val="none"/>
                </w:rPr>
                <w:t>    </w:t>
              </w:r>
            </w:hyperlink>
            <w:hyperlink w:anchor="i41da357aab9a44bda68a0f3315110a93_316">
              <w:r>
                <w:rPr>
                  <w:rStyle w:val="InternetLink"/>
                  <w:rFonts w:ascii="Times New Roman;serif" w:hAnsi="Times New Roman;serif"/>
                  <w:b w:val="false"/>
                  <w:color w:val="0000FF"/>
                  <w:sz w:val="24"/>
                  <w:u w:val="single"/>
                </w:rPr>
                <w:t>No Payment on Securities in Event of Default on Senior Indebtedness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6">
              <w:r>
                <w:rPr>
                  <w:rStyle w:val="InternetLink"/>
                  <w:rFonts w:ascii="Times New Roman;serif" w:hAnsi="Times New Roman;serif"/>
                  <w:b w:val="false"/>
                  <w:color w:val="0000FF"/>
                  <w:sz w:val="24"/>
                  <w:u w:val="single"/>
                </w:rPr>
                <w:t>63</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9">
              <w:r>
                <w:rPr>
                  <w:rStyle w:val="InternetLink"/>
                  <w:rFonts w:ascii="Times New Roman;serif" w:hAnsi="Times New Roman;serif"/>
                  <w:b w:val="false"/>
                  <w:color w:val="0000FF"/>
                  <w:sz w:val="24"/>
                  <w:u w:val="single"/>
                </w:rPr>
                <w:t>Section 15.04</w:t>
              </w:r>
            </w:hyperlink>
            <w:hyperlink w:anchor="i41da357aab9a44bda68a0f3315110a93_319">
              <w:r>
                <w:rPr>
                  <w:rStyle w:val="InternetLink"/>
                  <w:strike w:val="false"/>
                  <w:dstrike w:val="false"/>
                  <w:color w:val="000000"/>
                  <w:u w:val="none"/>
                  <w:effect w:val="none"/>
                </w:rPr>
                <w:t>    </w:t>
              </w:r>
            </w:hyperlink>
            <w:hyperlink w:anchor="i41da357aab9a44bda68a0f3315110a93_319">
              <w:r>
                <w:rPr>
                  <w:rStyle w:val="InternetLink"/>
                  <w:rFonts w:ascii="Times New Roman;serif" w:hAnsi="Times New Roman;serif"/>
                  <w:b w:val="false"/>
                  <w:color w:val="0000FF"/>
                  <w:sz w:val="24"/>
                  <w:u w:val="single"/>
                </w:rPr>
                <w:t>Payments on Securities Permitted</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19">
              <w:r>
                <w:rPr>
                  <w:rStyle w:val="InternetLink"/>
                  <w:rFonts w:ascii="Times New Roman;serif" w:hAnsi="Times New Roman;serif"/>
                  <w:b w:val="false"/>
                  <w:color w:val="0000FF"/>
                  <w:sz w:val="24"/>
                  <w:u w:val="single"/>
                </w:rPr>
                <w:t>64</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2">
              <w:r>
                <w:rPr>
                  <w:rStyle w:val="InternetLink"/>
                  <w:rFonts w:ascii="Times New Roman;serif" w:hAnsi="Times New Roman;serif"/>
                  <w:b w:val="false"/>
                  <w:color w:val="0000FF"/>
                  <w:sz w:val="24"/>
                  <w:u w:val="single"/>
                </w:rPr>
                <w:t>Section 15.05</w:t>
              </w:r>
            </w:hyperlink>
            <w:hyperlink w:anchor="i41da357aab9a44bda68a0f3315110a93_322">
              <w:r>
                <w:rPr>
                  <w:rStyle w:val="InternetLink"/>
                  <w:strike w:val="false"/>
                  <w:dstrike w:val="false"/>
                  <w:color w:val="000000"/>
                  <w:u w:val="none"/>
                  <w:effect w:val="none"/>
                </w:rPr>
                <w:t>    </w:t>
              </w:r>
            </w:hyperlink>
            <w:hyperlink w:anchor="i41da357aab9a44bda68a0f3315110a93_322">
              <w:r>
                <w:rPr>
                  <w:rStyle w:val="InternetLink"/>
                  <w:rFonts w:ascii="Times New Roman;serif" w:hAnsi="Times New Roman;serif"/>
                  <w:b w:val="false"/>
                  <w:color w:val="0000FF"/>
                  <w:sz w:val="24"/>
                  <w:u w:val="single"/>
                </w:rPr>
                <w:t>Authorization of Securityholders to Trustee to Effect Subordination</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2">
              <w:r>
                <w:rPr>
                  <w:rStyle w:val="InternetLink"/>
                  <w:rFonts w:ascii="Times New Roman;serif" w:hAnsi="Times New Roman;serif"/>
                  <w:b w:val="false"/>
                  <w:color w:val="0000FF"/>
                  <w:sz w:val="24"/>
                  <w:u w:val="single"/>
                </w:rPr>
                <w:t>64</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5">
              <w:r>
                <w:rPr>
                  <w:rStyle w:val="InternetLink"/>
                  <w:rFonts w:ascii="Times New Roman;serif" w:hAnsi="Times New Roman;serif"/>
                  <w:b w:val="false"/>
                  <w:color w:val="0000FF"/>
                  <w:sz w:val="24"/>
                  <w:u w:val="single"/>
                </w:rPr>
                <w:t>Section 15.06</w:t>
              </w:r>
            </w:hyperlink>
            <w:hyperlink w:anchor="i41da357aab9a44bda68a0f3315110a93_325">
              <w:r>
                <w:rPr>
                  <w:rStyle w:val="InternetLink"/>
                  <w:strike w:val="false"/>
                  <w:dstrike w:val="false"/>
                  <w:color w:val="000000"/>
                  <w:u w:val="none"/>
                  <w:effect w:val="none"/>
                </w:rPr>
                <w:t>    </w:t>
              </w:r>
            </w:hyperlink>
            <w:hyperlink w:anchor="i41da357aab9a44bda68a0f3315110a93_325">
              <w:r>
                <w:rPr>
                  <w:rStyle w:val="InternetLink"/>
                  <w:rFonts w:ascii="Times New Roman;serif" w:hAnsi="Times New Roman;serif"/>
                  <w:b w:val="false"/>
                  <w:color w:val="0000FF"/>
                  <w:sz w:val="24"/>
                  <w:u w:val="single"/>
                </w:rPr>
                <w:t>Notices to Trustee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5">
              <w:r>
                <w:rPr>
                  <w:rStyle w:val="InternetLink"/>
                  <w:rFonts w:ascii="Times New Roman;serif" w:hAnsi="Times New Roman;serif"/>
                  <w:b w:val="false"/>
                  <w:color w:val="0000FF"/>
                  <w:sz w:val="24"/>
                  <w:u w:val="single"/>
                </w:rPr>
                <w:t>64</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8">
              <w:r>
                <w:rPr>
                  <w:rStyle w:val="InternetLink"/>
                  <w:rFonts w:ascii="Times New Roman;serif" w:hAnsi="Times New Roman;serif"/>
                  <w:b w:val="false"/>
                  <w:color w:val="0000FF"/>
                  <w:sz w:val="24"/>
                  <w:u w:val="single"/>
                </w:rPr>
                <w:t>Section 15.07</w:t>
              </w:r>
            </w:hyperlink>
            <w:hyperlink w:anchor="i41da357aab9a44bda68a0f3315110a93_328">
              <w:r>
                <w:rPr>
                  <w:rStyle w:val="InternetLink"/>
                  <w:strike w:val="false"/>
                  <w:dstrike w:val="false"/>
                  <w:color w:val="000000"/>
                  <w:u w:val="none"/>
                  <w:effect w:val="none"/>
                </w:rPr>
                <w:t>    </w:t>
              </w:r>
            </w:hyperlink>
            <w:hyperlink w:anchor="i41da357aab9a44bda68a0f3315110a93_328">
              <w:r>
                <w:rPr>
                  <w:rStyle w:val="InternetLink"/>
                  <w:rFonts w:ascii="Times New Roman;serif" w:hAnsi="Times New Roman;serif"/>
                  <w:b w:val="false"/>
                  <w:color w:val="0000FF"/>
                  <w:sz w:val="24"/>
                  <w:u w:val="single"/>
                </w:rPr>
                <w:t>Trustee as Holder of Senior Indebtedness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28">
              <w:r>
                <w:rPr>
                  <w:rStyle w:val="InternetLink"/>
                  <w:rFonts w:ascii="Times New Roman;serif" w:hAnsi="Times New Roman;serif"/>
                  <w:b w:val="false"/>
                  <w:color w:val="0000FF"/>
                  <w:sz w:val="24"/>
                  <w:u w:val="single"/>
                </w:rPr>
                <w:t>65</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1">
              <w:r>
                <w:rPr>
                  <w:rStyle w:val="InternetLink"/>
                  <w:rFonts w:ascii="Times New Roman;serif" w:hAnsi="Times New Roman;serif"/>
                  <w:b w:val="false"/>
                  <w:color w:val="0000FF"/>
                  <w:sz w:val="24"/>
                  <w:u w:val="single"/>
                </w:rPr>
                <w:t>Section 15.08</w:t>
              </w:r>
            </w:hyperlink>
            <w:hyperlink w:anchor="i41da357aab9a44bda68a0f3315110a93_331">
              <w:r>
                <w:rPr>
                  <w:rStyle w:val="InternetLink"/>
                  <w:strike w:val="false"/>
                  <w:dstrike w:val="false"/>
                  <w:color w:val="000000"/>
                  <w:u w:val="none"/>
                  <w:effect w:val="none"/>
                </w:rPr>
                <w:t>    </w:t>
              </w:r>
            </w:hyperlink>
            <w:hyperlink w:anchor="i41da357aab9a44bda68a0f3315110a93_331">
              <w:r>
                <w:rPr>
                  <w:rStyle w:val="InternetLink"/>
                  <w:rFonts w:ascii="Times New Roman;serif" w:hAnsi="Times New Roman;serif"/>
                  <w:b w:val="false"/>
                  <w:color w:val="0000FF"/>
                  <w:sz w:val="24"/>
                  <w:u w:val="single"/>
                </w:rPr>
                <w:t>Modifications of Terms of Senior Indebtedness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1">
              <w:r>
                <w:rPr>
                  <w:rStyle w:val="InternetLink"/>
                  <w:rFonts w:ascii="Times New Roman;serif" w:hAnsi="Times New Roman;serif"/>
                  <w:b w:val="false"/>
                  <w:color w:val="0000FF"/>
                  <w:sz w:val="24"/>
                  <w:u w:val="single"/>
                </w:rPr>
                <w:t>65</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4">
              <w:r>
                <w:rPr>
                  <w:rStyle w:val="InternetLink"/>
                  <w:rFonts w:ascii="Times New Roman;serif" w:hAnsi="Times New Roman;serif"/>
                  <w:b w:val="false"/>
                  <w:color w:val="0000FF"/>
                  <w:sz w:val="24"/>
                  <w:u w:val="single"/>
                </w:rPr>
                <w:t>Section 15.09</w:t>
              </w:r>
            </w:hyperlink>
            <w:hyperlink w:anchor="i41da357aab9a44bda68a0f3315110a93_334">
              <w:r>
                <w:rPr>
                  <w:rStyle w:val="InternetLink"/>
                  <w:strike w:val="false"/>
                  <w:dstrike w:val="false"/>
                  <w:color w:val="000000"/>
                  <w:u w:val="none"/>
                  <w:effect w:val="none"/>
                </w:rPr>
                <w:t>    </w:t>
              </w:r>
            </w:hyperlink>
            <w:hyperlink w:anchor="i41da357aab9a44bda68a0f3315110a93_334">
              <w:r>
                <w:rPr>
                  <w:rStyle w:val="InternetLink"/>
                  <w:rFonts w:ascii="Times New Roman;serif" w:hAnsi="Times New Roman;serif"/>
                  <w:b w:val="false"/>
                  <w:color w:val="0000FF"/>
                  <w:sz w:val="24"/>
                  <w:u w:val="single"/>
                </w:rPr>
                <w:t>Reliance on Judicial Order or Certificate of Liquidating Agent</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4">
              <w:r>
                <w:rPr>
                  <w:rStyle w:val="InternetLink"/>
                  <w:rFonts w:ascii="Times New Roman;serif" w:hAnsi="Times New Roman;serif"/>
                  <w:b w:val="false"/>
                  <w:color w:val="0000FF"/>
                  <w:sz w:val="24"/>
                  <w:u w:val="single"/>
                </w:rPr>
                <w:t>65</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7">
              <w:r>
                <w:rPr>
                  <w:rStyle w:val="InternetLink"/>
                  <w:rFonts w:ascii="Times New Roman;serif" w:hAnsi="Times New Roman;serif"/>
                  <w:b w:val="false"/>
                  <w:color w:val="0000FF"/>
                  <w:sz w:val="24"/>
                  <w:u w:val="single"/>
                </w:rPr>
                <w:t>Section 15.10</w:t>
              </w:r>
            </w:hyperlink>
            <w:hyperlink w:anchor="i41da357aab9a44bda68a0f3315110a93_337">
              <w:r>
                <w:rPr>
                  <w:rStyle w:val="InternetLink"/>
                  <w:strike w:val="false"/>
                  <w:dstrike w:val="false"/>
                  <w:color w:val="000000"/>
                  <w:u w:val="none"/>
                  <w:effect w:val="none"/>
                </w:rPr>
                <w:t>    </w:t>
              </w:r>
            </w:hyperlink>
            <w:hyperlink w:anchor="i41da357aab9a44bda68a0f3315110a93_337">
              <w:r>
                <w:rPr>
                  <w:rStyle w:val="InternetLink"/>
                  <w:rFonts w:ascii="Times New Roman;serif" w:hAnsi="Times New Roman;serif"/>
                  <w:b w:val="false"/>
                  <w:color w:val="0000FF"/>
                  <w:sz w:val="24"/>
                  <w:u w:val="single"/>
                </w:rPr>
                <w:t>Satisfaction and Discharge; Defeasance and Covenant Defeasance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37">
              <w:r>
                <w:rPr>
                  <w:rStyle w:val="InternetLink"/>
                  <w:rFonts w:ascii="Times New Roman;serif" w:hAnsi="Times New Roman;serif"/>
                  <w:b w:val="false"/>
                  <w:color w:val="0000FF"/>
                  <w:sz w:val="24"/>
                  <w:u w:val="single"/>
                </w:rPr>
                <w:t>65</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0">
              <w:r>
                <w:rPr>
                  <w:rStyle w:val="InternetLink"/>
                  <w:rFonts w:ascii="Times New Roman;serif" w:hAnsi="Times New Roman;serif"/>
                  <w:b w:val="false"/>
                  <w:color w:val="0000FF"/>
                  <w:sz w:val="24"/>
                  <w:u w:val="single"/>
                </w:rPr>
                <w:t>Section 15.11</w:t>
              </w:r>
            </w:hyperlink>
            <w:hyperlink w:anchor="i41da357aab9a44bda68a0f3315110a93_340">
              <w:r>
                <w:rPr>
                  <w:rStyle w:val="InternetLink"/>
                  <w:strike w:val="false"/>
                  <w:dstrike w:val="false"/>
                  <w:color w:val="000000"/>
                  <w:u w:val="none"/>
                  <w:effect w:val="none"/>
                </w:rPr>
                <w:t>    </w:t>
              </w:r>
            </w:hyperlink>
            <w:hyperlink w:anchor="i41da357aab9a44bda68a0f3315110a93_340">
              <w:r>
                <w:rPr>
                  <w:rStyle w:val="InternetLink"/>
                  <w:rFonts w:ascii="Times New Roman;serif" w:hAnsi="Times New Roman;serif"/>
                  <w:b w:val="false"/>
                  <w:color w:val="0000FF"/>
                  <w:sz w:val="24"/>
                  <w:u w:val="single"/>
                </w:rPr>
                <w:t>Trustee Not Fiduciary for Holders of Senior Indebtedness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0">
              <w:r>
                <w:rPr>
                  <w:rStyle w:val="InternetLink"/>
                  <w:rFonts w:ascii="Times New Roman;serif" w:hAnsi="Times New Roman;serif"/>
                  <w:b w:val="false"/>
                  <w:color w:val="0000FF"/>
                  <w:sz w:val="24"/>
                  <w:u w:val="single"/>
                </w:rPr>
                <w:t>65</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41da357aab9a44bda68a0f3315110a93_343">
              <w:r>
                <w:rPr>
                  <w:rStyle w:val="InternetLink"/>
                  <w:rFonts w:ascii="Times New Roman;serif" w:hAnsi="Times New Roman;serif"/>
                  <w:b w:val="false"/>
                  <w:color w:val="000080"/>
                  <w:sz w:val="24"/>
                  <w:u w:val="single"/>
                </w:rPr>
                <w:t>ARTICLE XVI</w:t>
              </w:r>
            </w:hyperlink>
            <w:hyperlink w:anchor="i41da357aab9a44bda68a0f3315110a93_343">
              <w:r>
                <w:rPr>
                  <w:rStyle w:val="InternetLink"/>
                  <w:rFonts w:ascii="Times New Roman;serif" w:hAnsi="Times New Roman;serif"/>
                  <w:b w:val="false"/>
                  <w:color w:val="000080"/>
                  <w:sz w:val="24"/>
                  <w:u w:val="single"/>
                </w:rPr>
                <w:br/>
              </w:r>
            </w:hyperlink>
            <w:hyperlink w:anchor="i41da357aab9a44bda68a0f3315110a93_343">
              <w:r>
                <w:rPr>
                  <w:rStyle w:val="InternetLink"/>
                  <w:rFonts w:ascii="Times New Roman;serif" w:hAnsi="Times New Roman;serif"/>
                  <w:b w:val="false"/>
                  <w:color w:val="000080"/>
                  <w:sz w:val="24"/>
                  <w:u w:val="single"/>
                </w:rPr>
                <w:br/>
              </w:r>
            </w:hyperlink>
            <w:hyperlink w:anchor="i41da357aab9a44bda68a0f3315110a93_343">
              <w:r>
                <w:rPr>
                  <w:rStyle w:val="InternetLink"/>
                  <w:rFonts w:ascii="Times New Roman;serif" w:hAnsi="Times New Roman;serif"/>
                  <w:b w:val="false"/>
                  <w:color w:val="000080"/>
                  <w:sz w:val="24"/>
                  <w:u w:val="single"/>
                </w:rPr>
                <w:t>MISCELLANEOUS PROVISIONS</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6">
              <w:r>
                <w:rPr>
                  <w:rStyle w:val="InternetLink"/>
                  <w:rFonts w:ascii="Times New Roman;serif" w:hAnsi="Times New Roman;serif"/>
                  <w:b w:val="false"/>
                  <w:color w:val="0000FF"/>
                  <w:sz w:val="24"/>
                  <w:u w:val="single"/>
                </w:rPr>
                <w:t>Section 16.01</w:t>
              </w:r>
            </w:hyperlink>
            <w:hyperlink w:anchor="i41da357aab9a44bda68a0f3315110a93_346">
              <w:r>
                <w:rPr>
                  <w:rStyle w:val="InternetLink"/>
                  <w:strike w:val="false"/>
                  <w:dstrike w:val="false"/>
                  <w:color w:val="000000"/>
                  <w:u w:val="none"/>
                  <w:effect w:val="none"/>
                </w:rPr>
                <w:t>    </w:t>
              </w:r>
            </w:hyperlink>
            <w:hyperlink w:anchor="i41da357aab9a44bda68a0f3315110a93_346">
              <w:r>
                <w:rPr>
                  <w:rStyle w:val="InternetLink"/>
                  <w:rFonts w:ascii="Times New Roman;serif" w:hAnsi="Times New Roman;serif"/>
                  <w:b w:val="false"/>
                  <w:color w:val="0000FF"/>
                  <w:sz w:val="24"/>
                  <w:u w:val="single"/>
                </w:rPr>
                <w:t>Certificates and Opinions as to Conditions Precedent</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6">
              <w:r>
                <w:rPr>
                  <w:rStyle w:val="InternetLink"/>
                  <w:rFonts w:ascii="Times New Roman;serif" w:hAnsi="Times New Roman;serif"/>
                  <w:b w:val="false"/>
                  <w:color w:val="0000FF"/>
                  <w:sz w:val="24"/>
                  <w:u w:val="single"/>
                </w:rPr>
                <w:t>66</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9">
              <w:r>
                <w:rPr>
                  <w:rStyle w:val="InternetLink"/>
                  <w:rFonts w:ascii="Times New Roman;serif" w:hAnsi="Times New Roman;serif"/>
                  <w:b w:val="false"/>
                  <w:color w:val="0000FF"/>
                  <w:sz w:val="24"/>
                  <w:u w:val="single"/>
                </w:rPr>
                <w:t>Section 16.02</w:t>
              </w:r>
            </w:hyperlink>
            <w:hyperlink w:anchor="i41da357aab9a44bda68a0f3315110a93_349">
              <w:r>
                <w:rPr>
                  <w:rStyle w:val="InternetLink"/>
                  <w:strike w:val="false"/>
                  <w:dstrike w:val="false"/>
                  <w:color w:val="000000"/>
                  <w:u w:val="none"/>
                  <w:effect w:val="none"/>
                </w:rPr>
                <w:t>    </w:t>
              </w:r>
            </w:hyperlink>
            <w:hyperlink w:anchor="i41da357aab9a44bda68a0f3315110a93_349">
              <w:r>
                <w:rPr>
                  <w:rStyle w:val="InternetLink"/>
                  <w:rFonts w:ascii="Times New Roman;serif" w:hAnsi="Times New Roman;serif"/>
                  <w:b w:val="false"/>
                  <w:color w:val="0000FF"/>
                  <w:sz w:val="24"/>
                  <w:u w:val="single"/>
                </w:rPr>
                <w:t>Trust Indenture Act Controls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49">
              <w:r>
                <w:rPr>
                  <w:rStyle w:val="InternetLink"/>
                  <w:rFonts w:ascii="Times New Roman;serif" w:hAnsi="Times New Roman;serif"/>
                  <w:b w:val="false"/>
                  <w:color w:val="0000FF"/>
                  <w:sz w:val="24"/>
                  <w:u w:val="single"/>
                </w:rPr>
                <w:t>67</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2">
              <w:r>
                <w:rPr>
                  <w:rStyle w:val="InternetLink"/>
                  <w:rFonts w:ascii="Times New Roman;serif" w:hAnsi="Times New Roman;serif"/>
                  <w:b w:val="false"/>
                  <w:color w:val="0000FF"/>
                  <w:sz w:val="24"/>
                  <w:u w:val="single"/>
                </w:rPr>
                <w:t>Section 16.03</w:t>
              </w:r>
            </w:hyperlink>
            <w:hyperlink w:anchor="i41da357aab9a44bda68a0f3315110a93_352">
              <w:r>
                <w:rPr>
                  <w:rStyle w:val="InternetLink"/>
                  <w:strike w:val="false"/>
                  <w:dstrike w:val="false"/>
                  <w:color w:val="000000"/>
                  <w:u w:val="none"/>
                  <w:effect w:val="none"/>
                </w:rPr>
                <w:t>    </w:t>
              </w:r>
            </w:hyperlink>
            <w:hyperlink w:anchor="i41da357aab9a44bda68a0f3315110a93_352">
              <w:r>
                <w:rPr>
                  <w:rStyle w:val="InternetLink"/>
                  <w:rFonts w:ascii="Times New Roman;serif" w:hAnsi="Times New Roman;serif"/>
                  <w:b w:val="false"/>
                  <w:color w:val="0000FF"/>
                  <w:sz w:val="24"/>
                  <w:u w:val="single"/>
                </w:rPr>
                <w:t>Notices to the Company and Trustee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2">
              <w:r>
                <w:rPr>
                  <w:rStyle w:val="InternetLink"/>
                  <w:rFonts w:ascii="Times New Roman;serif" w:hAnsi="Times New Roman;serif"/>
                  <w:b w:val="false"/>
                  <w:color w:val="0000FF"/>
                  <w:sz w:val="24"/>
                  <w:u w:val="single"/>
                </w:rPr>
                <w:t>67</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5">
              <w:r>
                <w:rPr>
                  <w:rStyle w:val="InternetLink"/>
                  <w:rFonts w:ascii="Times New Roman;serif" w:hAnsi="Times New Roman;serif"/>
                  <w:b w:val="false"/>
                  <w:color w:val="0000FF"/>
                  <w:sz w:val="24"/>
                  <w:u w:val="single"/>
                </w:rPr>
                <w:t>Section 16.04</w:t>
              </w:r>
            </w:hyperlink>
            <w:hyperlink w:anchor="i41da357aab9a44bda68a0f3315110a93_355">
              <w:r>
                <w:rPr>
                  <w:rStyle w:val="InternetLink"/>
                  <w:strike w:val="false"/>
                  <w:dstrike w:val="false"/>
                  <w:color w:val="000000"/>
                  <w:u w:val="none"/>
                  <w:effect w:val="none"/>
                </w:rPr>
                <w:t>    </w:t>
              </w:r>
            </w:hyperlink>
            <w:hyperlink w:anchor="i41da357aab9a44bda68a0f3315110a93_355">
              <w:r>
                <w:rPr>
                  <w:rStyle w:val="InternetLink"/>
                  <w:rFonts w:ascii="Times New Roman;serif" w:hAnsi="Times New Roman;serif"/>
                  <w:b w:val="false"/>
                  <w:color w:val="0000FF"/>
                  <w:sz w:val="24"/>
                  <w:u w:val="single"/>
                </w:rPr>
                <w:t>Notices to Securityholders; Waiver</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5">
              <w:r>
                <w:rPr>
                  <w:rStyle w:val="InternetLink"/>
                  <w:rFonts w:ascii="Times New Roman;serif" w:hAnsi="Times New Roman;serif"/>
                  <w:b w:val="false"/>
                  <w:color w:val="0000FF"/>
                  <w:sz w:val="24"/>
                  <w:u w:val="single"/>
                </w:rPr>
                <w:t>67</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8">
              <w:r>
                <w:rPr>
                  <w:rStyle w:val="InternetLink"/>
                  <w:rFonts w:ascii="Times New Roman;serif" w:hAnsi="Times New Roman;serif"/>
                  <w:b w:val="false"/>
                  <w:color w:val="0000FF"/>
                  <w:sz w:val="24"/>
                  <w:u w:val="single"/>
                </w:rPr>
                <w:t>Section 16.05</w:t>
              </w:r>
            </w:hyperlink>
            <w:hyperlink w:anchor="i41da357aab9a44bda68a0f3315110a93_358">
              <w:r>
                <w:rPr>
                  <w:rStyle w:val="InternetLink"/>
                  <w:strike w:val="false"/>
                  <w:dstrike w:val="false"/>
                  <w:color w:val="000000"/>
                  <w:u w:val="none"/>
                  <w:effect w:val="none"/>
                </w:rPr>
                <w:t>    </w:t>
              </w:r>
            </w:hyperlink>
            <w:hyperlink w:anchor="i41da357aab9a44bda68a0f3315110a93_358">
              <w:r>
                <w:rPr>
                  <w:rStyle w:val="InternetLink"/>
                  <w:rFonts w:ascii="Times New Roman;serif" w:hAnsi="Times New Roman;serif"/>
                  <w:b w:val="false"/>
                  <w:color w:val="0000FF"/>
                  <w:sz w:val="24"/>
                  <w:u w:val="single"/>
                </w:rPr>
                <w:t>Legal Holiday</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58">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1">
              <w:r>
                <w:rPr>
                  <w:rStyle w:val="InternetLink"/>
                  <w:rFonts w:ascii="Times New Roman;serif" w:hAnsi="Times New Roman;serif"/>
                  <w:b w:val="false"/>
                  <w:color w:val="0000FF"/>
                  <w:sz w:val="24"/>
                  <w:u w:val="single"/>
                </w:rPr>
                <w:t>Section 16.06</w:t>
              </w:r>
            </w:hyperlink>
            <w:hyperlink w:anchor="i41da357aab9a44bda68a0f3315110a93_361">
              <w:r>
                <w:rPr>
                  <w:rStyle w:val="InternetLink"/>
                  <w:strike w:val="false"/>
                  <w:dstrike w:val="false"/>
                  <w:color w:val="000000"/>
                  <w:u w:val="none"/>
                  <w:effect w:val="none"/>
                </w:rPr>
                <w:t>    </w:t>
              </w:r>
            </w:hyperlink>
            <w:hyperlink w:anchor="i41da357aab9a44bda68a0f3315110a93_361">
              <w:r>
                <w:rPr>
                  <w:rStyle w:val="InternetLink"/>
                  <w:rFonts w:ascii="Times New Roman;serif" w:hAnsi="Times New Roman;serif"/>
                  <w:b w:val="false"/>
                  <w:color w:val="0000FF"/>
                  <w:sz w:val="24"/>
                  <w:u w:val="single"/>
                </w:rPr>
                <w:t>Effects of Headings and Table of Contents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1">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4">
              <w:r>
                <w:rPr>
                  <w:rStyle w:val="InternetLink"/>
                  <w:rFonts w:ascii="Times New Roman;serif" w:hAnsi="Times New Roman;serif"/>
                  <w:b w:val="false"/>
                  <w:color w:val="0000FF"/>
                  <w:sz w:val="24"/>
                  <w:u w:val="single"/>
                </w:rPr>
                <w:t>Section 16.07</w:t>
              </w:r>
            </w:hyperlink>
            <w:hyperlink w:anchor="i41da357aab9a44bda68a0f3315110a93_364">
              <w:r>
                <w:rPr>
                  <w:rStyle w:val="InternetLink"/>
                  <w:strike w:val="false"/>
                  <w:dstrike w:val="false"/>
                  <w:color w:val="000000"/>
                  <w:u w:val="none"/>
                  <w:effect w:val="none"/>
                </w:rPr>
                <w:t>    </w:t>
              </w:r>
            </w:hyperlink>
            <w:hyperlink w:anchor="i41da357aab9a44bda68a0f3315110a93_364">
              <w:r>
                <w:rPr>
                  <w:rStyle w:val="InternetLink"/>
                  <w:rFonts w:ascii="Times New Roman;serif" w:hAnsi="Times New Roman;serif"/>
                  <w:b w:val="false"/>
                  <w:color w:val="0000FF"/>
                  <w:sz w:val="24"/>
                  <w:u w:val="single"/>
                </w:rPr>
                <w:t>Successors and Assigns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4">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7">
              <w:r>
                <w:rPr>
                  <w:rStyle w:val="InternetLink"/>
                  <w:rFonts w:ascii="Times New Roman;serif" w:hAnsi="Times New Roman;serif"/>
                  <w:b w:val="false"/>
                  <w:color w:val="0000FF"/>
                  <w:sz w:val="24"/>
                  <w:u w:val="single"/>
                </w:rPr>
                <w:t>Section 16.08</w:t>
              </w:r>
            </w:hyperlink>
            <w:hyperlink w:anchor="i41da357aab9a44bda68a0f3315110a93_367">
              <w:r>
                <w:rPr>
                  <w:rStyle w:val="InternetLink"/>
                  <w:strike w:val="false"/>
                  <w:dstrike w:val="false"/>
                  <w:color w:val="000000"/>
                  <w:u w:val="none"/>
                  <w:effect w:val="none"/>
                </w:rPr>
                <w:t>    </w:t>
              </w:r>
            </w:hyperlink>
            <w:hyperlink w:anchor="i41da357aab9a44bda68a0f3315110a93_367">
              <w:r>
                <w:rPr>
                  <w:rStyle w:val="InternetLink"/>
                  <w:rFonts w:ascii="Times New Roman;serif" w:hAnsi="Times New Roman;serif"/>
                  <w:b w:val="false"/>
                  <w:color w:val="0000FF"/>
                  <w:sz w:val="24"/>
                  <w:u w:val="single"/>
                </w:rPr>
                <w:t>Separability Clause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67">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0">
              <w:r>
                <w:rPr>
                  <w:rStyle w:val="InternetLink"/>
                  <w:rFonts w:ascii="Times New Roman;serif" w:hAnsi="Times New Roman;serif"/>
                  <w:b w:val="false"/>
                  <w:color w:val="0000FF"/>
                  <w:sz w:val="24"/>
                  <w:u w:val="single"/>
                </w:rPr>
                <w:t>Section 16.09</w:t>
              </w:r>
            </w:hyperlink>
            <w:hyperlink w:anchor="i41da357aab9a44bda68a0f3315110a93_370">
              <w:r>
                <w:rPr>
                  <w:rStyle w:val="InternetLink"/>
                  <w:strike w:val="false"/>
                  <w:dstrike w:val="false"/>
                  <w:color w:val="000000"/>
                  <w:u w:val="none"/>
                  <w:effect w:val="none"/>
                </w:rPr>
                <w:t>    </w:t>
              </w:r>
            </w:hyperlink>
            <w:hyperlink w:anchor="i41da357aab9a44bda68a0f3315110a93_370">
              <w:r>
                <w:rPr>
                  <w:rStyle w:val="InternetLink"/>
                  <w:rFonts w:ascii="Times New Roman;serif" w:hAnsi="Times New Roman;serif"/>
                  <w:b w:val="false"/>
                  <w:color w:val="0000FF"/>
                  <w:sz w:val="24"/>
                  <w:u w:val="single"/>
                </w:rPr>
                <w:t>Benefits of Indenture</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0">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3">
              <w:r>
                <w:rPr>
                  <w:rStyle w:val="InternetLink"/>
                  <w:rFonts w:ascii="Times New Roman;serif" w:hAnsi="Times New Roman;serif"/>
                  <w:b w:val="false"/>
                  <w:color w:val="0000FF"/>
                  <w:sz w:val="24"/>
                  <w:u w:val="single"/>
                </w:rPr>
                <w:t>Section 16.10</w:t>
              </w:r>
            </w:hyperlink>
            <w:hyperlink w:anchor="i41da357aab9a44bda68a0f3315110a93_373">
              <w:r>
                <w:rPr>
                  <w:rStyle w:val="InternetLink"/>
                  <w:strike w:val="false"/>
                  <w:dstrike w:val="false"/>
                  <w:color w:val="000000"/>
                  <w:u w:val="none"/>
                  <w:effect w:val="none"/>
                </w:rPr>
                <w:t>    </w:t>
              </w:r>
            </w:hyperlink>
            <w:hyperlink w:anchor="i41da357aab9a44bda68a0f3315110a93_373">
              <w:r>
                <w:rPr>
                  <w:rStyle w:val="InternetLink"/>
                  <w:rFonts w:ascii="Times New Roman;serif" w:hAnsi="Times New Roman;serif"/>
                  <w:b w:val="false"/>
                  <w:color w:val="0000FF"/>
                  <w:sz w:val="24"/>
                  <w:u w:val="single"/>
                </w:rPr>
                <w:t>Counterparts Originals</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3">
              <w:r>
                <w:rPr>
                  <w:rStyle w:val="InternetLink"/>
                  <w:rFonts w:ascii="Times New Roman;serif" w:hAnsi="Times New Roman;serif"/>
                  <w:b w:val="false"/>
                  <w:color w:val="0000FF"/>
                  <w:sz w:val="24"/>
                  <w:u w:val="single"/>
                </w:rPr>
                <w:t>68</w:t>
              </w:r>
            </w:hyperlink>
          </w:p>
        </w:tc>
      </w:tr>
      <w:tr>
        <w:trPr/>
        <w:tc>
          <w:tcPr>
            <w:tcW w:w="8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6">
              <w:r>
                <w:rPr>
                  <w:rStyle w:val="InternetLink"/>
                  <w:rFonts w:ascii="Times New Roman;serif" w:hAnsi="Times New Roman;serif"/>
                  <w:b w:val="false"/>
                  <w:color w:val="0000FF"/>
                  <w:sz w:val="24"/>
                  <w:u w:val="single"/>
                </w:rPr>
                <w:t>Section 16.11</w:t>
              </w:r>
            </w:hyperlink>
            <w:hyperlink w:anchor="i41da357aab9a44bda68a0f3315110a93_376">
              <w:r>
                <w:rPr>
                  <w:rStyle w:val="InternetLink"/>
                  <w:strike w:val="false"/>
                  <w:dstrike w:val="false"/>
                  <w:color w:val="000000"/>
                  <w:u w:val="none"/>
                  <w:effect w:val="none"/>
                </w:rPr>
                <w:t>    </w:t>
              </w:r>
            </w:hyperlink>
            <w:hyperlink w:anchor="i41da357aab9a44bda68a0f3315110a93_376">
              <w:r>
                <w:rPr>
                  <w:rStyle w:val="InternetLink"/>
                  <w:rFonts w:ascii="Times New Roman;serif" w:hAnsi="Times New Roman;serif"/>
                  <w:b w:val="false"/>
                  <w:color w:val="0000FF"/>
                  <w:sz w:val="24"/>
                  <w:u w:val="single"/>
                </w:rPr>
                <w:t>Governing Law; Waiver of Trial by Jury</w:t>
              </w:r>
            </w:hyperlink>
          </w:p>
        </w:tc>
        <w:tc>
          <w:tcPr>
            <w:tcW w:w="1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a357aab9a44bda68a0f3315110a93_376">
              <w:r>
                <w:rPr>
                  <w:rStyle w:val="InternetLink"/>
                  <w:rFonts w:ascii="Times New Roman;serif" w:hAnsi="Times New Roman;serif"/>
                  <w:b w:val="false"/>
                  <w:color w:val="0000FF"/>
                  <w:sz w:val="24"/>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INDENTURE dated as of </w:t>
      </w:r>
      <w:r>
        <w:rPr>
          <w:color w:val="000000"/>
          <w:u w:val="single"/>
        </w:rPr>
        <w:t>            </w:t>
      </w:r>
      <w:r>
        <w:rPr>
          <w:rFonts w:ascii="Times New Roman;serif" w:hAnsi="Times New Roman;serif"/>
          <w:b w:val="false"/>
          <w:color w:val="000000"/>
          <w:sz w:val="24"/>
        </w:rPr>
        <w:t>, 20 , among Myriad Genetics, Inc., a Delaware corporation (the “Company”), and [</w:t>
      </w:r>
      <w:r>
        <w:rPr>
          <w:color w:val="000000"/>
          <w:u w:val="single"/>
        </w:rPr>
        <w:t xml:space="preserve"> </w:t>
      </w:r>
      <w:r>
        <w:rPr>
          <w:rFonts w:ascii="Times New Roman;serif" w:hAnsi="Times New Roman;serif"/>
          <w:b w:val="false"/>
          <w:color w:val="000000"/>
          <w:sz w:val="24"/>
        </w:rPr>
        <w:t>], as trustee (the “Trustee”).</w:t>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all things necessary to make this Indenture a valid and legally binding agreement of the Company, in accordance with its terms, have been done.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THIS INDENTURE WITNESSETH: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That, in consideration of the premises and the purchase of the Securities by the Holders thereof for the equal and proportionate benefit of all of the present and future Holders of the Securities, each party agrees and covenants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DEFINITIONS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all purposes of this Indenture, except as otherwise expressly provided or unless the context otherwise requires: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terms defined in this Article have the meanings assigned to them in this Article and include the plural as well as the singular;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unless otherwise defined in this Indenture or the context otherwise requires, all terms used herein without definition which are defined in the Trust Indenture Act, either directly or by reference therein, have the meanings assigned to them therein;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words “herein”, “hereof” and “hereunder” and other words of similar import refer to this Indenture as a whole and not to any particular Article, Section or other subdivision; and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references to “Article” or “Section” or other subdivision herein are references to an Article, Section or other subdivision of this Indenture, unless the context otherwise requires.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Definitions.</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Unless the context otherwise requires, the terms defined in this Section 1.01 shall for all purposes of this Indenture have the meanings hereinafter set forth:</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Affiliate: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Authenticating Agent: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“Authenticating Agent” shall have the meaning assigned to it in Section 11.09.</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“Board of Directors” shall mean either the board of directors of the Company or the executive or any other committee of that board duly authorized to act in respect hereof.</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Board Resolution: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Business Day: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 </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Capital Stock:</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“Capital Stock” shall mean: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in the case of a corporation, corporate stock;</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in the case of an association or business entity, any and all shares, interests, participations, rights or other equivalents (however designated) of corporate stock;</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in the case of a partnership or limited liability company, partnership interests (whether general or limited) or membership interests; and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Code: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“Code” shall mean the Internal Revenue Code of 1986, as amended.</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Company Order: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“Company Order” shall mean a written order signed in the name of the Company by any Officer and delivered to the Trustee.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Corporate Trust Office:</w:t>
      </w:r>
    </w:p>
    <w:p>
      <w:pPr>
        <w:pStyle w:val="TextBody"/>
        <w:bidi w:val="0"/>
        <w:spacing w:lineRule="auto" w:line="240" w:before="0" w:after="240"/>
        <w:ind w:left="0" w:right="0" w:firstLine="720"/>
        <w:jc w:val="left"/>
        <w:rPr/>
      </w:pPr>
      <w:r>
        <w:rPr>
          <w:rFonts w:ascii="Times New Roman;serif" w:hAnsi="Times New Roman;serif"/>
          <w:b w:val="false"/>
          <w:color w:val="000000"/>
          <w:sz w:val="24"/>
        </w:rPr>
        <w:t>The term “Corporate Trust Office,” or other similar term, shall mean the principal office of the Trustee at which at any particular time its corporate trust business shall be administered, which office at the date hereof is located at [</w:t>
      </w:r>
      <w:r>
        <w:rPr>
          <w:color w:val="000000"/>
          <w:u w:val="single"/>
        </w:rPr>
        <w:t xml:space="preserve"> </w:t>
      </w:r>
      <w:r>
        <w:rPr>
          <w:rFonts w:ascii="Times New Roman;serif" w:hAnsi="Times New Roman;serif"/>
          <w:b w:val="false"/>
          <w:color w:val="000000"/>
          <w:sz w:val="24"/>
        </w:rPr>
        <w:t>], Attention: [</w:t>
      </w:r>
      <w:r>
        <w:rPr>
          <w:color w:val="000000"/>
          <w:u w:val="single"/>
        </w:rPr>
        <w:t xml:space="preserve"> </w:t>
      </w:r>
      <w:r>
        <w:rPr>
          <w:rFonts w:ascii="Times New Roman;serif" w:hAnsi="Times New Roman;serif"/>
          <w:b w:val="false"/>
          <w:color w:val="000000"/>
          <w:sz w:val="24"/>
        </w:rPr>
        <w:t>],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Currency: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“Currency” shall mean U.S. Dollars or Foreign Currency.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Default: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“Default” shall have the meaning assigned to it in Section 11.03.</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Defaulted Interest: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“Defaulted Interest” shall have the same meaning assigned to it in Section 3.08(b).</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Depositary: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Designated Currency: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“Designated Currency” shall have the same meaning assigned to it in Section 3.12.</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Discharged: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“Discharged” shall have the meaning assigned to it in Section 12.03.</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DTC:</w:t>
      </w:r>
    </w:p>
    <w:p>
      <w:pPr>
        <w:pStyle w:val="TextBody"/>
        <w:bidi w:val="0"/>
        <w:spacing w:lineRule="auto" w:line="240" w:before="0" w:after="240"/>
        <w:jc w:val="left"/>
        <w:rPr/>
      </w:pPr>
      <w:r>
        <w:rPr>
          <w:color w:val="000000"/>
        </w:rPr>
        <w:t>    </w:t>
      </w:r>
      <w:r>
        <w:rPr>
          <w:rFonts w:ascii="Times New Roman;serif" w:hAnsi="Times New Roman;serif"/>
          <w:b w:val="false"/>
          <w:color w:val="000000"/>
          <w:sz w:val="24"/>
        </w:rPr>
        <w:t>The term “DTC” shall mean The Depository Trust Company, Inc. and its successors.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Event of Default: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“Event of Default” shall have the meaning specified in Section 7.01.</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Exchange Act: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“Exchange Act” shall mean the United States Securities Exchange Act of 1934, and the rules and regulations promulgated by the SEC thereunder and any statute successor thereto, in each case as amended from time to time.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Exchange Rate: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“Exchange Rate” shall have the meaning assigned to it in Section 7.01.</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Floating Rate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“Floating Rate Security” shall mean a Security that provides for the payment of interest at a variable rate determined periodically by reference to an interest rate index specified pursuant to Section 3.01.</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Foreign Currency: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“Foreign Currency” shall mean a currency issued by the government of any country other than the United States or a composite currency, the value of which is determined by reference to the values of the currencies of any group of countries.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GAAP:</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“GAAP,” with respect to any computations required or permitted hereunder, shall mean generally accepted accounting principles in effect in the United States as in effect from time to time; provided, however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Global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Holder; Holder of Securities: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terms “Holder” and “Holder of Securities” are defined under “Securityholder; Holder of Securities; Holder.”</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Indebtedness: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“Indebtedness” shall mean any and all obligations of a Person for money borrowed which, in accordance with GAAP, would be reflected on the balance sheet of such Person as a liability on the date as of which Indebtedness is to be determined.</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Individual Securities: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“Individual Securities” shall have the meaning specified in Section 3.01(p).</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Interest: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“interest” shall mean, unless the context otherwise requires, interest payable on any Securities, and with respect to an Original Issue Discount Security that by its terms bears interest only after Maturity, interest payable after Maturity.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Interest Payment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“Interest Payment Date” shall mean, with respect to any Security, the Stated Maturity of an installment of interest on such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Mandatory Sinking Fund Payment: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“Mandatory Sinking Fund Payment” shall have the meaning assigned to it in Section 5.01(b).</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Maturity: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“Maturity,” with respect to any Security, shall mean the date on which the principal of such Security shall become due and payable as therein and herein provided, whether by declaration, call for redemption or otherwise.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Members: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“Members” shall have the meaning assigned to it in Section 3.03(i).</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Officer: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“Officer” shall mean any of the Chairman of the Board of Directors, Chief Executive Officer, Chief Financial Officer, President or a Vice President, Treasurer or Assistant Treasurer, Controller, Secretary or Assistant Secretary of the Company.</w:t>
      </w:r>
    </w:p>
    <w:p>
      <w:pPr>
        <w:pStyle w:val="TextBody"/>
        <w:bidi w:val="0"/>
        <w:spacing w:lineRule="auto" w:line="240" w:before="0" w:after="240"/>
        <w:jc w:val="left"/>
        <w:rPr/>
      </w:pPr>
      <w:r>
        <w:rPr>
          <w:rFonts w:ascii="Times New Roman;serif" w:hAnsi="Times New Roman;serif"/>
          <w:b/>
          <w:color w:val="000000"/>
          <w:sz w:val="24"/>
        </w:rPr>
        <w:t>Officer’s Cert</w:t>
      </w:r>
      <w:r>
        <w:rPr>
          <w:rFonts w:ascii="Times New Roman;serif" w:hAnsi="Times New Roman;serif"/>
          <w:b w:val="false"/>
          <w:color w:val="000000"/>
          <w:sz w:val="24"/>
        </w:rPr>
        <w:t>i</w:t>
      </w:r>
      <w:r>
        <w:rPr>
          <w:rFonts w:ascii="Times New Roman;serif" w:hAnsi="Times New Roman;serif"/>
          <w:b/>
          <w:color w:val="000000"/>
          <w:sz w:val="24"/>
        </w:rPr>
        <w:t>ficate: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“Officer’s Certificate” shall mean a certificate signed by any Officer and delivered to the Trustee. Each such certificate shall include the statements provided for in Section 16.01 if and to the extent required by the provisions of such Section.</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Opinion of Counsel:</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“Opinion of Counsel” shall mean an opinion in writing signed by one or more legal counsel, who may be an employee of or of counsel to the Company, and meets the requirements provided for in Section 16.01.</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Optional Sinking Fund Payment: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“Optional Sinking Fund Payment” shall have the meaning assigned to it in Section 5.01(b).</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Original Issue Discount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Outstanding:</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“Outstanding,” when used with respect to Securities means, as of the date of determination, all Securities theretofore authenticated and delivered under this Indenture, except: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Securities theretofore canceled by the Trustee or delivered to the Trustee for cancellation;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pStyle w:val="TextBody"/>
        <w:bidi w:val="0"/>
        <w:spacing w:lineRule="auto" w:line="240" w:before="0" w:after="240"/>
        <w:jc w:val="left"/>
        <w:rPr/>
      </w:pPr>
      <w:r>
        <w:rPr>
          <w:rFonts w:ascii="Times New Roman;serif" w:hAnsi="Times New Roman;serif"/>
          <w:b w:val="false"/>
          <w:i/>
          <w:color w:val="000000"/>
          <w:sz w:val="24"/>
        </w:rPr>
        <w:t>provided</w:t>
      </w:r>
      <w:r>
        <w:rPr>
          <w:rFonts w:ascii="Times New Roman;serif" w:hAnsi="Times New Roman;serif"/>
          <w:b w:val="false"/>
          <w:color w:val="000000"/>
          <w:sz w:val="24"/>
        </w:rPr>
        <w:t>,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Paying Agent: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“Paying Agent” shall have the meaning assigned to it in Section 6.02(a).</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Person: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“Person” shall mean any individual, a corporation, a limited liability company, a partnership, an association, a joint stock company, a trust, an unincorporated organization or a government or an agency or political subdivision thereof or other entity.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Place of Payment: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“Place of Payment” shall mean, when used with respect to the Securities of any series, the place or places where the principal of and premium, if any, and interest on the Securities of that series are payable as specified pursuant to Section 3.01.</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Predecessor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Record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“Record Date” shall mean, with respect to any interest payable on any Security on any Interest Payment Date, any date specified in such Security or pursuant to Section 3.01 with respect to such Security as the record date for the payment of interest.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Redemption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Redemption Price: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“Redemption Price,” when used with respect to any Security to be redeemed, in whole or in part, shall mean the price at which it is to be redeemed pursuant to the terms of the applicable Security and this Indenture.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Register: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“Register” shall have the meaning assigned to it in Section 3.05(a).</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Registrar: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“Registrar” shall have the meaning assigned to it in Section 3.05(a).</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Responsible Officers: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“Responsible Officers” of the Trustee hereunder shall mean any vice president, any assistant vice president, any 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SEC:</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“SEC” shall mean the United States Securities and Exchange Commission, as constituted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“Security” or “Securities” shall have the meaning stated in the recitals and shall more particularly mean one or more of the Securities duly authenticated by the Trustee and delivered pursuant to the provisions of this Indenture.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Security Custodian: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term “Security Custodian” shall mean the custodian with respect to any Global Security appointed by the Depositary, or any successor Person thereto, and shall initially be the Trustee. </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Securityholder; Holder of Securities; Holder: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“Securityholder” or “Holder of Securities” or “Holder,” shall mean the Person in whose name Securities shall be registered in the Register kept for that purpose hereunder.</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Senior Indebtedness: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Special Record Date: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“Special Record Date” shall have the meaning assigned to it in Section 3.08(b)(i).</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Stated Maturity: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Subsidiary: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“Subsidiary,” when used with respect to any Person, shall mean with respect to any Person, a corporation, partnership association, joint venture, trust, limited liability company or other business entity which is required to be consolidated with such Person in accordance with GAAP.</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Successor Company: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“Successor Company” shall have the meaning assigned to it in Section 3.06(i).</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Trade Payables: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Trust Indenture Act; TIA:</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U.S. Dollars: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“U.S. Dollars” shall mean such currency of the United States as at the time of payment shall be legal tender for the payment of public and private debts.</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U.S. Government Obligations: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“U.S. Government Obligations” shall have the meaning assigned to it in Section 12.03.</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“United States” shall mean the United States of America, its territories and possessions, any State of the United States and the District of Columbia.</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FORMS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bookmarkStart w:id="9" w:name="ieec4437f6720469794be126cefa54013_1326"/>
      <w:bookmarkEnd w:id="9"/>
      <w:r>
        <w:rPr>
          <w:rFonts w:ascii="Times New Roman;serif" w:hAnsi="Times New Roman;serif"/>
          <w:b w:val="false"/>
          <w:color w:val="000000"/>
          <w:sz w:val="24"/>
        </w:rPr>
        <w:t>Section 2.01    </w:t>
      </w:r>
      <w:r>
        <w:rPr>
          <w:rFonts w:ascii="Times New Roman;serif" w:hAnsi="Times New Roman;serif"/>
          <w:b w:val="false"/>
          <w:color w:val="000000"/>
          <w:sz w:val="24"/>
          <w:u w:val="single"/>
        </w:rPr>
        <w:t>Terms of the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bookmarkStart w:id="10" w:name="ie48729fcd978473da4a1c7821c998545_849"/>
      <w:bookmarkStart w:id="11" w:name="ie48729fcd978473da4a1c7821c998545_848"/>
      <w:bookmarkEnd w:id="10"/>
      <w:bookmarkEnd w:id="11"/>
      <w:r>
        <w:rPr>
          <w:rFonts w:ascii="Times New Roman;serif" w:hAnsi="Times New Roman;serif"/>
          <w:b w:val="false"/>
          <w:color w:val="000000"/>
          <w:sz w:val="24"/>
        </w:rPr>
        <w:t>Section 2.02    </w:t>
      </w:r>
      <w:r>
        <w:rPr>
          <w:rFonts w:ascii="Times New Roman;serif" w:hAnsi="Times New Roman;serif"/>
          <w:b w:val="false"/>
          <w:color w:val="000000"/>
          <w:sz w:val="24"/>
          <w:u w:val="single"/>
        </w:rPr>
        <w:t>Form of Trustee’s Certificate of Authentication.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Each Security shall be dated the date of its authentication, except that any Global Security shall be dated as of the date specified as contemplated in Section 3.01.</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form of the Trustee’s certificate of authentication to be borne by the Securities shall be substantially as follows:</w:t>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tbl>
      <w:tblPr>
        <w:tblW w:w="6779" w:type="dxa"/>
        <w:jc w:val="center"/>
        <w:tblInd w:w="0" w:type="dxa"/>
        <w:tblLayout w:type="fixed"/>
        <w:tblCellMar>
          <w:top w:w="28" w:type="dxa"/>
          <w:left w:w="28" w:type="dxa"/>
          <w:bottom w:w="28" w:type="dxa"/>
          <w:right w:w="28" w:type="dxa"/>
        </w:tblCellMar>
      </w:tblPr>
      <w:tblGrid>
        <w:gridCol w:w="1321"/>
        <w:gridCol w:w="1162"/>
        <w:gridCol w:w="1162"/>
        <w:gridCol w:w="918"/>
        <w:gridCol w:w="918"/>
        <w:gridCol w:w="1298"/>
      </w:tblGrid>
      <w:tr>
        <w:trPr/>
        <w:tc>
          <w:tcPr>
            <w:tcW w:w="13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Date of authentication: ___________</w:t>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[_____________], as Trustee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480" w:after="283"/>
        <w:ind w:left="0" w:right="0" w:hanging="50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left"/>
        <w:rPr/>
      </w:pPr>
      <w:bookmarkStart w:id="12" w:name="i239b689e6e424fee83b8519e56fa5ffd_511"/>
      <w:bookmarkEnd w:id="12"/>
      <w:r>
        <w:rPr>
          <w:rFonts w:ascii="Times New Roman;serif" w:hAnsi="Times New Roman;serif"/>
          <w:b w:val="false"/>
          <w:color w:val="000000"/>
          <w:sz w:val="24"/>
        </w:rPr>
        <w:t>Section 2.03    </w:t>
      </w:r>
      <w:r>
        <w:rPr>
          <w:rFonts w:ascii="Times New Roman;serif" w:hAnsi="Times New Roman;serif"/>
          <w:b w:val="false"/>
          <w:color w:val="000000"/>
          <w:sz w:val="24"/>
          <w:u w:val="single"/>
        </w:rPr>
        <w:t>Form of Trustee’s Certificate of Authentication by an Authenticating Agent</w:t>
      </w:r>
      <w:r>
        <w:rPr>
          <w:rFonts w:ascii="Times New Roman;serif" w:hAnsi="Times New Roman;serif"/>
          <w:b w:val="false"/>
          <w:color w:val="000000"/>
          <w:sz w:val="24"/>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tbl>
      <w:tblPr>
        <w:tblW w:w="6779" w:type="dxa"/>
        <w:jc w:val="center"/>
        <w:tblInd w:w="0" w:type="dxa"/>
        <w:tblLayout w:type="fixed"/>
        <w:tblCellMar>
          <w:top w:w="28" w:type="dxa"/>
          <w:left w:w="28" w:type="dxa"/>
          <w:bottom w:w="28" w:type="dxa"/>
          <w:right w:w="28" w:type="dxa"/>
        </w:tblCellMar>
      </w:tblPr>
      <w:tblGrid>
        <w:gridCol w:w="1321"/>
        <w:gridCol w:w="1162"/>
        <w:gridCol w:w="1162"/>
        <w:gridCol w:w="918"/>
        <w:gridCol w:w="918"/>
        <w:gridCol w:w="1298"/>
      </w:tblGrid>
      <w:tr>
        <w:trPr/>
        <w:tc>
          <w:tcPr>
            <w:tcW w:w="13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Date of authentication: ___________</w:t>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[_____________], as Trustee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as Authenticating Agent</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480" w:after="283"/>
        <w:ind w:left="0" w:right="0" w:hanging="50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THE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bookmarkStart w:id="13" w:name="ida5f5d431dd9426388d5dd531929c461_9204"/>
      <w:bookmarkEnd w:id="13"/>
      <w:r>
        <w:rPr>
          <w:rFonts w:ascii="Times New Roman;serif" w:hAnsi="Times New Roman;serif"/>
          <w:b w:val="false"/>
          <w:color w:val="000000"/>
          <w:sz w:val="24"/>
        </w:rPr>
        <w:t>Section 3.01    </w:t>
      </w:r>
      <w:r>
        <w:rPr>
          <w:rFonts w:ascii="Times New Roman;serif" w:hAnsi="Times New Roman;serif"/>
          <w:b w:val="false"/>
          <w:color w:val="000000"/>
          <w:sz w:val="24"/>
          <w:u w:val="single"/>
        </w:rPr>
        <w:t>Amount Unlimited; Issuable in Series</w:t>
      </w:r>
      <w:r>
        <w:rPr>
          <w:rFonts w:ascii="Times New Roman;serif" w:hAnsi="Times New Roman;serif"/>
          <w:b w:val="false"/>
          <w:color w:val="000000"/>
          <w:sz w:val="24"/>
        </w:rPr>
        <w:t>. The aggregate principal amount of Securities that may be authenticated and delivered under this Indenture is unlimited. The Securities may be issued in one or more series. The title and terms on each series of Securities shall be as set forth in a Board Resolution, Company Order or in one or more indentures supplemental hereto, prior to the issuance of Securities of any series: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the title of the Securities of the series (which shall distinguish the Securities of such series from the Securities of all other series, except to the extent that additional Securities of an existing series are being issued);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if other than U.S. Dollars, the Foreign Currency in which Securities of the series shall be denominated or in which payment of the principal of, premium, if any, or interest on the Securities of the series shall be payable and any other terms concerning such payment;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(f)    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(g)    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(h)    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the price or prices at which, the period or periods within which or the date or dates on which, and the terms and conditions upon which Securities of the series may be redeemed, in whole or in part, at the option of the Company, if the Company is to have that option;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(j)    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(k)    if other than denominations of $2,000 and any integral multiple of $1,000 in excess thereof, the denominations in which Securities of the series shall be issuable;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(l)    if other than the principal amount thereof, the portion of the principal amount of the Securities of the series which shall be payable upon declaration of acceleration of the Maturity thereof pursuant to Section 7.02;</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(m)    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(n)    whether the Securities of the series are to be issued as Original Issue Discount Securities and the amount of discount with which such Securities may be issued;</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(o)    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(p)    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(q)    the date as of which any Global Security of the series shall be dated if other than the original issuance of the first Security of the series to be issued;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(r)    the form or forms of the Securities of the series including such legends as may be required by applicable law;</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(s)    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(t)    whether the Securities of such series are subject to subordination and the terms of such subordination (for avoidance of doubt, Article XV shall not apply to the Securities of any series unless the terms of such series expressly state it applies);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(u)    whether the Securities of such series are to be secured and the terms of such security;</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(v)    any restriction or condition on the transferability of the Securities of such series;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(w)    any addition or change in the provisions related to compensation and reimbursement of the Trustee which applies to Securities of such series;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(x)    any addition or change in the provisions related to supplemental indentures set forth in Sections 14.01, 14.02 and 14.04 which applies to Securities of such series;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(y)    provisions, if any, granting special rights to Holders upon the occurrence of specified events;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(z)    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(aa)    any addition to or change in the covenants set forth in Article VI which applies to Securities of the series; and</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(bb)    any other terms of the Securities of such series (which terms shall not be inconsistent with the provisions of the TIA, but may modify, amend, supplement or delete any of the terms of this Indenture with respect to such series).</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All Securities of any one series shall be substantially identical, except as to denomination and except as may otherwise be provided herein or set forth in a Board Resolution, a Company Order or in one or more indentures supplemental hereto.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3.02    </w:t>
      </w:r>
      <w:r>
        <w:rPr>
          <w:rFonts w:ascii="Times New Roman;serif" w:hAnsi="Times New Roman;serif"/>
          <w:b w:val="false"/>
          <w:color w:val="000000"/>
          <w:sz w:val="24"/>
          <w:u w:val="single"/>
        </w:rPr>
        <w:t>Denominations</w:t>
      </w:r>
      <w:r>
        <w:rPr>
          <w:rFonts w:ascii="Times New Roman;serif" w:hAnsi="Times New Roman;serif"/>
          <w:b w:val="false"/>
          <w:color w:val="000000"/>
          <w:sz w:val="24"/>
        </w:rPr>
        <w:t>. In the absence of any specification pursuant to Section 3.01 with respect to Securities of any series, the Securities of such series shall be issuable only as Securities in minimum denominations of $2,000 and any integral multiple of $1,000 in excess thereof, and shall be payable only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3.03    </w:t>
      </w:r>
      <w:r>
        <w:rPr>
          <w:rFonts w:ascii="Times New Roman;serif" w:hAnsi="Times New Roman;serif"/>
          <w:b w:val="false"/>
          <w:color w:val="000000"/>
          <w:sz w:val="24"/>
          <w:u w:val="single"/>
        </w:rPr>
        <w:t>Execution, Authentication, Delivery and Dating</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The Securities shall be executed in the name and on behalf of the Company by the manual, facsimile or other electronic signature of any Officer. If the Person whose signature is on a Security no longer holds that office at the time the Security is authenticated and delivered, the Security shall nevertheless be valid.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Each Security shall be dated the date of its authentication, except as otherwise provided pursuant to Section 3.01 with respect to the Securities of such series.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(f)    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(g)    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 </w:t>
      </w:r>
    </w:p>
    <w:p>
      <w:pPr>
        <w:pStyle w:val="TextBody"/>
        <w:bidi w:val="0"/>
        <w:spacing w:lineRule="auto" w:line="240" w:before="0" w:after="240"/>
        <w:jc w:val="left"/>
        <w:rPr>
          <w:color w:val="000000"/>
        </w:rPr>
      </w:pPr>
      <w:r>
        <w:rPr>
          <w:color w:val="000000"/>
        </w:rPr>
        <w:t>“</w:t>
      </w:r>
      <w:r>
        <w:rPr>
          <w:rFonts w:ascii="Times New Roman;serif" w:hAnsi="Times New Roman;serif"/>
          <w:b w:val="false"/>
          <w:color w:val="000000"/>
          <w:sz w:val="24"/>
        </w:rPr>
        <w:t xml:space="preserve">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The aggregate principal amount of each Global Security may from time to time be increased or decreased by adjustments made on the records of the Security Custodian, as provided in this Indenture.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(h)    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(j)    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3.04    </w:t>
      </w:r>
      <w:r>
        <w:rPr>
          <w:rFonts w:ascii="Times New Roman;serif" w:hAnsi="Times New Roman;serif"/>
          <w:b w:val="false"/>
          <w:color w:val="000000"/>
          <w:sz w:val="24"/>
          <w:u w:val="single"/>
        </w:rPr>
        <w:t>Temporary Securities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3.05    </w:t>
      </w:r>
      <w:r>
        <w:rPr>
          <w:rFonts w:ascii="Times New Roman;serif" w:hAnsi="Times New Roman;serif"/>
          <w:b w:val="false"/>
          <w:color w:val="000000"/>
          <w:sz w:val="24"/>
          <w:u w:val="single"/>
        </w:rPr>
        <w:t>Registrar</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Company hereby appoints the Trustee at its Corporate Trust Office as Registrar in connection with the Securities and this Indenture, until such time as another Person is appointed as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3.06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Transfer.</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(ii)    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Exchange.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(ii)    Whenever any Securities are so surrendered for exchange, the Company shall execute, and the Trustee or Authenticating Agent shall authenticate and deliver, the Securities that the Holder making the exchange is entitled to receive.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Exchange of Global Securities for Individual Securities. Except as provided below, owners of beneficial interests in Global Securities will not be entitled to receive Individual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 xml:space="preserve">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(A)    the Security Custodian and Registrar shall notify the Company and the Trustee of such instructions, identifying the owner and amount of such beneficial interest in such Global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(B)    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(C)    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(iii)    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(A)    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(B)    to such Depositary a new Global Security in a denomination equal to the difference, if any, between the principal amount of the surrendered Global Security and the aggregate principal amount of Individual Securities delivered to Holders thereof.</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(iv)    In any exchange provided for in clauses (i) through (iii), the Company will execute and the Trustee will authenticate and deliver Individual Securities in registered form in authorized denominations.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(v)    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(f)    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(g)    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(h)    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(j)    Neither the Trustee nor any agent of the Trustee shall have any responsibility for any actions taken or not taken by the Depositary.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3.07    </w:t>
      </w:r>
      <w:r>
        <w:rPr>
          <w:rFonts w:ascii="Times New Roman;serif" w:hAnsi="Times New Roman;serif"/>
          <w:b w:val="false"/>
          <w:color w:val="000000"/>
          <w:sz w:val="24"/>
          <w:u w:val="single"/>
        </w:rPr>
        <w:t>Mutilated, Destroyed, Lost and Stolen Securities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In case any such mutilated, destroyed, lost or stolen Security has become or is about to become due and payable, the Company in its discretion may, instead of issuing a new Security, pay the amount due on such Security in accordance with its terms.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The provisions of this Section are exclusive and shall preclude (to the extent lawful) all other rights and remedies with respect to the replacement or payment of mutilated, destroyed, lost or stolen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3.08    </w:t>
      </w:r>
      <w:r>
        <w:rPr>
          <w:rFonts w:ascii="Times New Roman;serif" w:hAnsi="Times New Roman;serif"/>
          <w:b w:val="false"/>
          <w:color w:val="000000"/>
          <w:sz w:val="24"/>
          <w:u w:val="single"/>
        </w:rPr>
        <w:t>Payment of Interest; Interest Rights Preserved</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3.09    </w:t>
      </w:r>
      <w:r>
        <w:rPr>
          <w:rFonts w:ascii="Times New Roman;serif" w:hAnsi="Times New Roman;serif"/>
          <w:b w:val="false"/>
          <w:color w:val="000000"/>
          <w:sz w:val="24"/>
          <w:u w:val="single"/>
        </w:rPr>
        <w:t>Cancellation</w:t>
      </w:r>
      <w:r>
        <w:rPr>
          <w:rFonts w:ascii="Times New Roman;serif" w:hAnsi="Times New Roman;serif"/>
          <w:b w:val="false"/>
          <w:color w:val="000000"/>
          <w:sz w:val="24"/>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3.10    </w:t>
      </w:r>
      <w:r>
        <w:rPr>
          <w:rFonts w:ascii="Times New Roman;serif" w:hAnsi="Times New Roman;serif"/>
          <w:b w:val="false"/>
          <w:color w:val="000000"/>
          <w:sz w:val="24"/>
          <w:u w:val="single"/>
        </w:rPr>
        <w:t>Computation of Interest</w:t>
      </w:r>
      <w:r>
        <w:rPr>
          <w:rFonts w:ascii="Times New Roman;serif" w:hAnsi="Times New Roman;serif"/>
          <w:b w:val="false"/>
          <w:color w:val="000000"/>
          <w:sz w:val="24"/>
        </w:rPr>
        <w:t>. Except as otherwise specified pursuant to Section 3.01 for Securities of any series, interest on the Securities of each series shall be computed on the basis of a 360-day year of twelve 30-day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3.11    </w:t>
      </w:r>
      <w:r>
        <w:rPr>
          <w:rFonts w:ascii="Times New Roman;serif" w:hAnsi="Times New Roman;serif"/>
          <w:b w:val="false"/>
          <w:color w:val="000000"/>
          <w:sz w:val="24"/>
          <w:u w:val="single"/>
        </w:rPr>
        <w:t>Currency of Payments in Respect of Securities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Except as otherwise specified pursuant to Section 3.01 for Securities of any series, payment of the principal of and premium, if any, and interest on Securities of such series will be made in U.S. Dollars.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3.12    </w:t>
      </w:r>
      <w:r>
        <w:rPr>
          <w:rFonts w:ascii="Times New Roman;serif" w:hAnsi="Times New Roman;serif"/>
          <w:b w:val="false"/>
          <w:color w:val="000000"/>
          <w:sz w:val="24"/>
          <w:u w:val="single"/>
        </w:rPr>
        <w:t>Judgments</w:t>
      </w:r>
      <w:r>
        <w:rPr>
          <w:rFonts w:ascii="Times New Roman;serif" w:hAnsi="Times New Roman;serif"/>
          <w:b w:val="false"/>
          <w:color w:val="000000"/>
          <w:sz w:val="24"/>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3.13    </w:t>
      </w:r>
      <w:r>
        <w:rPr>
          <w:rFonts w:ascii="Times New Roman;serif" w:hAnsi="Times New Roman;serif"/>
          <w:b w:val="false"/>
          <w:color w:val="000000"/>
          <w:sz w:val="24"/>
          <w:u w:val="single"/>
        </w:rPr>
        <w:t>CUSIP Numbers</w:t>
      </w:r>
      <w:r>
        <w:rPr>
          <w:rFonts w:ascii="Times New Roman;serif" w:hAnsi="Times New Roman;serif"/>
          <w:b w:val="false"/>
          <w:color w:val="000000"/>
          <w:sz w:val="24"/>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REDEMPTION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4.01    </w:t>
      </w:r>
      <w:r>
        <w:rPr>
          <w:rFonts w:ascii="Times New Roman;serif" w:hAnsi="Times New Roman;serif"/>
          <w:b w:val="false"/>
          <w:color w:val="000000"/>
          <w:sz w:val="24"/>
          <w:u w:val="single"/>
        </w:rPr>
        <w:t>Applicability of Right of Redemption</w:t>
      </w:r>
      <w:r>
        <w:rPr>
          <w:rFonts w:ascii="Times New Roman;serif" w:hAnsi="Times New Roman;serif"/>
          <w:b w:val="false"/>
          <w:color w:val="000000"/>
          <w:sz w:val="24"/>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4.02    </w:t>
      </w:r>
      <w:r>
        <w:rPr>
          <w:rFonts w:ascii="Times New Roman;serif" w:hAnsi="Times New Roman;serif"/>
          <w:b w:val="false"/>
          <w:color w:val="000000"/>
          <w:sz w:val="24"/>
          <w:u w:val="single"/>
        </w:rPr>
        <w:t>Selection of Securities to be Redeemed</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If the Company shall at any time elect to redeem all or any portion of the Securities of a series then Outstanding, it shall at least 15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4.03    </w:t>
      </w:r>
      <w:r>
        <w:rPr>
          <w:rFonts w:ascii="Times New Roman;serif" w:hAnsi="Times New Roman;serif"/>
          <w:b w:val="false"/>
          <w:color w:val="000000"/>
          <w:sz w:val="24"/>
          <w:u w:val="single"/>
        </w:rPr>
        <w:t>Notice of Redemption</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Notice of redemption shall be given by the Company or, at the Company’s request, by the Trustee in the name and at the expense of the Company, not less than 10 nor more than 30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All notices of redemption shall identify the Securities to be redeemed (including CUSIP, ISIN or other similar numbers, if available along with the statement in Section 3.13) and shall state: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such election by the Company to redeem Securities of such series pursuant to provisions contained in this Indenture or the terms of the Securities of such series or a supplemental indenture establishing such series, if such be the case;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the Redemption Date;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(iii)    the Redemption Price;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(iv)    if less than all Outstanding Securities of any series are to be redeemed, the identification (and, in the case of partial redemption, the principal amounts) of the Securities of such series to be redeemed;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(v)    that on the Redemption Date the Redemption Price will become due and payable upon each such Security to be redeemed, and that, if applicable, interest thereon shall cease to accrue on and after said date;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(vi)    the Place or Places of Payment where such Securities are to be surrendered for payment of the Redemption Price; and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(vii)    that the redemption is for a sinking fund, if such is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4.04    </w:t>
      </w:r>
      <w:r>
        <w:rPr>
          <w:rFonts w:ascii="Times New Roman;serif" w:hAnsi="Times New Roman;serif"/>
          <w:b w:val="false"/>
          <w:color w:val="000000"/>
          <w:sz w:val="24"/>
          <w:u w:val="single"/>
        </w:rPr>
        <w:t>Deposit of Redemption Price</w:t>
      </w:r>
      <w:r>
        <w:rPr>
          <w:rFonts w:ascii="Times New Roman;serif" w:hAnsi="Times New Roman;serif"/>
          <w:b w:val="false"/>
          <w:color w:val="000000"/>
          <w:sz w:val="24"/>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4.05    </w:t>
      </w:r>
      <w:r>
        <w:rPr>
          <w:rFonts w:ascii="Times New Roman;serif" w:hAnsi="Times New Roman;serif"/>
          <w:b w:val="false"/>
          <w:color w:val="000000"/>
          <w:sz w:val="24"/>
          <w:u w:val="single"/>
        </w:rPr>
        <w:t>Securities Payable on Redemption Date</w:t>
      </w:r>
      <w:r>
        <w:rPr>
          <w:rFonts w:ascii="Times New Roman;serif" w:hAnsi="Times New Roman;serif"/>
          <w:b w:val="false"/>
          <w:color w:val="000000"/>
          <w:sz w:val="24"/>
        </w:rPr>
        <w:t xml:space="preserve">.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any Security called for redemption shall not be so paid upon surrender thereof for redemption, the principal thereof and premium, if any, thereon shall, until paid, bear interest from the Redemption Date at the rate borne by or prescribed in such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4.06    </w:t>
      </w:r>
      <w:r>
        <w:rPr>
          <w:rFonts w:ascii="Times New Roman;serif" w:hAnsi="Times New Roman;serif"/>
          <w:b w:val="false"/>
          <w:color w:val="000000"/>
          <w:sz w:val="24"/>
          <w:u w:val="single"/>
        </w:rPr>
        <w:t>Securities Redeemed in Part</w:t>
      </w:r>
      <w:r>
        <w:rPr>
          <w:rFonts w:ascii="Times New Roman;serif" w:hAnsi="Times New Roman;serif"/>
          <w:b w:val="false"/>
          <w:color w:val="000000"/>
          <w:sz w:val="24"/>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SINKING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5.01    </w:t>
      </w:r>
      <w:r>
        <w:rPr>
          <w:rFonts w:ascii="Times New Roman;serif" w:hAnsi="Times New Roman;serif"/>
          <w:b w:val="false"/>
          <w:color w:val="000000"/>
          <w:sz w:val="24"/>
          <w:u w:val="single"/>
        </w:rPr>
        <w:t>Applicability of Sinking Fund</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5.02    </w:t>
      </w:r>
      <w:r>
        <w:rPr>
          <w:rFonts w:ascii="Times New Roman;serif" w:hAnsi="Times New Roman;serif"/>
          <w:b w:val="false"/>
          <w:color w:val="000000"/>
          <w:sz w:val="24"/>
          <w:u w:val="single"/>
        </w:rPr>
        <w:t>Mandatory Sinking Fund Obligation</w:t>
      </w:r>
      <w:r>
        <w:rPr>
          <w:rFonts w:ascii="Times New Roman;serif" w:hAnsi="Times New Roman;serif"/>
          <w:b w:val="false"/>
          <w:color w:val="000000"/>
          <w:sz w:val="24"/>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5.03    </w:t>
      </w:r>
      <w:r>
        <w:rPr>
          <w:rFonts w:ascii="Times New Roman;serif" w:hAnsi="Times New Roman;serif"/>
          <w:b w:val="false"/>
          <w:color w:val="000000"/>
          <w:sz w:val="24"/>
          <w:u w:val="single"/>
        </w:rPr>
        <w:t>Optional Redemption at Sinking Fund Redemption Price</w:t>
      </w:r>
      <w:r>
        <w:rPr>
          <w:rFonts w:ascii="Times New Roman;serif" w:hAnsi="Times New Roman;serif"/>
          <w:b w:val="false"/>
          <w:color w:val="000000"/>
          <w:sz w:val="24"/>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5.04    </w:t>
      </w:r>
      <w:r>
        <w:rPr>
          <w:rFonts w:ascii="Times New Roman;serif" w:hAnsi="Times New Roman;serif"/>
          <w:b w:val="false"/>
          <w:color w:val="000000"/>
          <w:sz w:val="24"/>
          <w:u w:val="single"/>
        </w:rPr>
        <w:t>Application of Sinking Fund Payment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On or prior to each sinking fund payment date, the Company shall pay to the Trustee a sum equal to all interest accrued to but not including the date fixed for redemption on Securities to be redeemed on such sinking fund payment date pursuant to this Section 5.04.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PARTICULAR COVENANTS OF THE COMPANY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hereby covenants and agrees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6.01    </w:t>
      </w:r>
      <w:r>
        <w:rPr>
          <w:rFonts w:ascii="Times New Roman;serif" w:hAnsi="Times New Roman;serif"/>
          <w:b w:val="false"/>
          <w:color w:val="000000"/>
          <w:sz w:val="24"/>
          <w:u w:val="single"/>
        </w:rPr>
        <w:t>Payments of Securities</w:t>
      </w:r>
      <w:r>
        <w:rPr>
          <w:rFonts w:ascii="Times New Roman;serif" w:hAnsi="Times New Roman;serif"/>
          <w:b w:val="false"/>
          <w:color w:val="000000"/>
          <w:sz w:val="24"/>
        </w:rPr>
        <w:t>. The Company will duly and punctually pay the principal of and premium, if any, on each series of Securities, and the interest which shall have accrued thereon, at the dates and place and in the manner provided in the Securities and in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6.02    </w:t>
      </w:r>
      <w:r>
        <w:rPr>
          <w:rFonts w:ascii="Times New Roman;serif" w:hAnsi="Times New Roman;serif"/>
          <w:b w:val="false"/>
          <w:color w:val="000000"/>
          <w:sz w:val="24"/>
          <w:u w:val="single"/>
        </w:rPr>
        <w:t>Paying Agent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6.03    </w:t>
      </w:r>
      <w:r>
        <w:rPr>
          <w:rFonts w:ascii="Times New Roman;serif" w:hAnsi="Times New Roman;serif"/>
          <w:b w:val="false"/>
          <w:color w:val="000000"/>
          <w:sz w:val="24"/>
          <w:u w:val="single"/>
        </w:rPr>
        <w:t>To Hold Payment in Trust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If the Paying Agent shall be other than the Trustee, the Company will cause such Paying Agent to execute and deliver to the Trustee an instrument in which such Paying Agent shall agree with the Trustee, subject to the provisions of this Section 6.03, that such Paying Agent shall: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hold all moneys held by it for the payment of the principal of and premium, if any, or interest on the Securities of that series in trust for the benefit of the Holders of such Securities until such sums shall be paid to such Holders or otherwise disposed of as herein provided;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give to the Trustee notice of any Default by the Company or any other obligor upon the Securities of that series in the making of any payment of the principal of and premium, if any, or interest on the Securities of that series; and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(iii)    at any time during the continuance of any such Default, upon the written request of the Trustee, pay to the Trustee all sums so held in trust by such Paying Agent.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6.04    </w:t>
      </w:r>
      <w:r>
        <w:rPr>
          <w:rFonts w:ascii="Times New Roman;serif" w:hAnsi="Times New Roman;serif"/>
          <w:b w:val="false"/>
          <w:color w:val="000000"/>
          <w:sz w:val="24"/>
          <w:u w:val="single"/>
        </w:rPr>
        <w:t>Merger, Consolidation and Sale of Assets</w:t>
      </w:r>
      <w:r>
        <w:rPr>
          <w:rFonts w:ascii="Times New Roman;serif" w:hAnsi="Times New Roman;serif"/>
          <w:b w:val="false"/>
          <w:color w:val="000000"/>
          <w:sz w:val="24"/>
        </w:rPr>
        <w:t>. Except as otherwise provided as contemplated by Section 3.01 with respect to any series of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the United States or any State thereof or the District of Columbia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6.05    </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6.06    </w:t>
      </w:r>
      <w:r>
        <w:rPr>
          <w:rFonts w:ascii="Times New Roman;serif" w:hAnsi="Times New Roman;serif"/>
          <w:b w:val="false"/>
          <w:color w:val="000000"/>
          <w:sz w:val="24"/>
          <w:u w:val="single"/>
        </w:rPr>
        <w:t>Conditional Waiver by Holders of Securities</w:t>
      </w:r>
      <w:r>
        <w:rPr>
          <w:rFonts w:ascii="Times New Roman;serif" w:hAnsi="Times New Roman;serif"/>
          <w:b w:val="false"/>
          <w:color w:val="000000"/>
          <w:sz w:val="24"/>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6.07    </w:t>
      </w:r>
      <w:r>
        <w:rPr>
          <w:rFonts w:ascii="Times New Roman;serif" w:hAnsi="Times New Roman;serif"/>
          <w:b w:val="false"/>
          <w:color w:val="000000"/>
          <w:sz w:val="24"/>
          <w:u w:val="single"/>
        </w:rPr>
        <w:t>Statement by Officers as to Default</w:t>
      </w:r>
      <w:r>
        <w:rPr>
          <w:rFonts w:ascii="Times New Roman;serif" w:hAnsi="Times New Roman;serif"/>
          <w:b w:val="false"/>
          <w:color w:val="000000"/>
          <w:sz w:val="24"/>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REMEDIES OF TRUSTEE AND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xml:space="preserve">.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failure of the Company to pay any installment of interest on any Security of such series when and as the same shall become payable, which failure shall have continued unremedied for a period of 30 days;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the failure of the Company to pay a sinking fund installment, if any, when and as the same shall become payable by the terms of a Security of such series, which failure shall have continued unremedied for a period of 30 days;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(e)    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(f)    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(g)    the occurrence of any other Event of Default with respect to Securities of such series as provided in Section 3.01;</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pStyle w:val="TextBody"/>
        <w:bidi w:val="0"/>
        <w:spacing w:before="0" w:after="240"/>
        <w:jc w:val="left"/>
        <w:rPr/>
      </w:pPr>
      <w:r>
        <w:rPr/>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7.02    </w:t>
      </w:r>
      <w:r>
        <w:rPr>
          <w:rFonts w:ascii="Times New Roman;serif" w:hAnsi="Times New Roman;serif"/>
          <w:b w:val="false"/>
          <w:color w:val="000000"/>
          <w:sz w:val="24"/>
          <w:u w:val="single"/>
        </w:rPr>
        <w:t>Acceleration; Rescission and Annulment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annual such acceleration if:</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the Company has paid or deposited with the Trustee or Paying Agent a sum in the Currency in which such Securities are denominated (subject to the last paragraph of Section 7.01 and except as otherwise provided pursuant to Section 3.01) sufficient to pay: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 xml:space="preserve">(A)    all amounts owing the Trustee and any predecessor trustee hereunder under Section 11.01(a) (provided, however, that all sums payable under this clause (A) shall be paid in U.S. Dollars);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(B)    all accrued and unpaid interest, if any, upon all the Securities of such series with interest thereon to the extent that interest thereon shall be legally enforceable, on any overdue installment of interest at the rate borne by or prescribed in such Securities; and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(C)    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(ii)    every other Default and Event of Default with respect to Securities of that series, other than the non-payment of the principal of Securities of that series which have become due solely by such acceleration, have been cured or waived as provided in Section 7.06.</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No such rescission shall affect any subsequent default or impair any right consequent thereon.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7.03    </w:t>
      </w:r>
      <w:r>
        <w:rPr>
          <w:rFonts w:ascii="Times New Roman;serif" w:hAnsi="Times New Roman;serif"/>
          <w:b w:val="false"/>
          <w:color w:val="000000"/>
          <w:sz w:val="24"/>
          <w:u w:val="single"/>
        </w:rPr>
        <w:t>Other Remedies</w:t>
      </w:r>
      <w:r>
        <w:rPr>
          <w:rFonts w:ascii="Times New Roman;serif" w:hAnsi="Times New Roman;serif"/>
          <w:b w:val="false"/>
          <w:color w:val="000000"/>
          <w:sz w:val="24"/>
        </w:rPr>
        <w:t xml:space="preserve">.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7.04    </w:t>
      </w:r>
      <w:r>
        <w:rPr>
          <w:rFonts w:ascii="Times New Roman;serif" w:hAnsi="Times New Roman;serif"/>
          <w:b w:val="false"/>
          <w:color w:val="000000"/>
          <w:sz w:val="24"/>
          <w:u w:val="single"/>
        </w:rPr>
        <w:t>Trustee as Attorney-in-Fact</w:t>
      </w:r>
      <w:r>
        <w:rPr>
          <w:rFonts w:ascii="Times New Roman;serif" w:hAnsi="Times New Roman;serif"/>
          <w:b w:val="false"/>
          <w:color w:val="000000"/>
          <w:sz w:val="24"/>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7.05    </w:t>
      </w:r>
      <w:r>
        <w:rPr>
          <w:rFonts w:ascii="Times New Roman;serif" w:hAnsi="Times New Roman;serif"/>
          <w:b w:val="false"/>
          <w:color w:val="000000"/>
          <w:sz w:val="24"/>
          <w:u w:val="single"/>
        </w:rPr>
        <w:t>Priorities</w:t>
      </w:r>
      <w:r>
        <w:rPr>
          <w:rFonts w:ascii="Times New Roman;serif" w:hAnsi="Times New Roman;serif"/>
          <w:b w:val="false"/>
          <w:color w:val="000000"/>
          <w:sz w:val="24"/>
        </w:rPr>
        <w:t xml:space="preserve">.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First: To the payment of all amounts due to the Trustee and any predecessor trustee hereunder under Section 11.01(a).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Any surplus then remaining shall be paid to the Company or as directed by a court of competent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7.06    </w:t>
      </w:r>
      <w:r>
        <w:rPr>
          <w:rFonts w:ascii="Times New Roman;serif" w:hAnsi="Times New Roman;serif"/>
          <w:b w:val="false"/>
          <w:color w:val="000000"/>
          <w:sz w:val="24"/>
          <w:u w:val="single"/>
        </w:rPr>
        <w:t>Control by Securityholders; Waiver of Past Defaults</w:t>
      </w:r>
      <w:r>
        <w:rPr>
          <w:rFonts w:ascii="Times New Roman;serif" w:hAnsi="Times New Roman;serif"/>
          <w:b w:val="false"/>
          <w:color w:val="000000"/>
          <w:sz w:val="24"/>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7.07    </w:t>
      </w:r>
      <w:r>
        <w:rPr>
          <w:rFonts w:ascii="Times New Roman;serif" w:hAnsi="Times New Roman;serif"/>
          <w:b w:val="false"/>
          <w:color w:val="000000"/>
          <w:sz w:val="24"/>
          <w:u w:val="single"/>
        </w:rPr>
        <w:t>Limitation on Suits</w:t>
      </w:r>
      <w:r>
        <w:rPr>
          <w:rFonts w:ascii="Times New Roman;serif" w:hAnsi="Times New Roman;serif"/>
          <w:b w:val="false"/>
          <w:color w:val="000000"/>
          <w:sz w:val="24"/>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7.08    </w:t>
      </w:r>
      <w:r>
        <w:rPr>
          <w:rFonts w:ascii="Times New Roman;serif" w:hAnsi="Times New Roman;serif"/>
          <w:b w:val="false"/>
          <w:color w:val="000000"/>
          <w:sz w:val="24"/>
          <w:u w:val="single"/>
        </w:rPr>
        <w:t>Undertaking for Costs</w:t>
      </w:r>
      <w:r>
        <w:rPr>
          <w:rFonts w:ascii="Times New Roman;serif" w:hAnsi="Times New Roman;serif"/>
          <w:b w:val="false"/>
          <w:color w:val="000000"/>
          <w:sz w:val="24"/>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7.09    </w:t>
      </w:r>
      <w:r>
        <w:rPr>
          <w:rFonts w:ascii="Times New Roman;serif" w:hAnsi="Times New Roman;serif"/>
          <w:b w:val="false"/>
          <w:color w:val="000000"/>
          <w:sz w:val="24"/>
          <w:u w:val="single"/>
        </w:rPr>
        <w:t>Remedies Cumulative</w:t>
      </w:r>
      <w:r>
        <w:rPr>
          <w:rFonts w:ascii="Times New Roman;serif" w:hAnsi="Times New Roman;serif"/>
          <w:b w:val="false"/>
          <w:color w:val="000000"/>
          <w:sz w:val="24"/>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CONCERNING THE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8.01    </w:t>
      </w:r>
      <w:r>
        <w:rPr>
          <w:rFonts w:ascii="Times New Roman;serif" w:hAnsi="Times New Roman;serif"/>
          <w:b w:val="false"/>
          <w:color w:val="000000"/>
          <w:sz w:val="24"/>
          <w:u w:val="single"/>
        </w:rPr>
        <w:t>Evidence of Action of Securityholders</w:t>
      </w:r>
      <w:r>
        <w:rPr>
          <w:rFonts w:ascii="Times New Roman;serif" w:hAnsi="Times New Roman;serif"/>
          <w:b w:val="false"/>
          <w:color w:val="000000"/>
          <w:sz w:val="24"/>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8.02    </w:t>
      </w:r>
      <w:r>
        <w:rPr>
          <w:rFonts w:ascii="Times New Roman;serif" w:hAnsi="Times New Roman;serif"/>
          <w:b w:val="false"/>
          <w:color w:val="000000"/>
          <w:sz w:val="24"/>
          <w:u w:val="single"/>
        </w:rPr>
        <w:t>Proof of Execution or Holding of Securities</w:t>
      </w:r>
      <w:r>
        <w:rPr>
          <w:rFonts w:ascii="Times New Roman;serif" w:hAnsi="Times New Roman;serif"/>
          <w:b w:val="false"/>
          <w:color w:val="000000"/>
          <w:sz w:val="24"/>
        </w:rPr>
        <w:t xml:space="preserve">. Proof of the execution of any instrument by a Securityholder or his, her or its agent or proxy and proof of the holding by any Person of any of the Securities shall be sufficient if made in the following manner: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ownership of Securities of any series shall be proved by the Register of such Securities or by a certificate of the Registrar for such series.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The record of any Holders’ meeting shall be proved in the manner provided in Section 9.06.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The Trustee may require such additional proof of any matter referred to in this Section 8.02 as it shall deem appropriate or necessary, so long as the request is a reasonable one.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8.03    </w:t>
      </w:r>
      <w:r>
        <w:rPr>
          <w:rFonts w:ascii="Times New Roman;serif" w:hAnsi="Times New Roman;serif"/>
          <w:b w:val="false"/>
          <w:color w:val="000000"/>
          <w:sz w:val="24"/>
          <w:u w:val="single"/>
        </w:rPr>
        <w:t>Persons Deemed Owners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8.04    </w:t>
      </w:r>
      <w:r>
        <w:rPr>
          <w:rFonts w:ascii="Times New Roman;serif" w:hAnsi="Times New Roman;serif"/>
          <w:b w:val="false"/>
          <w:color w:val="000000"/>
          <w:sz w:val="24"/>
          <w:u w:val="single"/>
        </w:rPr>
        <w:t>Effect of Consents</w:t>
      </w:r>
      <w:r>
        <w:rPr>
          <w:rFonts w:ascii="Times New Roman;serif" w:hAnsi="Times New Roman;serif"/>
          <w:b w:val="false"/>
          <w:color w:val="000000"/>
          <w:sz w:val="24"/>
        </w:rPr>
        <w:t xml:space="preserve">.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u w:val="single"/>
        </w:rPr>
        <w:br/>
        <w:br/>
        <w:t>SECURITYHOLDERS’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9.01    </w:t>
      </w:r>
      <w:r>
        <w:rPr>
          <w:rFonts w:ascii="Times New Roman;serif" w:hAnsi="Times New Roman;serif"/>
          <w:b w:val="false"/>
          <w:color w:val="000000"/>
          <w:sz w:val="24"/>
          <w:u w:val="single"/>
        </w:rPr>
        <w:t>Purposes of Meetings</w:t>
      </w:r>
      <w:r>
        <w:rPr>
          <w:rFonts w:ascii="Times New Roman;serif" w:hAnsi="Times New Roman;serif"/>
          <w:b w:val="false"/>
          <w:color w:val="000000"/>
          <w:sz w:val="24"/>
        </w:rPr>
        <w:t xml:space="preserve">. A meeting of Securityholders of any or all series may be called at any time and from time to time pursuant to the provisions of this Article IX for any of the following purposes: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to remove the Trustee and nominate a successor trustee pursuant to the provisions of Article XI;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to consent to the execution of an Indenture or of indentures supplemental hereto pursuant to the provisions of Section 14.02; or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to take any other action authorized to be taken by or on behalf of the Holders of any specified aggregate principal amount of the Securities of any one or more or all series, as the case may be, under any other provision of this Indenture or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9.02    </w:t>
      </w:r>
      <w:r>
        <w:rPr>
          <w:rFonts w:ascii="Times New Roman;serif" w:hAnsi="Times New Roman;serif"/>
          <w:b w:val="false"/>
          <w:color w:val="000000"/>
          <w:sz w:val="24"/>
          <w:u w:val="single"/>
        </w:rPr>
        <w:t>Call of Meetings by Trustee</w:t>
      </w:r>
      <w:r>
        <w:rPr>
          <w:rFonts w:ascii="Times New Roman;serif" w:hAnsi="Times New Roman;serif"/>
          <w:b w:val="false"/>
          <w:color w:val="000000"/>
          <w:sz w:val="24"/>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9.03    </w:t>
      </w:r>
      <w:r>
        <w:rPr>
          <w:rFonts w:ascii="Times New Roman;serif" w:hAnsi="Times New Roman;serif"/>
          <w:b w:val="false"/>
          <w:color w:val="000000"/>
          <w:sz w:val="24"/>
          <w:u w:val="single"/>
        </w:rPr>
        <w:t>Call of Meetings by Company or Securityholders</w:t>
      </w:r>
      <w:r>
        <w:rPr>
          <w:rFonts w:ascii="Times New Roman;serif" w:hAnsi="Times New Roman;serif"/>
          <w:b w:val="false"/>
          <w:color w:val="000000"/>
          <w:sz w:val="24"/>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9.04    </w:t>
      </w:r>
      <w:r>
        <w:rPr>
          <w:rFonts w:ascii="Times New Roman;serif" w:hAnsi="Times New Roman;serif"/>
          <w:b w:val="false"/>
          <w:color w:val="000000"/>
          <w:sz w:val="24"/>
          <w:u w:val="single"/>
        </w:rPr>
        <w:t>Qualifications for Voting</w:t>
      </w:r>
      <w:r>
        <w:rPr>
          <w:rFonts w:ascii="Times New Roman;serif" w:hAnsi="Times New Roman;serif"/>
          <w:b w:val="false"/>
          <w:color w:val="000000"/>
          <w:sz w:val="24"/>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9.05    </w:t>
      </w:r>
      <w:r>
        <w:rPr>
          <w:rFonts w:ascii="Times New Roman;serif" w:hAnsi="Times New Roman;serif"/>
          <w:b w:val="false"/>
          <w:color w:val="000000"/>
          <w:sz w:val="24"/>
          <w:u w:val="single"/>
        </w:rPr>
        <w:t>Regulation of Meetings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9.06    </w:t>
      </w:r>
      <w:r>
        <w:rPr>
          <w:rFonts w:ascii="Times New Roman;serif" w:hAnsi="Times New Roman;serif"/>
          <w:b w:val="false"/>
          <w:color w:val="000000"/>
          <w:sz w:val="24"/>
          <w:u w:val="single"/>
        </w:rPr>
        <w:t>Voting</w:t>
      </w:r>
      <w:r>
        <w:rPr>
          <w:rFonts w:ascii="Times New Roman;serif" w:hAnsi="Times New Roman;serif"/>
          <w:b w:val="false"/>
          <w:color w:val="000000"/>
          <w:sz w:val="24"/>
        </w:rPr>
        <w:t xml:space="preserve">.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record so signed and verified shall be conclusive evidence of the matters therein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9.07    </w:t>
      </w:r>
      <w:r>
        <w:rPr>
          <w:rFonts w:ascii="Times New Roman;serif" w:hAnsi="Times New Roman;serif"/>
          <w:b w:val="false"/>
          <w:color w:val="000000"/>
          <w:sz w:val="24"/>
          <w:u w:val="single"/>
        </w:rPr>
        <w:t>No Delay of Rights by Meeting</w:t>
      </w:r>
      <w:r>
        <w:rPr>
          <w:rFonts w:ascii="Times New Roman;serif" w:hAnsi="Times New Roman;serif"/>
          <w:b w:val="false"/>
          <w:color w:val="000000"/>
          <w:sz w:val="24"/>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w:t>
      </w:r>
      <w:r>
        <w:rPr>
          <w:rFonts w:ascii="Times New Roman;serif" w:hAnsi="Times New Roman;serif"/>
          <w:b/>
          <w:color w:val="000000"/>
          <w:sz w:val="24"/>
          <w:u w:val="single"/>
        </w:rPr>
        <w:br/>
        <w:br/>
        <w:t>REPORTS BY THE COMPANY AND THE TRUSTEE AND</w:t>
        <w:br/>
        <w:t>SECURITYHOLDERS’ LISTS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10.01    </w:t>
      </w:r>
      <w:r>
        <w:rPr>
          <w:rFonts w:ascii="Times New Roman;serif" w:hAnsi="Times New Roman;serif"/>
          <w:b w:val="false"/>
          <w:color w:val="000000"/>
          <w:sz w:val="24"/>
          <w:u w:val="single"/>
        </w:rPr>
        <w:t>Reports by Trustee</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Company will reimburse the Trustee for all expenses incurred in the preparation and transmission of any report pursuant to the provisions of this Section 10.01 and of Section 10.02.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10.02    </w:t>
      </w:r>
      <w:r>
        <w:rPr>
          <w:rFonts w:ascii="Times New Roman;serif" w:hAnsi="Times New Roman;serif"/>
          <w:b w:val="false"/>
          <w:color w:val="000000"/>
          <w:sz w:val="24"/>
          <w:u w:val="single"/>
        </w:rPr>
        <w:t>Reports by the Company</w:t>
      </w:r>
      <w:r>
        <w:rPr>
          <w:rFonts w:ascii="Times New Roman;serif" w:hAnsi="Times New Roman;serif"/>
          <w:b w:val="false"/>
          <w:color w:val="000000"/>
          <w:sz w:val="24"/>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10.03    </w:t>
      </w:r>
      <w:r>
        <w:rPr>
          <w:rFonts w:ascii="Times New Roman;serif" w:hAnsi="Times New Roman;serif"/>
          <w:b w:val="false"/>
          <w:color w:val="000000"/>
          <w:sz w:val="24"/>
          <w:u w:val="single"/>
        </w:rPr>
        <w:t>Securityholders’ Lists</w:t>
      </w:r>
      <w:r>
        <w:rPr>
          <w:rFonts w:ascii="Times New Roman;serif" w:hAnsi="Times New Roman;serif"/>
          <w:b w:val="false"/>
          <w:color w:val="000000"/>
          <w:sz w:val="24"/>
        </w:rPr>
        <w:t xml:space="preserve">. The Company covenants and agrees that it will furnish or cause to be furnished to the Trustee: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at such other times as the Trustee may request in writing, within 30 days after receipt by the Company of any such request, a list of similar form and content as of a date not more than 15 days prior to the time such list is furnished;</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provided, however, that so long as the Trustee shall be the Registrar, such lists shall not be required to be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XI</w:t>
      </w:r>
      <w:r>
        <w:rPr>
          <w:rFonts w:ascii="Times New Roman;serif" w:hAnsi="Times New Roman;serif"/>
          <w:b/>
          <w:color w:val="000000"/>
          <w:sz w:val="24"/>
          <w:u w:val="single"/>
        </w:rPr>
        <w:br/>
        <w:br/>
        <w:t>CONCERNING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11.01    </w:t>
      </w:r>
      <w:r>
        <w:rPr>
          <w:rFonts w:ascii="Times New Roman;serif" w:hAnsi="Times New Roman;serif"/>
          <w:b w:val="false"/>
          <w:color w:val="000000"/>
          <w:sz w:val="24"/>
          <w:u w:val="single"/>
        </w:rPr>
        <w:t>Rights of Trustees; Compensation and Indemnity</w:t>
      </w:r>
      <w:r>
        <w:rPr>
          <w:rFonts w:ascii="Times New Roman;serif" w:hAnsi="Times New Roman;serif"/>
          <w:b w:val="false"/>
          <w:color w:val="000000"/>
          <w:sz w:val="24"/>
        </w:rPr>
        <w:t xml:space="preserve">. The Trustee accepts the trusts created by this Indenture upon the terms and conditions hereof, including the following, to all of which the parties hereto and the Holders from time to time of the Securities agree: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and documented out-of-pocket expenses, disbursements and advances incurred or made by the Trustee (including the reasonable fees and reasonable documented expenses and disbursements of its agents and counsel), except any such expense, disbursement or advance as may be attributable to its own negligence, bad faith or willful misconduct.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The Company also agrees to indemnify each of the Trustee and any predecessor Trustee hereunder for, and to hold it harmless against, any and all loss, liability, damage, claim, or expense incurred without its own negligence, bad faith or willful misconduct, arising out of or in connection with the acceptance or administration of the trust or trusts hereunder and the performance of its duties (including in any agent capacity in which it acts)(including enforcement of this Section), as well as the reasonable and documented costs and expenses of defending itself against any claim or liability in connection with the exercise or performance of any of its powers or duties hereunder, except those attributable to its own negligence, willful misconduct or bad faith. The Trustee shall notify the Company promptly of any claim for which it may seek indemnity. The Company shall defend the claim and the Trustee shall cooperate in the defense. The Trustee may have one counsel of its selection and the Company shall pay the reasonable and documented fees and expenses of such counsel. The Company need not pay for any settlement made without its consent, which consent shall not be unreasonably withheld.</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 xml:space="preserve">As security for the performance of the obligations of the Company under this Section 11.01(a), the Trustee shall have a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fees or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Trustee may execute any of the trusts or powers hereof and perform any duty hereunder either directly or by its agents and attorneys and shall not be responsible for any misconduct or negligence on the part of any agent or attorney appointed with due care by it hereunder.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The Trustee may consult with counsel of its selection, and advice of counsel shall be full and complete authorization and protection in respect of any action taken or suffered by the Trustee hereunder in good faith and in accordance with such advice of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(e)    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(f)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(g)    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(h)    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(j)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reasonably satisfactory to it against the costs, expenses and liabilities which may be incurred by it therein or thereby.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(k)    The Trustee shall not be liable for any action taken or omitted by it in good faith and believed by it to be authorized or within its discretion or within the rights or powers conferred upon it by this Indenture.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(l)    The Trustee shall not be deemed to have knowledge or notice of any Default or Event of Default unless a Responsible Officer of the Trustee has actual knowledge thereof or unless the Company or Holders of not less than 25% of the Outstanding Securities notify the Trustee thereof.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(m)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(n)    The rights, privileges, protections, immunities and benefits given to the Trustee, including, without limitation, its right to be indemnified, are extended to, and shall be enforceable by, the Trustee in each of its capacities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11.02    </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None of the provisions of this Indenture shall be construed as relieving the Trustee from liability for its own negligent action, negligent failure to act, or its own willful misconduct, except that, anything in this Indenture contained to the contrary notwithstanding,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unless and until an Event of Default specified in Section 7.01 with respect to the Securities of any series shall have happened which at the time is continuing,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(A)    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 xml:space="preserve">(B)    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the Trustee shall not be liable to any Holder of Securities or to any other Person for any error of judgment made in good faith by a Responsible Officer or Officers of the Trustee, unless it shall be proved that the Trustee was negligent in ascertaining the pertinent facts; and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(iii)    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Whether or not therein expressly so provided, every provision of this Indenture relating to the conduct or affecting the liability of or affording protection to the Trustee shall be subject to the provisions of this Section 11.02.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11.03    </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11.04    </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11.05    </w:t>
      </w:r>
      <w:r>
        <w:rPr>
          <w:rFonts w:ascii="Times New Roman;serif" w:hAnsi="Times New Roman;serif"/>
          <w:b w:val="false"/>
          <w:color w:val="000000"/>
          <w:sz w:val="24"/>
          <w:u w:val="single"/>
        </w:rPr>
        <w:t>Resignation and Notice; Removal</w:t>
      </w:r>
      <w:r>
        <w:rPr>
          <w:rFonts w:ascii="Times New Roman;serif" w:hAnsi="Times New Roman;serif"/>
          <w:b w:val="false"/>
          <w:color w:val="000000"/>
          <w:sz w:val="24"/>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at any time: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Upon its resignation or removal, any Trustee shall be entitled to the payment of reasonable compensation for the services rendered hereunder by such Trustee and to the payment of all reasonable and documented expenses incurred hereunder and all moneys then due to it hereunder. The Trustee’s rights to indemnification provided in Section 11.01(a) shall survive its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11.06    </w:t>
      </w:r>
      <w:r>
        <w:rPr>
          <w:rFonts w:ascii="Times New Roman;serif" w:hAnsi="Times New Roman;serif"/>
          <w:b w:val="false"/>
          <w:color w:val="000000"/>
          <w:sz w:val="24"/>
          <w:u w:val="single"/>
        </w:rPr>
        <w:t>Successor Trustee by Appointment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11.07    </w:t>
      </w:r>
      <w:r>
        <w:rPr>
          <w:rFonts w:ascii="Times New Roman;serif" w:hAnsi="Times New Roman;serif"/>
          <w:b w:val="false"/>
          <w:color w:val="000000"/>
          <w:sz w:val="24"/>
          <w:u w:val="single"/>
        </w:rPr>
        <w:t>Successor Trustee by Merger</w:t>
      </w:r>
      <w:r>
        <w:rPr>
          <w:rFonts w:ascii="Times New Roman;serif" w:hAnsi="Times New Roman;serif"/>
          <w:b w:val="false"/>
          <w:color w:val="000000"/>
          <w:sz w:val="24"/>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11.08    </w:t>
      </w:r>
      <w:r>
        <w:rPr>
          <w:rFonts w:ascii="Times New Roman;serif" w:hAnsi="Times New Roman;serif"/>
          <w:b w:val="false"/>
          <w:color w:val="000000"/>
          <w:sz w:val="24"/>
          <w:u w:val="single"/>
        </w:rPr>
        <w:t>Right to Rely on Officer’s Certificate</w:t>
      </w:r>
      <w:r>
        <w:rPr>
          <w:rFonts w:ascii="Times New Roman;serif" w:hAnsi="Times New Roman;serif"/>
          <w:b w:val="false"/>
          <w:color w:val="000000"/>
          <w:sz w:val="24"/>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11.09    </w:t>
      </w:r>
      <w:r>
        <w:rPr>
          <w:rFonts w:ascii="Times New Roman;serif" w:hAnsi="Times New Roman;serif"/>
          <w:b w:val="false"/>
          <w:color w:val="000000"/>
          <w:sz w:val="24"/>
          <w:u w:val="single"/>
        </w:rPr>
        <w:t>Appointment of Authenticating Agent</w:t>
      </w:r>
      <w:r>
        <w:rPr>
          <w:rFonts w:ascii="Times New Roman;serif" w:hAnsi="Times New Roman;serif"/>
          <w:b w:val="false"/>
          <w:color w:val="000000"/>
          <w:sz w:val="24"/>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agrees to pay to each Authenticating Agent from time to time reasonable compensation for its services under this Section 11.09.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11.10    </w:t>
      </w:r>
      <w:r>
        <w:rPr>
          <w:rFonts w:ascii="Times New Roman;serif" w:hAnsi="Times New Roman;serif"/>
          <w:b w:val="false"/>
          <w:color w:val="000000"/>
          <w:sz w:val="24"/>
          <w:u w:val="single"/>
        </w:rPr>
        <w:t>Communications by Securityholders with Other Securityholders</w:t>
      </w:r>
      <w:r>
        <w:rPr>
          <w:rFonts w:ascii="Times New Roman;serif" w:hAnsi="Times New Roman;serif"/>
          <w:b w:val="false"/>
          <w:color w:val="000000"/>
          <w:sz w:val="24"/>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XII</w:t>
      </w:r>
      <w:r>
        <w:rPr>
          <w:rFonts w:ascii="Times New Roman;serif" w:hAnsi="Times New Roman;serif"/>
          <w:b/>
          <w:color w:val="000000"/>
          <w:sz w:val="24"/>
          <w:u w:val="single"/>
        </w:rPr>
        <w:br/>
        <w:br/>
        <w:t>SATISFACTION AND DISCHARGE; DEFEASANCE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12.01    </w:t>
      </w:r>
      <w:r>
        <w:rPr>
          <w:rFonts w:ascii="Times New Roman;serif" w:hAnsi="Times New Roman;serif"/>
          <w:b w:val="false"/>
          <w:color w:val="000000"/>
          <w:sz w:val="24"/>
          <w:u w:val="single"/>
        </w:rPr>
        <w:t>Applicability of Article</w:t>
      </w:r>
      <w:r>
        <w:rPr>
          <w:rFonts w:ascii="Times New Roman;serif" w:hAnsi="Times New Roman;serif"/>
          <w:b w:val="false"/>
          <w:color w:val="000000"/>
          <w:sz w:val="24"/>
        </w:rPr>
        <w:t>. The provisions of this Article shall be applicable to the Securities of all series issued pursuant to this Indenture, except as otherwise specified pursuant to Section 3.01.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12.02    </w:t>
      </w:r>
      <w:r>
        <w:rPr>
          <w:rFonts w:ascii="Times New Roman;serif" w:hAnsi="Times New Roman;serif"/>
          <w:b w:val="false"/>
          <w:color w:val="000000"/>
          <w:sz w:val="24"/>
          <w:u w:val="single"/>
        </w:rPr>
        <w:t>Satisfaction and Discharge of Indenture</w:t>
      </w:r>
      <w:r>
        <w:rPr>
          <w:rFonts w:ascii="Times New Roman;serif" w:hAnsi="Times New Roman;serif"/>
          <w:b w:val="false"/>
          <w:color w:val="000000"/>
          <w:sz w:val="24"/>
        </w:rPr>
        <w:t xml:space="preserve">.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proper instruments acknowledging satisfaction and discharge of this Indenture with respect to the Securities of such series, when,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either: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all Securities of such series not theretofore delivered to the Trustee for cancellation,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(A)    have become due and payable, or</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 xml:space="preserve">(B)    will become due and payable at their Stated Maturity within one year, or </w:t>
      </w:r>
    </w:p>
    <w:p>
      <w:pPr>
        <w:pStyle w:val="TextBody"/>
        <w:bidi w:val="0"/>
        <w:spacing w:lineRule="auto" w:line="240"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 xml:space="preserve">(C)    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a Default of the nature described in clauses (e) or (f) of Section 7.01 shall have occurred at any time during the period ending on and including the 91st day after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the Company has paid or caused to be paid all other sums payable hereunder by the Company with respect to the Securities of such series; and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the Company has delivered to the Trustee an Officer’s Certificate and an Opinion of Counsel each stating that all conditions precedent herein provided for relating to the satisfaction and discharge of this Indenture with respect to such series have been complied with.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satisfaction and discharge of this Indenture with respect to the Securities of any series, the obligations of the Company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12.03    </w:t>
      </w:r>
      <w:r>
        <w:rPr>
          <w:rFonts w:ascii="Times New Roman;serif" w:hAnsi="Times New Roman;serif"/>
          <w:b w:val="false"/>
          <w:color w:val="000000"/>
          <w:sz w:val="24"/>
          <w:u w:val="single"/>
        </w:rPr>
        <w:t>Defeasance and Covenant Defeasance upon Deposit of Moneys or U.S. Government Obligations</w:t>
      </w:r>
      <w:r>
        <w:rPr>
          <w:rFonts w:ascii="Times New Roman;serif" w:hAnsi="Times New Roman;serif"/>
          <w:b w:val="false"/>
          <w:color w:val="000000"/>
          <w:sz w:val="24"/>
        </w:rPr>
        <w:t xml:space="preserve">. At the Company’s option, either (x) 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 (f) of Section 7.01 shall have occurred at any time during the period ending on and including the 91st day after the date of such deposit;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the Company shall have delivered to the Trustee an Officer’s Certificate and an Opinion of Counsel, each stating that all conditions precedent to such action under this Indenture have been complied with.</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 xml:space="preserve">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 </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12.04    </w:t>
      </w:r>
      <w:r>
        <w:rPr>
          <w:rFonts w:ascii="Times New Roman;serif" w:hAnsi="Times New Roman;serif"/>
          <w:b w:val="false"/>
          <w:color w:val="000000"/>
          <w:sz w:val="24"/>
          <w:u w:val="single"/>
        </w:rPr>
        <w:t>Repayment to Company</w:t>
      </w:r>
      <w:r>
        <w:rPr>
          <w:rFonts w:ascii="Times New Roman;serif" w:hAnsi="Times New Roman;serif"/>
          <w:b w:val="false"/>
          <w:color w:val="000000"/>
          <w:sz w:val="24"/>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12.05    </w:t>
      </w:r>
      <w:r>
        <w:rPr>
          <w:rFonts w:ascii="Times New Roman;serif" w:hAnsi="Times New Roman;serif"/>
          <w:b w:val="false"/>
          <w:color w:val="000000"/>
          <w:sz w:val="24"/>
          <w:u w:val="single"/>
        </w:rPr>
        <w:t>Indemnity for U.S. Government Obligations</w:t>
      </w:r>
      <w:r>
        <w:rPr>
          <w:rFonts w:ascii="Times New Roman;serif" w:hAnsi="Times New Roman;serif"/>
          <w:b w:val="false"/>
          <w:color w:val="000000"/>
          <w:sz w:val="24"/>
        </w:rPr>
        <w:t>. The Company shall pay and shall indemnify the Trustee against any tax, fee or other charge imposed on or assessed against the deposited U.S. Government Obligations or the principal or interest received on such U.S. Government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12.06    </w:t>
      </w:r>
      <w:r>
        <w:rPr>
          <w:rFonts w:ascii="Times New Roman;serif" w:hAnsi="Times New Roman;serif"/>
          <w:b w:val="false"/>
          <w:color w:val="000000"/>
          <w:sz w:val="24"/>
          <w:u w:val="single"/>
        </w:rPr>
        <w:t>Deposits to Be Held in Escrow</w:t>
      </w:r>
      <w:r>
        <w:rPr>
          <w:rFonts w:ascii="Times New Roman;serif" w:hAnsi="Times New Roman;serif"/>
          <w:b w:val="false"/>
          <w:color w:val="000000"/>
          <w:sz w:val="24"/>
        </w:rPr>
        <w:t>. Any deposits with the Trustee referred to in Section 12.03 above shall be irrevocable (except to the extent provided in Sections 12.04 and 6.03(e))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12.07    </w:t>
      </w:r>
      <w:r>
        <w:rPr>
          <w:rFonts w:ascii="Times New Roman;serif" w:hAnsi="Times New Roman;serif"/>
          <w:b w:val="false"/>
          <w:color w:val="000000"/>
          <w:sz w:val="24"/>
          <w:u w:val="single"/>
        </w:rPr>
        <w:t>Application of Trust Money</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Neither the Trustee nor any other Paying Agent shall be required to pay interest on any moneys deposited pursuant to the provisions of this Indenture, except such as it shall agree with the Company in writing to pay thereon.</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12.08    </w:t>
      </w:r>
      <w:r>
        <w:rPr>
          <w:rFonts w:ascii="Times New Roman;serif" w:hAnsi="Times New Roman;serif"/>
          <w:b w:val="false"/>
          <w:color w:val="000000"/>
          <w:sz w:val="24"/>
          <w:u w:val="single"/>
        </w:rPr>
        <w:t>Deposits of Non-U.S. Currencies</w:t>
      </w:r>
      <w:r>
        <w:rPr>
          <w:rFonts w:ascii="Times New Roman;serif" w:hAnsi="Times New Roman;serif"/>
          <w:b w:val="false"/>
          <w:color w:val="000000"/>
          <w:sz w:val="24"/>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XIII</w:t>
      </w:r>
      <w:r>
        <w:rPr>
          <w:rFonts w:ascii="Times New Roman;serif" w:hAnsi="Times New Roman;serif"/>
          <w:b/>
          <w:color w:val="000000"/>
          <w:sz w:val="24"/>
          <w:u w:val="single"/>
        </w:rPr>
        <w:br/>
        <w:br/>
        <w:t>IMMUNITY OF CERTAIN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13.01    </w:t>
      </w:r>
      <w:r>
        <w:rPr>
          <w:rFonts w:ascii="Times New Roman;serif" w:hAnsi="Times New Roman;serif"/>
          <w:b w:val="false"/>
          <w:color w:val="000000"/>
          <w:sz w:val="24"/>
          <w:u w:val="single"/>
        </w:rPr>
        <w:t>No Personal Liability</w:t>
      </w:r>
      <w:r>
        <w:rPr>
          <w:rFonts w:ascii="Times New Roman;serif" w:hAnsi="Times New Roman;serif"/>
          <w:b w:val="false"/>
          <w:color w:val="000000"/>
          <w:sz w:val="24"/>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XIV</w:t>
      </w:r>
      <w:r>
        <w:rPr>
          <w:rFonts w:ascii="Times New Roman;serif" w:hAnsi="Times New Roman;serif"/>
          <w:b/>
          <w:color w:val="000000"/>
          <w:sz w:val="24"/>
          <w:u w:val="single"/>
        </w:rPr>
        <w:br/>
        <w:br/>
        <w:t>SUPPLEMENTAL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14.01    </w:t>
      </w:r>
      <w:r>
        <w:rPr>
          <w:rFonts w:ascii="Times New Roman;serif" w:hAnsi="Times New Roman;serif"/>
          <w:b w:val="false"/>
          <w:color w:val="000000"/>
          <w:sz w:val="24"/>
          <w:u w:val="single"/>
        </w:rPr>
        <w:t>Without Consent of Securityholders</w:t>
      </w:r>
      <w:r>
        <w:rPr>
          <w:rFonts w:ascii="Times New Roman;serif" w:hAnsi="Times New Roman;serif"/>
          <w:b w:val="false"/>
          <w:color w:val="000000"/>
          <w:sz w:val="24"/>
        </w:rPr>
        <w:t xml:space="preserve">.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(e)    to evidence the succession of another entity to the Company, or successive successions, and the assumption by such successor of the covenants and obligations of the Company contained in the Securities of one or more series and in this Indenture or any supplemental indenture;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(f)    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(g)    to secure any series of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(h)    to evidence any changes to this Indenture pursuant to Sections 11.05, 11.06 or 11.07 hereof as permitted by the terms thereof;</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    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(j)    to add to or change or eliminate any provision of this Indenture as shall be necessary or desirable in accordance with any amendments to the Trust Indenture Act;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(k)    to add guarantors or co-obligors with respect to any series of Securities or to release guarantors from their guarantees of Securities in accordance with the terms of the applicable series of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(l)    to make any change in any series of Securities that does not adversely affect in any material respect the rights of the Holders of such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(m)    to provide for uncertificated securities in addition to certificated securities;</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(n)    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(o)    to prohibit the authentication and delivery of additional series of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(p)     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supplemental indenture authorized by the provisions of this Section 14.01 may be executed by the Company and the Trustee without the consent of the Holders of any of the Securities at the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14.02    </w:t>
      </w:r>
      <w:r>
        <w:rPr>
          <w:rFonts w:ascii="Times New Roman;serif" w:hAnsi="Times New Roman;serif"/>
          <w:b w:val="false"/>
          <w:color w:val="000000"/>
          <w:sz w:val="24"/>
          <w:u w:val="single"/>
        </w:rPr>
        <w:t>With Consent of Securityholders; Limitations</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    extend the Stated Maturity of the principal of, or any installment of interest on, any Security, or reduce the principal amount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    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(iii)    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(iv)    [reserved]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(v)    modify, without the written consent of the Trustee, the rights, duties or immunities of the Trustee.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It shall not be necessary for the consent of the Securityholders under this Section 14.02 to approve the particular form of any proposed supplemental indenture, but it shall be sufficient if such consent shall approve the substance thereof.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(e)    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14.03    </w:t>
      </w:r>
      <w:r>
        <w:rPr>
          <w:rFonts w:ascii="Times New Roman;serif" w:hAnsi="Times New Roman;serif"/>
          <w:b w:val="false"/>
          <w:color w:val="000000"/>
          <w:sz w:val="24"/>
          <w:u w:val="single"/>
        </w:rPr>
        <w:t>Trustee Protected</w:t>
      </w:r>
      <w:r>
        <w:rPr>
          <w:rFonts w:ascii="Times New Roman;serif" w:hAnsi="Times New Roman;serif"/>
          <w:b w:val="false"/>
          <w:color w:val="000000"/>
          <w:sz w:val="24"/>
        </w:rPr>
        <w:t>(a)    . Upon the request of the Company, accompanied by the Officer’s Certificate and Opinion of Counsel required by Section 16.01 (provided, however, that such Officer’s Certificate or Opinion of Counsel need not be provided in connection with the execution of a supplemental indenture that establishes the terms of a series of Securities pursuant to Section 2.01 hereof)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14.04    </w:t>
      </w:r>
      <w:r>
        <w:rPr>
          <w:rFonts w:ascii="Times New Roman;serif" w:hAnsi="Times New Roman;serif"/>
          <w:b w:val="false"/>
          <w:color w:val="000000"/>
          <w:sz w:val="24"/>
          <w:u w:val="single"/>
        </w:rPr>
        <w:t>Effect of Execution of Supplemental Indenture</w:t>
      </w:r>
      <w:r>
        <w:rPr>
          <w:rFonts w:ascii="Times New Roman;serif" w:hAnsi="Times New Roman;serif"/>
          <w:b w:val="false"/>
          <w:color w:val="000000"/>
          <w:sz w:val="24"/>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14.05    </w:t>
      </w:r>
      <w:r>
        <w:rPr>
          <w:rFonts w:ascii="Times New Roman;serif" w:hAnsi="Times New Roman;serif"/>
          <w:b w:val="false"/>
          <w:color w:val="000000"/>
          <w:sz w:val="24"/>
          <w:u w:val="single"/>
        </w:rPr>
        <w:t>Notation on or Exchange of Securities</w:t>
      </w:r>
      <w:r>
        <w:rPr>
          <w:rFonts w:ascii="Times New Roman;serif" w:hAnsi="Times New Roman;serif"/>
          <w:b w:val="false"/>
          <w:color w:val="000000"/>
          <w:sz w:val="24"/>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14.06    </w:t>
      </w:r>
      <w:r>
        <w:rPr>
          <w:rFonts w:ascii="Times New Roman;serif" w:hAnsi="Times New Roman;serif"/>
          <w:b w:val="false"/>
          <w:color w:val="000000"/>
          <w:sz w:val="24"/>
          <w:u w:val="single"/>
        </w:rPr>
        <w:t>Conformity with TIA</w:t>
      </w:r>
      <w:r>
        <w:rPr>
          <w:rFonts w:ascii="Times New Roman;serif" w:hAnsi="Times New Roman;serif"/>
          <w:b w:val="false"/>
          <w:color w:val="000000"/>
          <w:sz w:val="24"/>
        </w:rPr>
        <w:t>. Every supplemental indenture executed pursuant to the provisions of this Article shall conform to the requirements of the Trust Indenture Act as then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color w:val="000000"/>
          <w:sz w:val="24"/>
        </w:rPr>
        <w:t>ARTICLE XV</w:t>
      </w:r>
      <w:r>
        <w:rPr>
          <w:rFonts w:ascii="Times New Roman;serif" w:hAnsi="Times New Roman;serif"/>
          <w:b/>
          <w:color w:val="000000"/>
          <w:sz w:val="24"/>
          <w:u w:val="single"/>
        </w:rPr>
        <w:br/>
        <w:br/>
        <w:t>SUBORDINATION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15.01    </w:t>
      </w:r>
      <w:r>
        <w:rPr>
          <w:rFonts w:ascii="Times New Roman;serif" w:hAnsi="Times New Roman;serif"/>
          <w:b w:val="false"/>
          <w:color w:val="000000"/>
          <w:sz w:val="24"/>
          <w:u w:val="single"/>
        </w:rPr>
        <w:t>Agreement to Subordinate</w:t>
      </w:r>
      <w:r>
        <w:rPr>
          <w:rFonts w:ascii="Times New Roman;serif" w:hAnsi="Times New Roman;serif"/>
          <w:b w:val="false"/>
          <w:color w:val="000000"/>
          <w:sz w:val="24"/>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15.02    </w:t>
      </w:r>
      <w:r>
        <w:rPr>
          <w:rFonts w:ascii="Times New Roman;serif" w:hAnsi="Times New Roman;serif"/>
          <w:b w:val="false"/>
          <w:color w:val="000000"/>
          <w:sz w:val="24"/>
          <w:u w:val="single"/>
        </w:rPr>
        <w:t>Distribution on Dissolution, Liquidation and Reorganization; Subrogation of Securities</w:t>
      </w:r>
      <w:r>
        <w:rPr>
          <w:rFonts w:ascii="Times New Roman;serif" w:hAnsi="Times New Roman;serif"/>
          <w:b w:val="false"/>
          <w:color w:val="000000"/>
          <w:sz w:val="24"/>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(a)    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(b)    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 and</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15.03    </w:t>
      </w:r>
      <w:r>
        <w:rPr>
          <w:rFonts w:ascii="Times New Roman;serif" w:hAnsi="Times New Roman;serif"/>
          <w:b w:val="false"/>
          <w:color w:val="000000"/>
          <w:sz w:val="24"/>
          <w:u w:val="single"/>
        </w:rPr>
        <w:t>No Payment on Securities in Event of Default on Senior Indebtedness</w:t>
      </w:r>
      <w:r>
        <w:rPr>
          <w:rFonts w:ascii="Times New Roman;serif" w:hAnsi="Times New Roman;serif"/>
          <w:b w:val="false"/>
          <w:color w:val="000000"/>
          <w:sz w:val="24"/>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15.04    </w:t>
      </w:r>
      <w:r>
        <w:rPr>
          <w:rFonts w:ascii="Times New Roman;serif" w:hAnsi="Times New Roman;serif"/>
          <w:b w:val="false"/>
          <w:color w:val="000000"/>
          <w:sz w:val="24"/>
          <w:u w:val="single"/>
        </w:rPr>
        <w:t>Payments on Securities Permitted</w:t>
      </w:r>
      <w:r>
        <w:rPr>
          <w:rFonts w:ascii="Times New Roman;serif" w:hAnsi="Times New Roman;serif"/>
          <w:b w:val="false"/>
          <w:color w:val="000000"/>
          <w:sz w:val="24"/>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15.05    </w:t>
      </w:r>
      <w:r>
        <w:rPr>
          <w:rFonts w:ascii="Times New Roman;serif" w:hAnsi="Times New Roman;serif"/>
          <w:b w:val="false"/>
          <w:color w:val="000000"/>
          <w:sz w:val="24"/>
          <w:u w:val="single"/>
        </w:rPr>
        <w:t>Authorization of Securityholders to Trustee to Effect Subordination</w:t>
      </w:r>
      <w:r>
        <w:rPr>
          <w:rFonts w:ascii="Times New Roman;serif" w:hAnsi="Times New Roman;serif"/>
          <w:b w:val="false"/>
          <w:color w:val="000000"/>
          <w:sz w:val="24"/>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15.06    </w:t>
      </w:r>
      <w:r>
        <w:rPr>
          <w:rFonts w:ascii="Times New Roman;serif" w:hAnsi="Times New Roman;serif"/>
          <w:b w:val="false"/>
          <w:color w:val="000000"/>
          <w:sz w:val="24"/>
          <w:u w:val="single"/>
        </w:rPr>
        <w:t>Notices to Trustee</w:t>
      </w:r>
      <w:r>
        <w:rPr>
          <w:rFonts w:ascii="Times New Roman;serif" w:hAnsi="Times New Roman;serif"/>
          <w:b w:val="false"/>
          <w:color w:val="000000"/>
          <w:sz w:val="24"/>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15.07    </w:t>
      </w:r>
      <w:r>
        <w:rPr>
          <w:rFonts w:ascii="Times New Roman;serif" w:hAnsi="Times New Roman;serif"/>
          <w:b w:val="false"/>
          <w:color w:val="000000"/>
          <w:sz w:val="24"/>
          <w:u w:val="single"/>
        </w:rPr>
        <w:t>Trustee as Holder of Senior Indebtedness</w:t>
      </w:r>
      <w:r>
        <w:rPr>
          <w:rFonts w:ascii="Times New Roman;serif" w:hAnsi="Times New Roman;serif"/>
          <w:b w:val="false"/>
          <w:color w:val="000000"/>
          <w:sz w:val="24"/>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15.08    </w:t>
      </w:r>
      <w:r>
        <w:rPr>
          <w:rFonts w:ascii="Times New Roman;serif" w:hAnsi="Times New Roman;serif"/>
          <w:b w:val="false"/>
          <w:color w:val="000000"/>
          <w:sz w:val="24"/>
          <w:u w:val="single"/>
        </w:rPr>
        <w:t>Modifications of Terms of Senior Indebtedness</w:t>
      </w:r>
      <w:r>
        <w:rPr>
          <w:rFonts w:ascii="Times New Roman;serif" w:hAnsi="Times New Roman;serif"/>
          <w:b w:val="false"/>
          <w:color w:val="000000"/>
          <w:sz w:val="24"/>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15.09    </w:t>
      </w:r>
      <w:r>
        <w:rPr>
          <w:rFonts w:ascii="Times New Roman;serif" w:hAnsi="Times New Roman;serif"/>
          <w:b w:val="false"/>
          <w:color w:val="000000"/>
          <w:sz w:val="24"/>
          <w:u w:val="single"/>
        </w:rPr>
        <w:t>Reliance on Judicial Order or Certificate of Liquidating Agent</w:t>
      </w:r>
      <w:r>
        <w:rPr>
          <w:rFonts w:ascii="Times New Roman;serif" w:hAnsi="Times New Roman;serif"/>
          <w:b w:val="false"/>
          <w:color w:val="000000"/>
          <w:sz w:val="24"/>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15.10    </w:t>
      </w:r>
      <w:r>
        <w:rPr>
          <w:rFonts w:ascii="Times New Roman;serif" w:hAnsi="Times New Roman;serif"/>
          <w:b w:val="false"/>
          <w:color w:val="000000"/>
          <w:sz w:val="24"/>
          <w:u w:val="single"/>
        </w:rPr>
        <w:t>Satisfaction and Discharge; Defeasance and Covenant Defeasance</w:t>
      </w:r>
      <w:r>
        <w:rPr>
          <w:rFonts w:ascii="Times New Roman;serif" w:hAnsi="Times New Roman;serif"/>
          <w:b w:val="false"/>
          <w:color w:val="000000"/>
          <w:sz w:val="24"/>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15.11    </w:t>
      </w:r>
      <w:r>
        <w:rPr>
          <w:rFonts w:ascii="Times New Roman;serif" w:hAnsi="Times New Roman;serif"/>
          <w:b w:val="false"/>
          <w:color w:val="000000"/>
          <w:sz w:val="24"/>
          <w:u w:val="single"/>
        </w:rPr>
        <w:t>Trustee Not Fiduciary for Holders of Senior Indebtedness</w:t>
      </w:r>
      <w:r>
        <w:rPr>
          <w:rFonts w:ascii="Times New Roman;serif" w:hAnsi="Times New Roman;serif"/>
          <w:b w:val="false"/>
          <w:color w:val="000000"/>
          <w:sz w:val="24"/>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XVI</w:t>
      </w:r>
      <w:r>
        <w:rPr>
          <w:rFonts w:ascii="Times New Roman;serif" w:hAnsi="Times New Roman;serif"/>
          <w:b/>
          <w:color w:val="000000"/>
          <w:sz w:val="24"/>
          <w:u w:val="single"/>
        </w:rPr>
        <w:br/>
        <w:br/>
        <w:t>MISCELLANEOUS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16.01    </w:t>
      </w:r>
      <w:r>
        <w:rPr>
          <w:rFonts w:ascii="Times New Roman;serif" w:hAnsi="Times New Roman;serif"/>
          <w:b w:val="false"/>
          <w:color w:val="000000"/>
          <w:sz w:val="24"/>
          <w:u w:val="single"/>
        </w:rPr>
        <w:t>Certificates and Opinions as to Conditions Precedent</w:t>
      </w:r>
      <w:r>
        <w:rPr>
          <w:rFonts w:ascii="Times New Roman;serif" w:hAnsi="Times New Roman;serif"/>
          <w:b w:val="false"/>
          <w:color w:val="000000"/>
          <w:sz w:val="24"/>
        </w:rPr>
        <w:t>.</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(a)    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(c)    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(d)    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 xml:space="preserv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(f)    Where any Person is required to make, give or execute two or more applications, requests, consents, certificates, statements, opinions or other instruments under this Indenture, they may, but need not, be consolidated and form one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16.02    </w:t>
      </w:r>
      <w:r>
        <w:rPr>
          <w:rFonts w:ascii="Times New Roman;serif" w:hAnsi="Times New Roman;serif"/>
          <w:b w:val="false"/>
          <w:color w:val="000000"/>
          <w:sz w:val="24"/>
          <w:u w:val="single"/>
        </w:rPr>
        <w:t>Trust Indenture Act Controls</w:t>
      </w:r>
      <w:r>
        <w:rPr>
          <w:rFonts w:ascii="Times New Roman;serif" w:hAnsi="Times New Roman;serif"/>
          <w:b w:val="false"/>
          <w:color w:val="000000"/>
          <w:sz w:val="24"/>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16.03    </w:t>
      </w:r>
      <w:r>
        <w:rPr>
          <w:rFonts w:ascii="Times New Roman;serif" w:hAnsi="Times New Roman;serif"/>
          <w:b w:val="false"/>
          <w:color w:val="000000"/>
          <w:sz w:val="24"/>
          <w:u w:val="single"/>
        </w:rPr>
        <w:t>Notices to the Company and Trustee</w:t>
      </w:r>
      <w:r>
        <w:rPr>
          <w:rFonts w:ascii="Times New Roman;serif" w:hAnsi="Times New Roman;serif"/>
          <w:b w:val="false"/>
          <w:color w:val="000000"/>
          <w:sz w:val="24"/>
        </w:rPr>
        <w:t>. Any notice or demand authorized by this Indenture to be made upon, given or furnished to, or filed with, the Company or the Trustee shall be sufficiently made, given, furnished or filed for all purposes if it shall be mailed, delivered or telefaxed to:</w:t>
      </w:r>
    </w:p>
    <w:p>
      <w:pPr>
        <w:pStyle w:val="TextBody"/>
        <w:bidi w:val="0"/>
        <w:spacing w:lineRule="auto" w:line="240" w:before="0" w:after="240"/>
        <w:ind w:left="0" w:right="0" w:firstLine="1800"/>
        <w:jc w:val="left"/>
        <w:rPr/>
      </w:pPr>
      <w:r>
        <w:rPr>
          <w:rFonts w:ascii="Times New Roman;serif" w:hAnsi="Times New Roman;serif"/>
          <w:b w:val="false"/>
          <w:color w:val="000000"/>
          <w:sz w:val="24"/>
        </w:rPr>
        <w:t>(a)    the Company, at 322 North 2200 West, Salt Lake City, UT 84116, Attention: Paul J. Diaz, Chief Executive Officer, email: [</w:t>
      </w:r>
      <w:r>
        <w:rPr>
          <w:color w:val="000000"/>
          <w:u w:val="single"/>
        </w:rPr>
        <w:t xml:space="preserve"> </w:t>
      </w:r>
      <w:r>
        <w:rPr>
          <w:rFonts w:ascii="Times New Roman;serif" w:hAnsi="Times New Roman;serif"/>
          <w:b w:val="false"/>
          <w:color w:val="000000"/>
          <w:sz w:val="24"/>
        </w:rPr>
        <w:t>], or at such other address or email or facsimile number as may have been furnished in writing to the Trustee by the Company.</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the Trustee, at the Corporate Trust Office of the Trustee.</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Any such notice, demand or other document shall be in the English language.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16.04    </w:t>
      </w:r>
      <w:r>
        <w:rPr>
          <w:rFonts w:ascii="Times New Roman;serif" w:hAnsi="Times New Roman;serif"/>
          <w:b w:val="false"/>
          <w:color w:val="000000"/>
          <w:sz w:val="24"/>
          <w:u w:val="single"/>
        </w:rPr>
        <w:t>Notices to Securityholders; Waiver</w:t>
      </w:r>
      <w:r>
        <w:rPr>
          <w:rFonts w:ascii="Times New Roman;serif" w:hAnsi="Times New Roman;serif"/>
          <w:b w:val="false"/>
          <w:color w:val="000000"/>
          <w:sz w:val="24"/>
        </w:rPr>
        <w:t xml:space="preserve">. Any notice required or permitted to be given to Securityholders shall be sufficiently given (unless otherwise herein expressly provided), </w:t>
      </w:r>
    </w:p>
    <w:p>
      <w:pPr>
        <w:pStyle w:val="TextBody"/>
        <w:bidi w:val="0"/>
        <w:spacing w:lineRule="auto" w:line="240" w:before="0" w:after="240"/>
        <w:ind w:left="0" w:right="0" w:firstLine="1800"/>
        <w:jc w:val="left"/>
        <w:rPr/>
      </w:pPr>
      <w:r>
        <w:rPr>
          <w:rFonts w:ascii="Times New Roman;serif" w:hAnsi="Times New Roman;serif"/>
          <w:b w:val="false"/>
          <w:color w:val="000000"/>
          <w:sz w:val="24"/>
        </w:rPr>
        <w:t xml:space="preserve">(a)    if to Holders, if given in writing by first class mail, postage prepaid, to such Holders at their addresses as the same shall appear on the Register of the Company;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event of suspension of regular mail service or by reason of any other cause it shall be impracticable to give notice by mail, then such notification as shall be given with the approval of the Trustee shall constitute sufficient notice for every purpose hereunder; or </w:t>
      </w:r>
    </w:p>
    <w:p>
      <w:pPr>
        <w:pStyle w:val="TextBody"/>
        <w:bidi w:val="0"/>
        <w:spacing w:lineRule="auto" w:line="240"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(b)    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pStyle w:val="TextBody"/>
        <w:bidi w:val="0"/>
        <w:spacing w:lineRule="auto" w:line="240" w:before="0" w:after="240"/>
        <w:jc w:val="left"/>
        <w:rPr>
          <w:color w:val="000000"/>
        </w:rPr>
      </w:pPr>
      <w:r>
        <w:rPr>
          <w:color w:val="000000"/>
        </w:rPr>
        <w:t>    </w:t>
      </w:r>
      <w:r>
        <w:rPr>
          <w:rFonts w:ascii="Times New Roman;serif" w:hAnsi="Times New Roman;serif"/>
          <w:b w:val="false"/>
          <w:color w:val="000000"/>
          <w:sz w:val="24"/>
        </w:rPr>
        <w:t>Where this Indenture provides for notice in any manner, such notice may be waived in writing by the Person entitled to receive such notice, either before or after the event, and such waiver shall be the equivalent of such notice. Waivers of notice by Holders shall be delivered to the Trustee, but such delivery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16.05    </w:t>
      </w:r>
      <w:r>
        <w:rPr>
          <w:rFonts w:ascii="Times New Roman;serif" w:hAnsi="Times New Roman;serif"/>
          <w:b w:val="false"/>
          <w:color w:val="000000"/>
          <w:sz w:val="24"/>
          <w:u w:val="single"/>
        </w:rPr>
        <w:t>Legal Holiday</w:t>
      </w:r>
      <w:r>
        <w:rPr>
          <w:rFonts w:ascii="Times New Roman;serif" w:hAnsi="Times New Roman;serif"/>
          <w:b w:val="false"/>
          <w:color w:val="000000"/>
          <w:sz w:val="24"/>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16.06    </w:t>
      </w:r>
      <w:r>
        <w:rPr>
          <w:rFonts w:ascii="Times New Roman;serif" w:hAnsi="Times New Roman;serif"/>
          <w:b w:val="false"/>
          <w:color w:val="000000"/>
          <w:sz w:val="24"/>
          <w:u w:val="single"/>
        </w:rPr>
        <w:t>Effects of Headings and Table of Contents</w:t>
      </w:r>
      <w:r>
        <w:rPr>
          <w:rFonts w:ascii="Times New Roman;serif" w:hAnsi="Times New Roman;serif"/>
          <w:b w:val="false"/>
          <w:color w:val="000000"/>
          <w:sz w:val="24"/>
        </w:rPr>
        <w:t>. The Article and Section headings herein and the Table of Contents are for convenience only and shall not affect the construction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16.07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All covenants and agreements in this Indenture by the parties hereto shall bind their respective successors and assigns and inure to the benefit of their permitted successors and assigns, whether so expressed or 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16.08    </w:t>
      </w:r>
      <w:r>
        <w:rPr>
          <w:rFonts w:ascii="Times New Roman;serif" w:hAnsi="Times New Roman;serif"/>
          <w:b w:val="false"/>
          <w:color w:val="000000"/>
          <w:sz w:val="24"/>
          <w:u w:val="single"/>
        </w:rPr>
        <w:t>Separability Clause</w:t>
      </w:r>
      <w:r>
        <w:rPr>
          <w:rFonts w:ascii="Times New Roman;serif" w:hAnsi="Times New Roman;serif"/>
          <w:b w:val="false"/>
          <w:color w:val="000000"/>
          <w:sz w:val="24"/>
        </w:rPr>
        <w:t>. In case any provision in this Indenture or in the Securities shall be invalid, illegal or unenforceable, the validity, legality and enforceability of the remaining provisions shall not in any way be affected or impaired thereby.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16.09    </w:t>
      </w:r>
      <w:r>
        <w:rPr>
          <w:rFonts w:ascii="Times New Roman;serif" w:hAnsi="Times New Roman;serif"/>
          <w:b w:val="false"/>
          <w:color w:val="000000"/>
          <w:sz w:val="24"/>
          <w:u w:val="single"/>
        </w:rPr>
        <w:t>Benefits of Indenture</w:t>
      </w:r>
      <w:r>
        <w:rPr>
          <w:rFonts w:ascii="Times New Roman;serif" w:hAnsi="Times New Roman;serif"/>
          <w:b w:val="false"/>
          <w:color w:val="000000"/>
          <w:sz w:val="24"/>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16.10    </w:t>
      </w:r>
      <w:r>
        <w:rPr>
          <w:rFonts w:ascii="Times New Roman;serif" w:hAnsi="Times New Roman;serif"/>
          <w:b w:val="false"/>
          <w:color w:val="000000"/>
          <w:sz w:val="24"/>
          <w:u w:val="single"/>
        </w:rPr>
        <w:t>Counterparts Originals</w:t>
      </w:r>
      <w:r>
        <w:rPr>
          <w:rFonts w:ascii="Times New Roman;serif" w:hAnsi="Times New Roman;serif"/>
          <w:b w:val="false"/>
          <w:color w:val="000000"/>
          <w:sz w:val="24"/>
        </w:rPr>
        <w:t>. This Indenture may be executed in any number of counterparts, each of which so executed shall be deemed to be an original, but all such counterparts shall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16.11    </w:t>
      </w:r>
      <w:r>
        <w:rPr>
          <w:rFonts w:ascii="Times New Roman;serif" w:hAnsi="Times New Roman;serif"/>
          <w:b w:val="false"/>
          <w:color w:val="000000"/>
          <w:sz w:val="24"/>
          <w:u w:val="single"/>
        </w:rPr>
        <w:t>Governing Law; Waiver of Trial by Jury</w:t>
      </w:r>
      <w:r>
        <w:rPr>
          <w:rFonts w:ascii="Times New Roman;serif" w:hAnsi="Times New Roman;serif"/>
          <w:b w:val="false"/>
          <w:color w:val="000000"/>
          <w:sz w:val="24"/>
        </w:rPr>
        <w:t>. This Indenture and the Securities shall be deemed to be contracts made under the law of the State of New York, and for all purposes shall be governed by and construed in accordance with the law of said 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16.12    </w:t>
      </w:r>
      <w:r>
        <w:rPr>
          <w:rFonts w:ascii="Times New Roman;serif" w:hAnsi="Times New Roman;serif"/>
          <w:b w:val="false"/>
          <w:color w:val="000000"/>
          <w:sz w:val="24"/>
          <w:u w:val="single"/>
        </w:rPr>
        <w:t xml:space="preserve">Electronic Signatures. </w:t>
      </w:r>
      <w:r>
        <w:rPr>
          <w:rFonts w:ascii="Times New Roman;serif" w:hAnsi="Times New Roman;serif"/>
          <w:b w:val="false"/>
          <w:color w:val="000000"/>
          <w:sz w:val="24"/>
        </w:rPr>
        <w:t>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Indenture and any certificate, agreement or other document to be signed in connection with this Indenture and the transactions contemplated hereby, other than any Security or Global Security,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Security or Global Security)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Security or Global Security),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Indenture to be duly executed as of the date first written above.</w:t>
      </w:r>
    </w:p>
    <w:p>
      <w:pPr>
        <w:pStyle w:val="TextBody"/>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Myriad Genetics, Inc.,</w:t>
        <w:br/>
        <w:t>as Issuer</w:t>
      </w:r>
    </w:p>
    <w:p>
      <w:pPr>
        <w:pStyle w:val="TextBody"/>
        <w:bidi w:val="0"/>
        <w:spacing w:lineRule="auto" w:line="240" w:before="480" w:after="283"/>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lineRule="auto" w:line="240" w:before="480" w:after="283"/>
        <w:jc w:val="left"/>
        <w:rPr/>
      </w:pP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w:t>
        <w:br/>
        <w:t>as Trustee</w:t>
      </w:r>
    </w:p>
    <w:p>
      <w:pPr>
        <w:pStyle w:val="TextBody"/>
        <w:bidi w:val="0"/>
        <w:spacing w:lineRule="auto" w:line="240" w:before="480" w:after="283"/>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40" w:before="240" w:after="240"/>
        <w:jc w:val="center"/>
        <w:rPr>
          <w:rFonts w:ascii="Times New Roman;serif" w:hAnsi="Times New Roman;serif"/>
          <w:b w:val="false"/>
          <w:color w:val="000000"/>
          <w:sz w:val="24"/>
        </w:rPr>
      </w:pPr>
      <w:r>
        <w:rPr>
          <w:rFonts w:ascii="Times New Roman;serif" w:hAnsi="Times New Roman;serif"/>
          <w:b w:val="false"/>
          <w:color w:val="000000"/>
          <w:sz w:val="24"/>
        </w:rPr>
        <w:t>[FORM OF FACE OF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THIS CERTIFICATE IS PRESENTED BY AN AUTHORIZED REPRESENTATIVE OF THE DEPOSITARY TO THE COMPANY OR ITS AGENT FOR REGISTRATION OF TRANSFER, EXCHANGE OR PAYMENT, AND ANY CERTIFICATE ISSUED IS REGISTERED IN THE NAME OF NOMINEE OF DEPOSITARY. OR IN SUCH OTHER NAME AS IS REQUESTED BY AN AUTHORIZED REPRESENTATIVE OF DEPOSITARY (AND ANY PAYMENT HEREON IS MADE TO NOMINEE OF DEPOSITARY OR TO SUCH OTHER ENTITY AS IS REQUESTED BY AN AUTHORIZED REPRESENTATIVE OF DEPOSITARY), ANY TRANSFER, PLEDGE OR OTHER USE HEREOF FOR VALUE OR OTHERWISE BY OR TO ANY PERSON IS WRONGFUL SINCE THE REGISTERED OWNER HEREOF, NOMINEE OF DEPOSITARY, HAS AN INTEREST HEREIN.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CUSIP No. _________</w:t>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Myriad Genetics, Inc.</w:t>
        <w:br/>
        <w:t>__________NOTES DUE 20__</w:t>
      </w:r>
    </w:p>
    <w:tbl>
      <w:tblPr>
        <w:tblW w:w="1889" w:type="dxa"/>
        <w:jc w:val="left"/>
        <w:tblInd w:w="0" w:type="dxa"/>
        <w:tblLayout w:type="fixed"/>
        <w:tblCellMar>
          <w:top w:w="28" w:type="dxa"/>
          <w:left w:w="28" w:type="dxa"/>
          <w:bottom w:w="28" w:type="dxa"/>
          <w:right w:w="28" w:type="dxa"/>
        </w:tblCellMar>
      </w:tblPr>
      <w:tblGrid>
        <w:gridCol w:w="325"/>
        <w:gridCol w:w="286"/>
        <w:gridCol w:w="288"/>
        <w:gridCol w:w="290"/>
        <w:gridCol w:w="290"/>
        <w:gridCol w:w="410"/>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No. ___</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w:t>
            </w:r>
          </w:p>
        </w:tc>
      </w:tr>
    </w:tbl>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As revised by the</w: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Schedule of Increases</w: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or Decreases in</w: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Global Security</w: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attached hereto</w: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erif" w:hAnsi="Times New Roman;serif"/>
          <w:b w:val="false"/>
          <w:i/>
          <w:color w:val="000000"/>
          <w:sz w:val="24"/>
        </w:rPr>
        <w:t>Interest</w:t>
      </w:r>
      <w:r>
        <w:rPr>
          <w:rFonts w:ascii="Times New Roman;serif" w:hAnsi="Times New Roman;serif"/>
          <w:b w:val="false"/>
          <w:color w:val="000000"/>
          <w:sz w:val="24"/>
        </w:rPr>
        <w:t xml:space="preserve">. Myriad Genetics, Inc., a Delaware corporation (herein called the “Company,” which term includes any successor Person under the Indenture hereinafter referred to), for value received, hereby promises to pay to ___________ or registered assigns, the principal sum of ___ million dollars ($_________), as revised by the Schedule of Increases or Decreases in Global Security attached hereto, on ________, 20__ and to pay interest thereon from _______, 20__ or from the most recent Interest Payment Date to which interest has been paid or duly provided for, semi-annually in arrears on _______ and _______ in each year, commencing _______, 20__ at the rate of ____% per annum, until the principal hereof is paid or made available for payment. </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Method of Payment</w:t>
      </w:r>
      <w:r>
        <w:rPr>
          <w:rFonts w:ascii="Times New Roman;serif" w:hAnsi="Times New Roman;serif"/>
          <w:b w:val="false"/>
          <w:color w:val="000000"/>
          <w:sz w:val="24"/>
        </w:rPr>
        <w:t>. The interest so payable, and punctually paid or duly provided for, on any Interest Payment Date will, as provided in such Indenture, be paid to the Person in whose name this Security (or one or more Predecessor Securities) is registered at the close of business on the Record Date for such interest, which shall be _______ or _______,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Authentication</w:t>
      </w:r>
      <w:r>
        <w:rPr>
          <w:rFonts w:ascii="Times New Roman;serif" w:hAnsi="Times New Roman;serif"/>
          <w:b w:val="false"/>
          <w:color w:val="000000"/>
          <w:sz w:val="24"/>
        </w:rPr>
        <w:t xml:space="preserve">. 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has caused this instrument to be duly executed under its corporate seal.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 20__</w:t>
      </w:r>
    </w:p>
    <w:tbl>
      <w:tblPr>
        <w:tblW w:w="3881" w:type="dxa"/>
        <w:jc w:val="center"/>
        <w:tblInd w:w="0" w:type="dxa"/>
        <w:tblLayout w:type="fixed"/>
        <w:tblCellMar>
          <w:top w:w="28" w:type="dxa"/>
          <w:left w:w="28" w:type="dxa"/>
          <w:bottom w:w="28" w:type="dxa"/>
          <w:right w:w="28" w:type="dxa"/>
        </w:tblCellMar>
      </w:tblPr>
      <w:tblGrid>
        <w:gridCol w:w="124"/>
        <w:gridCol w:w="109"/>
        <w:gridCol w:w="109"/>
        <w:gridCol w:w="1036"/>
        <w:gridCol w:w="1036"/>
        <w:gridCol w:w="1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5040"/>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5"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MYRIAD GENETICS,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By:    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Name:    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Title:    _____________________</w:t>
            </w:r>
          </w:p>
        </w:tc>
      </w:tr>
    </w:tbl>
    <w:p>
      <w:pPr>
        <w:pStyle w:val="TextBody"/>
        <w:bidi w:val="0"/>
        <w:spacing w:before="480" w:after="283"/>
        <w:ind w:left="0" w:right="0" w:hanging="50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tbl>
      <w:tblPr>
        <w:tblW w:w="6780" w:type="dxa"/>
        <w:jc w:val="center"/>
        <w:tblInd w:w="0" w:type="dxa"/>
        <w:tblLayout w:type="fixed"/>
        <w:tblCellMar>
          <w:top w:w="28" w:type="dxa"/>
          <w:left w:w="28" w:type="dxa"/>
          <w:bottom w:w="28" w:type="dxa"/>
          <w:right w:w="28" w:type="dxa"/>
        </w:tblCellMar>
      </w:tblPr>
      <w:tblGrid>
        <w:gridCol w:w="1321"/>
        <w:gridCol w:w="1162"/>
        <w:gridCol w:w="1162"/>
        <w:gridCol w:w="918"/>
        <w:gridCol w:w="918"/>
        <w:gridCol w:w="1299"/>
      </w:tblGrid>
      <w:tr>
        <w:trPr/>
        <w:tc>
          <w:tcPr>
            <w:tcW w:w="13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Date of authentication: ___________</w:t>
            </w:r>
          </w:p>
        </w:tc>
        <w:tc>
          <w:tcPr>
            <w:tcW w:w="3135" w:type="dxa"/>
            <w:gridSpan w:val="3"/>
            <w:tcBorders/>
            <w:tcMar>
              <w:top w:w="0" w:type="dxa"/>
              <w:left w:w="0" w:type="dxa"/>
              <w:bottom w:w="0" w:type="dxa"/>
              <w:right w:w="0" w:type="dxa"/>
            </w:tcMar>
            <w:vAlign w:val="center"/>
          </w:tcPr>
          <w:p>
            <w:pPr>
              <w:pStyle w:val="TableContents"/>
              <w:bidi w:val="0"/>
              <w:spacing w:lineRule="auto" w:line="240" w:before="480" w:after="283"/>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[_____________], </w:t>
            </w:r>
          </w:p>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48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5" w:after="283"/>
        <w:ind w:left="0" w:right="0" w:hanging="5040"/>
        <w:jc w:val="left"/>
        <w:rPr/>
      </w:pPr>
      <w:r>
        <w:rPr/>
      </w:r>
    </w:p>
    <w:p>
      <w:pPr>
        <w:pStyle w:val="TextBody"/>
        <w:bidi w:val="0"/>
        <w:spacing w:before="24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REVERSE OF SECURITY]</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Indenture</w:t>
      </w:r>
      <w:r>
        <w:rPr>
          <w:rFonts w:ascii="Times New Roman;serif" w:hAnsi="Times New Roman;serif"/>
          <w:b w:val="false"/>
          <w:color w:val="000000"/>
          <w:sz w:val="24"/>
        </w:rPr>
        <w:t>. This Security is one of a duly authorized issue of securities of the Company (herein called the “Securities”), issued and to be issued in one or more series under an Indenture, dated as of __________, 20__, [as supplemented by a ___ Supplemental Indenture dated _______, 20__] (as so supplemented, herein called the “Indenture”), between the Company and [</w:t>
      </w:r>
      <w:r>
        <w:rPr>
          <w:color w:val="000000"/>
          <w:u w:val="single"/>
        </w:rPr>
        <w:t xml:space="preserve"> </w:t>
      </w:r>
      <w:r>
        <w:rPr>
          <w:rFonts w:ascii="Times New Roman;serif" w:hAnsi="Times New Roman;serif"/>
          <w:b w:val="false"/>
          <w:color w:val="000000"/>
          <w:sz w:val="24"/>
        </w:rPr>
        <w:t>],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$_________.</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Optional Redemption</w:t>
      </w:r>
      <w:r>
        <w:rPr>
          <w:rFonts w:ascii="Times New Roman;serif" w:hAnsi="Times New Roman;serif"/>
          <w:b w:val="false"/>
          <w:color w:val="000000"/>
          <w:sz w:val="24"/>
        </w:rPr>
        <w:t>. The Securities of this series are subject to redemption at the Company’s option, at any time and from time to time, in whole or in part, at a Redemption Price equal to __________.</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determining the optional redemption price, the following definitions are applicable: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__________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will be mailed at least 30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If fewer than all of the Securities are to be redeemed, the Trustee will select, not more than __ days prior to the Redemption Date, the particular Securities or portions thereof for redemption from the outstanding Securities not previously called by such method as the Trustee deems fair and appropriate.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set forth above, the Securities will not be redeemable by the Company prior to maturity [and will not be entitled to the benefit of any sinking fund].</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Defaults and Remedies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Amendment, Modification and Waiver</w:t>
      </w:r>
      <w:r>
        <w:rPr>
          <w:rFonts w:ascii="Times New Roman;serif" w:hAnsi="Times New Roman;serif"/>
          <w:b w:val="false"/>
          <w:color w:val="000000"/>
          <w:sz w:val="24"/>
        </w:rPr>
        <w:t xml:space="preserve">. 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i/>
          <w:color w:val="000000"/>
          <w:sz w:val="24"/>
        </w:rPr>
        <w:t>Restrictive Covenants</w:t>
      </w:r>
      <w:r>
        <w:rPr>
          <w:rFonts w:ascii="Times New Roman;serif" w:hAnsi="Times New Roman;serif"/>
          <w:b w:val="false"/>
          <w:color w:val="000000"/>
          <w:sz w:val="24"/>
        </w:rPr>
        <w:t>. The Indenture does not limit unsecured debt of the Company or any of its Subsidiaries.</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Denominations, Transfer and Exchange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Securities of this series are issuable only in registered form without coupons in denominations of $2,000 and in integral multiples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 service charge shall be made for any such registration of transfer or exchange, but the Company may require payment of a sum sufficient to cover any tax or other governmental charge payable in connection therewith. </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Persons Deemed Owners</w:t>
      </w:r>
      <w:r>
        <w:rPr>
          <w:rFonts w:ascii="Times New Roman;serif" w:hAnsi="Times New Roman;serif"/>
          <w:b w:val="false"/>
          <w:color w:val="000000"/>
          <w:sz w:val="24"/>
        </w:rPr>
        <w:t xml:space="preserve">.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lineRule="auto" w:line="240" w:before="0" w:after="240"/>
        <w:ind w:left="0" w:right="0" w:firstLine="720"/>
        <w:jc w:val="left"/>
        <w:rPr/>
      </w:pPr>
      <w:r>
        <w:rPr>
          <w:rFonts w:ascii="Times New Roman;serif" w:hAnsi="Times New Roman;serif"/>
          <w:b w:val="false"/>
          <w:i/>
          <w:color w:val="000000"/>
          <w:sz w:val="24"/>
        </w:rPr>
        <w:t>Miscellaneous</w:t>
      </w:r>
      <w:r>
        <w:rPr>
          <w:rFonts w:ascii="Times New Roman;serif" w:hAnsi="Times New Roman;serif"/>
          <w:b w:val="false"/>
          <w:color w:val="000000"/>
          <w:sz w:val="24"/>
        </w:rPr>
        <w:t>. The Indenture and this Security shall be governed by and construed in accordance with the laws of the State of New York, without regard to the conflicts of law rules of said State.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terms used in this Security and not defined herein shall have the meanings assigned to them in the Indenture.</w:t>
      </w:r>
    </w:p>
    <w:p>
      <w:pPr>
        <w:pStyle w:val="TextBody"/>
        <w:bidi w:val="0"/>
        <w:spacing w:before="24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OF INCREASES OR DECREASES IN GLOBAL SECURITY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increases or decreases in this Global Security have been made:</w:t>
      </w:r>
    </w:p>
    <w:tbl>
      <w:tblPr>
        <w:tblW w:w="10205" w:type="dxa"/>
        <w:jc w:val="left"/>
        <w:tblInd w:w="0" w:type="dxa"/>
        <w:tblLayout w:type="fixed"/>
        <w:tblCellMar>
          <w:top w:w="28" w:type="dxa"/>
          <w:left w:w="28" w:type="dxa"/>
          <w:bottom w:w="28" w:type="dxa"/>
          <w:right w:w="28" w:type="dxa"/>
        </w:tblCellMar>
      </w:tblPr>
      <w:tblGrid>
        <w:gridCol w:w="410"/>
        <w:gridCol w:w="360"/>
        <w:gridCol w:w="362"/>
        <w:gridCol w:w="752"/>
        <w:gridCol w:w="752"/>
        <w:gridCol w:w="755"/>
        <w:gridCol w:w="756"/>
        <w:gridCol w:w="756"/>
        <w:gridCol w:w="758"/>
        <w:gridCol w:w="882"/>
        <w:gridCol w:w="882"/>
        <w:gridCol w:w="885"/>
        <w:gridCol w:w="553"/>
        <w:gridCol w:w="553"/>
        <w:gridCol w:w="789"/>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Date of Exchange</w:t>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Amount of increase in Principal Amount of this Global Security</w:t>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Amount of decrease in Principal Amount of this Global Security</w:t>
            </w:r>
          </w:p>
        </w:tc>
        <w:tc>
          <w:tcPr>
            <w:tcW w:w="2649"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Amount of this Global Security following each decrease or increase</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val="false"/>
                <w:color w:val="000000"/>
                <w:sz w:val="20"/>
              </w:rPr>
            </w:pPr>
            <w:r>
              <w:rPr>
                <w:rFonts w:ascii="Times New Roman;serif" w:hAnsi="Times New Roman;serif"/>
                <w:b w:val="false"/>
                <w:color w:val="000000"/>
                <w:sz w:val="20"/>
              </w:rPr>
              <w:t>Signature of authorized signatory of Trustee</w:t>
            </w:r>
          </w:p>
        </w:tc>
      </w:tr>
      <w:tr>
        <w:trPr/>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tbl>
      <w:tblPr>
        <w:tblW w:w="4148" w:type="dxa"/>
        <w:jc w:val="left"/>
        <w:tblInd w:w="0" w:type="dxa"/>
        <w:tblLayout w:type="fixed"/>
        <w:tblCellMar>
          <w:top w:w="28" w:type="dxa"/>
          <w:left w:w="28" w:type="dxa"/>
          <w:bottom w:w="28" w:type="dxa"/>
          <w:right w:w="28" w:type="dxa"/>
        </w:tblCellMar>
      </w:tblPr>
      <w:tblGrid>
        <w:gridCol w:w="124"/>
        <w:gridCol w:w="109"/>
        <w:gridCol w:w="109"/>
        <w:gridCol w:w="638"/>
        <w:gridCol w:w="638"/>
        <w:gridCol w:w="640"/>
        <w:gridCol w:w="552"/>
        <w:gridCol w:w="552"/>
        <w:gridCol w:w="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19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62050" cy="1162050"/>
                  <wp:effectExtent l="0" t="0" r="0" b="0"/>
                  <wp:docPr id="1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 descr=""/>
                          <pic:cNvPicPr>
                            <a:picLocks noChangeAspect="1" noChangeArrowheads="1"/>
                          </pic:cNvPicPr>
                        </pic:nvPicPr>
                        <pic:blipFill>
                          <a:blip r:embed="rId19"/>
                          <a:stretch>
                            <a:fillRect/>
                          </a:stretch>
                        </pic:blipFill>
                        <pic:spPr bwMode="auto">
                          <a:xfrm>
                            <a:off x="0" y="0"/>
                            <a:ext cx="1162050" cy="1162050"/>
                          </a:xfrm>
                          <a:prstGeom prst="rect">
                            <a:avLst/>
                          </a:prstGeom>
                        </pic:spPr>
                      </pic:pic>
                    </a:graphicData>
                  </a:graphic>
                </wp:inline>
              </w:drawing>
            </w:r>
          </w:p>
        </w:tc>
        <w:tc>
          <w:tcPr>
            <w:tcW w:w="18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8"/>
              </w:rPr>
            </w:pPr>
            <w:r>
              <w:rPr>
                <w:rFonts w:ascii="Arial;sans-serif" w:hAnsi="Arial;sans-serif"/>
                <w:b w:val="false"/>
                <w:color w:val="000000"/>
                <w:sz w:val="18"/>
              </w:rPr>
              <w:t>One Financial Center</w:t>
            </w:r>
          </w:p>
          <w:p>
            <w:pPr>
              <w:pStyle w:val="TableContents"/>
              <w:bidi w:val="0"/>
              <w:spacing w:lineRule="atLeast" w:line="200" w:before="0" w:after="0"/>
              <w:jc w:val="left"/>
              <w:rPr>
                <w:rFonts w:ascii="Arial;sans-serif" w:hAnsi="Arial;sans-serif"/>
                <w:b w:val="false"/>
                <w:color w:val="000000"/>
                <w:sz w:val="18"/>
              </w:rPr>
            </w:pPr>
            <w:r>
              <w:rPr>
                <w:rFonts w:ascii="Arial;sans-serif" w:hAnsi="Arial;sans-serif"/>
                <w:b w:val="false"/>
                <w:color w:val="000000"/>
                <w:sz w:val="18"/>
              </w:rPr>
              <w:t>Boston, MA 02111</w:t>
            </w:r>
          </w:p>
          <w:p>
            <w:pPr>
              <w:pStyle w:val="TableContents"/>
              <w:bidi w:val="0"/>
              <w:spacing w:lineRule="atLeast" w:line="200" w:before="0" w:after="0"/>
              <w:jc w:val="left"/>
              <w:rPr>
                <w:rFonts w:ascii="Arial;sans-serif" w:hAnsi="Arial;sans-serif"/>
                <w:b w:val="false"/>
                <w:color w:val="000000"/>
                <w:sz w:val="18"/>
              </w:rPr>
            </w:pPr>
            <w:r>
              <w:rPr>
                <w:rFonts w:ascii="Arial;sans-serif" w:hAnsi="Arial;sans-serif"/>
                <w:b w:val="false"/>
                <w:color w:val="000000"/>
                <w:sz w:val="18"/>
              </w:rPr>
              <w:t>617 542 6000</w:t>
            </w:r>
          </w:p>
          <w:p>
            <w:pPr>
              <w:pStyle w:val="TableContents"/>
              <w:bidi w:val="0"/>
              <w:spacing w:lineRule="atLeast" w:line="200" w:before="0" w:after="0"/>
              <w:jc w:val="left"/>
              <w:rPr>
                <w:rFonts w:ascii="Arial;sans-serif" w:hAnsi="Arial;sans-serif"/>
                <w:b w:val="false"/>
                <w:color w:val="000000"/>
                <w:sz w:val="18"/>
              </w:rPr>
            </w:pPr>
            <w:r>
              <w:rPr>
                <w:rFonts w:ascii="Arial;sans-serif" w:hAnsi="Arial;sans-serif"/>
                <w:b w:val="false"/>
                <w:color w:val="000000"/>
                <w:sz w:val="18"/>
              </w:rPr>
              <w:t>mintz.com</w:t>
            </w:r>
          </w:p>
        </w:tc>
      </w:tr>
    </w:tbl>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5.1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24, 2026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Myriad Genetics, Inc.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322 North 2200 West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Salt Lake City, UT 84116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Ladies and Gentlemen: </w:t>
      </w:r>
    </w:p>
    <w:p>
      <w:pPr>
        <w:pStyle w:val="TextBody"/>
        <w:bidi w:val="0"/>
        <w:spacing w:before="240" w:after="283"/>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acted as legal counsel to Myriad Genetics, Inc.,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(i)common stock, $0.01 par value per share (the “Common Stock”);</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(ii)preferred stock, $0.01 par value per share (the “Preferred Stock”);</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(iii)depositary shares representing fractional shares of Preferred Stock (the “Depositary Shares”), which may be issued pursuant to one or more depositary agreements (each, a “Deposit Agreement”) proposed to be entered into between the Company and one or more bank or trust companies to be named in the applicable Deposit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(iv)debt securities which may be issued in one or more series (“Debt Securities”) under an indenture (the “Indenture”) proposed to be entered into by the Company and the trustee to be named therein, the form of which is filed as an exhibit to the Registration Statement;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Common Stock, the Preferred Stock, the Depositary Shares, the Debt Securities and the Warrants are collectively referred to herein as the “Securities.” The Registration Statement relates to the registration of the Securities to be offered and sold by the Company from time to time on a delayed or continuous basis pursuant to Rule 415 under the Securities Act. The maximum aggregate public offering price of the Securities being registered is $200,000,000. This opinion is being rendered in connection with the filing of the Registration Statement with the Commission. All capitalized terms used herein and not otherwise defined shall have the respective meanings given to them in the Registration Statement.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this opinion, we have examined the Company’s restated certificate of incorporation, as amended (the “Certificate of Incorporation”), and restated bylaws (the “Bylaws”), each as currently in effect; such other records of the corporate proceedings of the Company and certificates of the Company’s officers as we have deemed relevant; and the Registration Statement and the exhibits thereto. </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MINTZ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February 24, 2026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Page 2    </w:t>
      </w:r>
      <w:r>
        <w:rPr>
          <w:shd w:fill="FFFFFF" w:val="clear"/>
        </w:rPr>
        <w:drawing>
          <wp:inline distT="0" distB="0" distL="0" distR="0">
            <wp:extent cx="409575" cy="514350"/>
            <wp:effectExtent l="0" t="0" r="0" b="0"/>
            <wp:docPr id="1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 descr=""/>
                    <pic:cNvPicPr>
                      <a:picLocks noChangeAspect="1" noChangeArrowheads="1"/>
                    </pic:cNvPicPr>
                  </pic:nvPicPr>
                  <pic:blipFill>
                    <a:blip r:embed="rId20"/>
                    <a:stretch>
                      <a:fillRect/>
                    </a:stretch>
                  </pic:blipFill>
                  <pic:spPr bwMode="auto">
                    <a:xfrm>
                      <a:off x="0" y="0"/>
                      <a:ext cx="409575" cy="514350"/>
                    </a:xfrm>
                    <a:prstGeom prst="rect">
                      <a:avLst/>
                    </a:prstGeom>
                  </pic:spPr>
                </pic:pic>
              </a:graphicData>
            </a:graphic>
          </wp:inline>
        </w:drawing>
      </w:r>
      <w:r>
        <w:rPr>
          <w:color w:val="000000"/>
          <w:shd w:fill="FFFFFF" w:val="clear"/>
        </w:rPr>
        <w: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our examination, we have assumed the genuineness of all signatures, the legal capacity of natural persons, the authenticity of all documents submitted to us as originals, the conformity to original documents of all documents submitted to us as copies and the authenticity of the originals of such copies.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and Delaware laws, in the manner presently proposed.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 </w:t>
      </w:r>
    </w:p>
    <w:p>
      <w:pPr>
        <w:pStyle w:val="TextBody"/>
        <w:bidi w:val="0"/>
        <w:spacing w:lineRule="auto" w:line="288" w:before="240" w:after="283"/>
        <w:jc w:val="both"/>
        <w:rPr>
          <w:shd w:fill="FFFFFF" w:val="clear"/>
        </w:rPr>
      </w:pPr>
      <w:r>
        <w:rPr>
          <w:rFonts w:ascii="Times New Roman;serif" w:hAnsi="Times New Roman;serif"/>
          <w:b w:val="false"/>
          <w:color w:val="000000"/>
          <w:sz w:val="20"/>
          <w:shd w:fill="FFFFFF" w:val="clear"/>
        </w:rPr>
        <w:t>We have relied as to certain matters on information obtained from public officials, officers of the Company, and other sources believed by us to be responsible and we have assumed that the Indenture will be duly authorized, executed, and delivered by the trustee thereunder and the Warrant Agreement and Deposit Agreement will be duly authorized, executed, and delivered by the warrant agent and depositary, respectively, thereunder.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Certificate of Incorporation as then in effect and that the consideration for the issuance and sale of the Common Stock (or Preferred Stock, Debt Securities convertible into Common Stock or Warrants exercisable for Common Stock)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Debt Securities convertible into Preferred Stock, Warrants exercisable for Preferred Stock) is in an amount that is not less than the par value of the Preferred Stock. We have also assumed that any Warrants and Depositary Shares offered under the Registration Statement, and the related Warrant Agreement and Deposit Agreement will be executed in the forms to be filed as exhibits to the Registration Statement or incorporated by reference therein.</w:t>
      </w:r>
      <w:r>
        <w:rPr>
          <w:color w:val="000000"/>
          <w:shd w:fill="FFFFFF" w:val="clear"/>
        </w:rPr>
        <w:t xml:space="preserve"> </w:t>
      </w:r>
      <w:r>
        <w:rPr>
          <w:rFonts w:ascii="Times New Roman;serif" w:hAnsi="Times New Roman;serif"/>
          <w:b w:val="false"/>
          <w:color w:val="000000"/>
          <w:sz w:val="20"/>
          <w:shd w:fill="FFFFFF" w:val="clear"/>
        </w:rPr>
        <w:t xml:space="preserve">We have not independently verified any of the foregoing assumptions.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is understood that this opinion is to be used only in connection with the offer and sale of Securities while the Registration Statement is effective under the Securities Act.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opinion is limited to the General Corporation Law of the State of Delaware and the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 </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MINTZ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201420"/>
                <wp:effectExtent l="0" t="0" r="0" b="0"/>
                <wp:wrapNone/>
                <wp:docPr id="128" name="Frame124"/>
                <a:graphic xmlns:a="http://schemas.openxmlformats.org/drawingml/2006/main">
                  <a:graphicData uri="http://schemas.microsoft.com/office/word/2010/wordprocessingShape">
                    <wps:wsp>
                      <wps:cNvSpPr txBox="1"/>
                      <wps:spPr>
                        <a:xfrm>
                          <a:off x="0" y="0"/>
                          <a:ext cx="6480175" cy="1201420"/>
                        </a:xfrm>
                        <a:prstGeom prst="rect"/>
                        <a:solidFill>
                          <a:srgbClr val="FFFFFF"/>
                        </a:solidFill>
                      </wps:spPr>
                      <wps:txb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r>
                                    <w:br w:type="page"/>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6pt;mso-wrap-distance-left:0pt;mso-wrap-distance-right:0pt;mso-wrap-distance-top:0pt;mso-wrap-distance-bottom:0pt;margin-top:0pt;mso-position-vertical:top;mso-position-vertical-relative:text;margin-left:0pt;mso-position-horizontal:left;mso-position-horizontal-relative:text">
                <v:textbo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February 24, 2026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Page 3    </w:t>
      </w:r>
      <w:r>
        <w:rPr>
          <w:shd w:fill="FFFFFF" w:val="clear"/>
        </w:rPr>
        <w:drawing>
          <wp:inline distT="0" distB="0" distL="0" distR="0">
            <wp:extent cx="409575" cy="514350"/>
            <wp:effectExtent l="0" t="0" r="0" b="0"/>
            <wp:docPr id="1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 descr=""/>
                    <pic:cNvPicPr>
                      <a:picLocks noChangeAspect="1" noChangeArrowheads="1"/>
                    </pic:cNvPicPr>
                  </pic:nvPicPr>
                  <pic:blipFill>
                    <a:blip r:embed="rId21"/>
                    <a:stretch>
                      <a:fillRect/>
                    </a:stretch>
                  </pic:blipFill>
                  <pic:spPr bwMode="auto">
                    <a:xfrm>
                      <a:off x="0" y="0"/>
                      <a:ext cx="409575" cy="514350"/>
                    </a:xfrm>
                    <a:prstGeom prst="rect">
                      <a:avLst/>
                    </a:prstGeom>
                  </pic:spPr>
                </pic:pic>
              </a:graphicData>
            </a:graphic>
          </wp:inline>
        </w:drawing>
      </w:r>
      <w:r>
        <w:rPr>
          <w:color w:val="000000"/>
          <w:shd w:fill="FFFFFF" w:val="clear"/>
        </w:rPr>
        <w:t>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upon the foregoing, we are of the opinion that: </w:t>
      </w:r>
    </w:p>
    <w:p>
      <w:pPr>
        <w:pStyle w:val="TextBody"/>
        <w:bidi w:val="0"/>
        <w:spacing w:lineRule="auto" w:line="288" w:before="24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1.With respect to the Common Stock,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 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applicable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Underwriting Agreement, the Preferred Stock will be validly issued, fully paid and nonassessable.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MINTZ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201420"/>
                <wp:effectExtent l="0" t="0" r="0" b="0"/>
                <wp:wrapNone/>
                <wp:docPr id="130" name="Frame125"/>
                <a:graphic xmlns:a="http://schemas.openxmlformats.org/drawingml/2006/main">
                  <a:graphicData uri="http://schemas.microsoft.com/office/word/2010/wordprocessingShape">
                    <wps:wsp>
                      <wps:cNvSpPr txBox="1"/>
                      <wps:spPr>
                        <a:xfrm>
                          <a:off x="0" y="0"/>
                          <a:ext cx="6480175" cy="1201420"/>
                        </a:xfrm>
                        <a:prstGeom prst="rect"/>
                        <a:solidFill>
                          <a:srgbClr val="FFFFFF"/>
                        </a:solidFill>
                      </wps:spPr>
                      <wps:txb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r>
                                    <w:br w:type="page"/>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6pt;mso-wrap-distance-left:0pt;mso-wrap-distance-right:0pt;mso-wrap-distance-top:0pt;mso-wrap-distance-bottom:0pt;margin-top:0pt;mso-position-vertical:top;mso-position-vertical-relative:text;margin-left:0pt;mso-position-horizontal:left;mso-position-horizontal-relative:text">
                <v:textbo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February 24, 2026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Page 4    </w:t>
      </w:r>
      <w:r>
        <w:rPr>
          <w:shd w:fill="FFFFFF" w:val="clear"/>
        </w:rPr>
        <w:drawing>
          <wp:inline distT="0" distB="0" distL="0" distR="0">
            <wp:extent cx="409575" cy="514350"/>
            <wp:effectExtent l="0" t="0" r="0" b="0"/>
            <wp:docPr id="1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 descr=""/>
                    <pic:cNvPicPr>
                      <a:picLocks noChangeAspect="1" noChangeArrowheads="1"/>
                    </pic:cNvPicPr>
                  </pic:nvPicPr>
                  <pic:blipFill>
                    <a:blip r:embed="rId22"/>
                    <a:stretch>
                      <a:fillRect/>
                    </a:stretch>
                  </pic:blipFill>
                  <pic:spPr bwMode="auto">
                    <a:xfrm>
                      <a:off x="0" y="0"/>
                      <a:ext cx="409575" cy="514350"/>
                    </a:xfrm>
                    <a:prstGeom prst="rect">
                      <a:avLst/>
                    </a:prstGeom>
                  </pic:spPr>
                </pic:pic>
              </a:graphicData>
            </a:graphic>
          </wp:inline>
        </w:drawing>
      </w:r>
      <w:r>
        <w:rPr>
          <w:color w:val="000000"/>
          <w:shd w:fill="FFFFFF" w:val="clear"/>
        </w:rPr>
        <w:t>        </w:t>
      </w:r>
    </w:p>
    <w:p>
      <w:pPr>
        <w:pStyle w:val="TextBody"/>
        <w:bidi w:val="0"/>
        <w:spacing w:lineRule="auto" w:line="288" w:before="0" w:after="0"/>
        <w:ind w:left="0" w:right="0" w:hanging="360"/>
        <w:jc w:val="both"/>
        <w:rPr>
          <w:shd w:fill="FFFFFF" w:val="clear"/>
        </w:rPr>
      </w:pPr>
      <w:r>
        <w:rPr>
          <w:rFonts w:ascii="Times New Roman;serif" w:hAnsi="Times New Roman;serif"/>
          <w:b w:val="false"/>
          <w:color w:val="000000"/>
          <w:sz w:val="20"/>
          <w:shd w:fill="FFFFFF" w:val="clear"/>
        </w:rPr>
        <w:t>3.With respect to the Depositary Shares,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Depositary Shares has been prepared, delivered and filed in compliance with the Securities Act and the applicable rules and regulations thereunder; (iv) if the applicable Depositary Shares are to be sold pursuant to an Underwriting Agreement, such Underwriting Agreement with respect to the applicable Depositary Shares,</w:t>
      </w:r>
      <w:r>
        <w:rPr>
          <w:color w:val="000000"/>
          <w:shd w:fill="FFFFFF" w:val="clear"/>
        </w:rPr>
        <w:t xml:space="preserve"> </w:t>
      </w:r>
      <w:r>
        <w:rPr>
          <w:rFonts w:ascii="Times New Roman;serif" w:hAnsi="Times New Roman;serif"/>
          <w:b w:val="false"/>
          <w:color w:val="000000"/>
          <w:sz w:val="20"/>
          <w:shd w:fill="FFFFFF" w:val="clear"/>
        </w:rPr>
        <w:t>in the form filed as an exhibit to the Registration Statement, any post-effective amendment thereto or to a Current Report on Form 8-K, has been duly authorized, executed and delivered by the Company and the other parties thereto, (v) the Deposit Agreement relating to the applicable Depositary Shares,</w:t>
      </w:r>
      <w:r>
        <w:rPr>
          <w:color w:val="000000"/>
          <w:shd w:fill="FFFFFF" w:val="clear"/>
        </w:rPr>
        <w:t xml:space="preserve"> </w:t>
      </w:r>
      <w:r>
        <w:rPr>
          <w:rFonts w:ascii="Times New Roman;serif" w:hAnsi="Times New Roman;serif"/>
          <w:b w:val="false"/>
          <w:color w:val="000000"/>
          <w:sz w:val="20"/>
          <w:shd w:fill="FFFFFF" w:val="clear"/>
        </w:rPr>
        <w:t>in the form filed as an exhibit to the Registration Statement, any post-effective amendment thereto or to a Current Report on Form 8-K, has been duly authorized, executed, and delivered, (vi) an appropriate Certificate or Certificates of Amendment or Designation relating to a class or series of the applicable Preferred Stock have been duly authorized and adopted and filed with the Secretary of State of the State of Delaware prior to this issuance of the applicable Depositary Shares in conformity with the Company’s then operative Certificate of Incorporation and Bylaws, (vii) the terms of the applicable Depositary Shares and of their issuance and sale have been duly established in conformity with the Deposit Agreement and do not violate any applicable law or result in a default under or breach of any agreement or instrument binding upon the Company and comply with any requirement or restriction imposed by any court or governmental body having jurisdiction over the Company, (viii) the depositary receipt evidencing the applicable Depositary Shares have been duly executed and countersigned in accordance with the Deposit Agreement and the applicable Depositary Shares have been issued and sold as contemplated by the Registration Statement and the prospectus included therein, and (ix) the Company has received the consideration provided for in the Authorizing Resolutions and, if applicable, the Underwriting Agreement, the Depositary Shares will be validly issued, fully paid and nonassessable.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4.With respect to the Debt Securities, when (i) specifically authorized for issuance by the Authorizing Resolutions, (ii) the Registration Statement, as finally amended (including all post-effective amendments), has become effective under the Securities Act, (iii) the Indenture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applicable Debt Securities and of their issuance and sale have been duly established in conformity with the Indenture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Indenture and issued and sold as contemplated in the Registration Statement and the prospectus included therein, (viii) the Indenture relating to the applicable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MINTZ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201420"/>
                <wp:effectExtent l="0" t="0" r="0" b="0"/>
                <wp:wrapNone/>
                <wp:docPr id="132" name="Frame126"/>
                <a:graphic xmlns:a="http://schemas.openxmlformats.org/drawingml/2006/main">
                  <a:graphicData uri="http://schemas.microsoft.com/office/word/2010/wordprocessingShape">
                    <wps:wsp>
                      <wps:cNvSpPr txBox="1"/>
                      <wps:spPr>
                        <a:xfrm>
                          <a:off x="0" y="0"/>
                          <a:ext cx="6480175" cy="1201420"/>
                        </a:xfrm>
                        <a:prstGeom prst="rect"/>
                        <a:solidFill>
                          <a:srgbClr val="FFFFFF"/>
                        </a:solidFill>
                      </wps:spPr>
                      <wps:txb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r>
                                    <w:br w:type="page"/>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6pt;mso-wrap-distance-left:0pt;mso-wrap-distance-right:0pt;mso-wrap-distance-top:0pt;mso-wrap-distance-bottom:0pt;margin-top:0pt;mso-position-vertical:top;mso-position-vertical-relative:text;margin-left:0pt;mso-position-horizontal:left;mso-position-horizontal-relative:text">
                <v:textbo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February 24, 2026     </w:t>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Page 5    </w:t>
      </w:r>
      <w:r>
        <w:rPr>
          <w:shd w:fill="FFFFFF" w:val="clear"/>
        </w:rPr>
        <w:drawing>
          <wp:inline distT="0" distB="0" distL="0" distR="0">
            <wp:extent cx="409575" cy="514350"/>
            <wp:effectExtent l="0" t="0" r="0" b="0"/>
            <wp:docPr id="1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 descr=""/>
                    <pic:cNvPicPr>
                      <a:picLocks noChangeAspect="1" noChangeArrowheads="1"/>
                    </pic:cNvPicPr>
                  </pic:nvPicPr>
                  <pic:blipFill>
                    <a:blip r:embed="rId23"/>
                    <a:stretch>
                      <a:fillRect/>
                    </a:stretch>
                  </pic:blipFill>
                  <pic:spPr bwMode="auto">
                    <a:xfrm>
                      <a:off x="0" y="0"/>
                      <a:ext cx="409575" cy="514350"/>
                    </a:xfrm>
                    <a:prstGeom prst="rect">
                      <a:avLst/>
                    </a:prstGeom>
                  </pic:spPr>
                </pic:pic>
              </a:graphicData>
            </a:graphic>
          </wp:inline>
        </w:drawing>
      </w:r>
      <w:r>
        <w:rPr>
          <w:color w:val="000000"/>
          <w:shd w:fill="FFFFFF" w:val="clear"/>
        </w:rPr>
        <w:t>        </w:t>
      </w:r>
    </w:p>
    <w:p>
      <w:pPr>
        <w:pStyle w:val="TextBody"/>
        <w:bidi w:val="0"/>
        <w:spacing w:lineRule="auto" w:line="28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applicable Warrants, in the form filed as an exhibit to the Registration Statement, any post-effective amendment thereto or to a Current Report on Form 8-K,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applicable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applicable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 </w:t>
      </w:r>
    </w:p>
    <w:tbl>
      <w:tblPr>
        <w:tblW w:w="4649" w:type="dxa"/>
        <w:jc w:val="left"/>
        <w:tblInd w:w="0" w:type="dxa"/>
        <w:tblLayout w:type="fixed"/>
        <w:tblCellMar>
          <w:top w:w="28" w:type="dxa"/>
          <w:left w:w="28" w:type="dxa"/>
          <w:bottom w:w="28" w:type="dxa"/>
          <w:right w:w="28" w:type="dxa"/>
        </w:tblCellMar>
      </w:tblPr>
      <w:tblGrid>
        <w:gridCol w:w="1487"/>
        <w:gridCol w:w="1304"/>
        <w:gridCol w:w="1858"/>
      </w:tblGrid>
      <w:tr>
        <w:trPr/>
        <w:tc>
          <w:tcPr>
            <w:tcW w:w="148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Mintz, Levin, Cohn, Ferris, Glovsky and Popeo, P.C.</w:t>
            </w:r>
          </w:p>
        </w:tc>
      </w:tr>
      <w:tr>
        <w:trPr/>
        <w:tc>
          <w:tcPr>
            <w:tcW w:w="4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Mintz, Levin, Cohn, Ferris, Glovsky and Popeo, P.C.</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201420"/>
                <wp:effectExtent l="0" t="0" r="0" b="0"/>
                <wp:wrapNone/>
                <wp:docPr id="134" name="Frame127"/>
                <a:graphic xmlns:a="http://schemas.openxmlformats.org/drawingml/2006/main">
                  <a:graphicData uri="http://schemas.microsoft.com/office/word/2010/wordprocessingShape">
                    <wps:wsp>
                      <wps:cNvSpPr txBox="1"/>
                      <wps:spPr>
                        <a:xfrm>
                          <a:off x="0" y="0"/>
                          <a:ext cx="6480175" cy="1201420"/>
                        </a:xfrm>
                        <a:prstGeom prst="rect"/>
                        <a:solidFill>
                          <a:srgbClr val="FFFFFF"/>
                        </a:solidFill>
                      </wps:spPr>
                      <wps:txb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6pt;mso-wrap-distance-left:0pt;mso-wrap-distance-right:0pt;mso-wrap-distance-top:0pt;mso-wrap-distance-bottom:0pt;margin-top:0pt;mso-position-vertical:top;mso-position-vertical-relative:text;margin-left:0pt;mso-position-horizontal:left;mso-position-horizontal-relative:text">
                <v:textbox>
                  <w:txbxContent>
                    <w:tbl>
                      <w:tblPr>
                        <w:tblW w:w="8925" w:type="dxa"/>
                        <w:jc w:val="left"/>
                        <w:tblInd w:w="0" w:type="dxa"/>
                        <w:tblLayout w:type="fixed"/>
                        <w:tblCellMar>
                          <w:top w:w="28" w:type="dxa"/>
                          <w:left w:w="28" w:type="dxa"/>
                          <w:bottom w:w="28" w:type="dxa"/>
                          <w:right w:w="28" w:type="dxa"/>
                        </w:tblCellMar>
                      </w:tblPr>
                      <w:tblGrid>
                        <w:gridCol w:w="2859"/>
                        <w:gridCol w:w="2512"/>
                        <w:gridCol w:w="3554"/>
                      </w:tblGrid>
                      <w:tr>
                        <w:trPr/>
                        <w:tc>
                          <w:tcPr>
                            <w:tcW w:w="285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BOSTON    LOS ANGELES    MIAMI     NEW YORK    SAN DIEGO    SAN FRANCISCO    TORONTO    WASHINGTON</w:t>
                            </w:r>
                          </w:p>
                          <w:p>
                            <w:pPr>
                              <w:pStyle w:val="TableContents"/>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23.1</w: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consent to the reference to our firm under the caption "Experts" in the Registration Statement (Form S-3) and related Prospectus of Myriad Genetics, Inc. for the registration of its common stock, preferred stock, depository shares, debt securities, and warrants and to the incorporation by reference therein of our reports dated February 24, 2026, with respect to the consolidated financial statements of Myriad Genetics, Inc., and the effectiveness of internal control over financial reporting of Myriad Genetics, Inc. included in its Annual Report (Form 10-K) for the year ended December 31, 2025, filed with the Securities and Exchange Commission.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Salt Lake City, Utah</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24,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Unicode M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ix?doc=/Archives/edgar/data/899923/000089992326000018/mygn-20251231.htm" TargetMode="External"/><Relationship Id="rId4" Type="http://schemas.openxmlformats.org/officeDocument/2006/relationships/hyperlink" Target="https://www.sec.gov/ix?doc=/Archives/edgar/data/899923/000089992326000018/mygn-20251231.htm" TargetMode="External"/><Relationship Id="rId5" Type="http://schemas.openxmlformats.org/officeDocument/2006/relationships/hyperlink" Target="https://www.sec.gov/ix?doc=/Archives/edgar/data/899923/000089992326000018/mygn-20251231.htm" TargetMode="External"/><Relationship Id="rId6" Type="http://schemas.openxmlformats.org/officeDocument/2006/relationships/hyperlink" Target="https://www.sec.gov/ix?doc=/Archives/edgar/data/0000899923/000089992325000028/mygn-20250409.htm" TargetMode="External"/><Relationship Id="rId7" Type="http://schemas.openxmlformats.org/officeDocument/2006/relationships/hyperlink" Target="https://www.sec.gov/Archives/edgar/data/899923/000089992321000021/mygn-20201231xexx42.htm" TargetMode="External"/><Relationship Id="rId8" Type="http://schemas.openxmlformats.org/officeDocument/2006/relationships/hyperlink" Target="https://www.sec.gov/Archives/edgar/data/899923/000089992321000021/mygn-20201231xexx42.htm" TargetMode="External"/><Relationship Id="rId9" Type="http://schemas.openxmlformats.org/officeDocument/2006/relationships/hyperlink" Target="https://www.sec.gov/Archives/edgar/data/899923/000089992321000021/mygn-20201231xexx42.htm" TargetMode="External"/><Relationship Id="rId10" Type="http://schemas.openxmlformats.org/officeDocument/2006/relationships/hyperlink" Target="https://www.sec.gov/Archives/edgar/data/899923/000089992321000021/mygn-20201231xexx42.htm" TargetMode="External"/><Relationship Id="rId11" Type="http://schemas.openxmlformats.org/officeDocument/2006/relationships/hyperlink" Target="https://www.sec.gov/Archives/edgar/data/899923/000089992321000021/mygn-20201231xexx42.htm" TargetMode="External"/><Relationship Id="rId12" Type="http://schemas.openxmlformats.org/officeDocument/2006/relationships/image" Target="media/image1.png"/><Relationship Id="rId13" Type="http://schemas.openxmlformats.org/officeDocument/2006/relationships/hyperlink" Target="https://www.sec.gov/Archives/edgar/data/899923/000089992323000058/mgirestatedcertificateof.htm" TargetMode="External"/><Relationship Id="rId14" Type="http://schemas.openxmlformats.org/officeDocument/2006/relationships/hyperlink" Target="https://www.sec.gov/Archives/edgar/data/899923/000119312520269801/d102302dex31.htm" TargetMode="External"/><Relationship Id="rId15" Type="http://schemas.openxmlformats.org/officeDocument/2006/relationships/hyperlink" Target="https://www.sec.gov/Archives/edgar/data/0000899923/000119312511223211/dex41.htm" TargetMode="External"/><Relationship Id="rId16" Type="http://schemas.openxmlformats.org/officeDocument/2006/relationships/hyperlink" Target="https://www.sec.gov/Archives/edgar/data/899923/000089992321000021/mygn-20201231xexx42.htm" TargetMode="External"/><Relationship Id="rId17" Type="http://schemas.openxmlformats.org/officeDocument/2006/relationships/hyperlink" Target="https://www.sec.gov/Archives/edgar/data/899923/000089992321000021/mygn-20201231xexx42.htm" TargetMode="External"/><Relationship Id="rId18" Type="http://schemas.openxmlformats.org/officeDocument/2006/relationships/hyperlink" Target="https://www.sec.gov/Archives/edgar/data/899923/000089992321000021/mygn-20201231xexx42.htm" TargetMode="Externa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129</Pages>
  <Words>59701</Words>
  <Characters>307164</Characters>
  <CharactersWithSpaces>367249</CharactersWithSpaces>
  <Paragraphs>1771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