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pPr>
      <w:r>
        <w:rPr>
          <w:rFonts w:ascii="Times New Roman;serif" w:hAnsi="Times New Roman;serif"/>
          <w:b/>
          <w:color w:val="000000"/>
          <w:sz w:val="24"/>
        </w:rPr>
        <w:t>Date of Report (Date of earliest event reported):</w:t>
      </w:r>
      <w:r>
        <w:rPr>
          <w:color w:val="000000"/>
        </w:rPr>
        <w:t>  </w:t>
      </w:r>
      <w:r>
        <w:rPr>
          <w:rFonts w:ascii="Times New Roman;serif" w:hAnsi="Times New Roman;serif"/>
          <w:b/>
          <w:color w:val="000000"/>
          <w:sz w:val="24"/>
        </w:rPr>
        <w:t>November 4, 2026</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MYRIAD GENETICS,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0-26642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87-0494517</w:t>
            </w:r>
          </w:p>
        </w:tc>
      </w:tr>
      <w:t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322 North 2200 West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Salt Lake City, Utah 84116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(801) 584-3600</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6742" w:type="dxa"/>
        <w:jc w:val="left"/>
        <w:tblInd w:w="0" w:type="dxa"/>
        <w:tblLayout w:type="fixed"/>
        <w:tblCellMar>
          <w:top w:w="28" w:type="dxa"/>
          <w:left w:w="28" w:type="dxa"/>
          <w:bottom w:w="28" w:type="dxa"/>
          <w:right w:w="28" w:type="dxa"/>
        </w:tblCellMar>
      </w:tblPr>
      <w:tblGrid>
        <w:gridCol w:w="705"/>
        <w:gridCol w:w="618"/>
        <w:gridCol w:w="627"/>
        <w:gridCol w:w="109"/>
        <w:gridCol w:w="109"/>
        <w:gridCol w:w="109"/>
        <w:gridCol w:w="274"/>
        <w:gridCol w:w="274"/>
        <w:gridCol w:w="276"/>
        <w:gridCol w:w="109"/>
        <w:gridCol w:w="109"/>
        <w:gridCol w:w="109"/>
        <w:gridCol w:w="970"/>
        <w:gridCol w:w="970"/>
        <w:gridCol w:w="1374"/>
      </w:tblGrid>
      <w:t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MYGN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4, 2026, Myriad Genetics, Inc. announced its financial results for the three months ended September 30, 2026.  The earnings release is attached hereto as Exhibit 99.1 to this Current Report on Form 8-K and incorporated herein by reference.</w:t>
      </w:r>
    </w:p>
    <w:p>
      <w:pPr>
        <w:pStyle w:val="TextBody"/>
        <w:bidi w:val="0"/>
        <w:spacing w:lineRule="auto" w:line="288" w:before="120" w:after="283"/>
        <w:jc w:val="both"/>
      </w:pPr>
      <w:r>
        <w:rPr>
          <w:rFonts w:ascii="Times New Roman;serif" w:hAnsi="Times New Roman;serif"/>
          <w:b w:val="false"/>
          <w:color w:val="000000"/>
          <w:sz w:val="20"/>
          <w:u w:val="single"/>
        </w:rPr>
        <w:t>Cautionary Note Regarding Forward-Looking Statements</w:t>
      </w:r>
      <w:r>
        <w:rPr>
          <w:rFonts w:ascii="Times New Roman;serif" w:hAnsi="Times New Roman;serif"/>
          <w:b w:val="false"/>
          <w:color w:val="000000"/>
          <w:sz w:val="20"/>
        </w:rPr>
        <w:t>. Except for historical information contained in this Current Report on Form 8-K, 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Exhibit 99.1 to this Current Report on Form 8-K regarding these forward-looking statements.</w:t>
      </w:r>
    </w:p>
    <w:p>
      <w:pPr>
        <w:pStyle w:val="TextBody"/>
        <w:bidi w:val="0"/>
        <w:spacing w:before="12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pPr>
      <w:r/>
    </w:p>
    <w:tbl>
      <w:tblPr>
        <w:tblW w:w="845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162"/>
        <w:gridCol w:w="2162"/>
        <w:gridCol w:w="3100"/>
      </w:tblGrid>
      <w:t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991mygn-xearningsrelease.htm">
              <w:r>
                <w:rPr>
                  <w:rStyle w:val="InternetLink"/>
                  <w:rFonts w:ascii="Times New Roman;serif" w:hAnsi="Times New Roman;serif"/>
                  <w:b w:val="false"/>
                  <w:color w:val="000080"/>
                  <w:sz w:val="20"/>
                  <w:u w:val="single"/>
                  <w:shd w:fill="FFFFFF" w:val="clear"/>
                </w:rPr>
                <w:t xml:space="preserve">Earnings release dated </w:t>
              </w:r>
            </w:hyperlink>
            <w:hyperlink w:anchor="ex991mygn-xearningsrelease.htm">
              <w:r>
                <w:rPr>
                  <w:rStyle w:val="InternetLink"/>
                  <w:rFonts w:ascii="Times New Roman;serif" w:hAnsi="Times New Roman;serif"/>
                  <w:b w:val="false"/>
                  <w:color w:val="000080"/>
                  <w:sz w:val="20"/>
                  <w:u w:val="single"/>
                  <w:shd w:fill="FFFFFF" w:val="clear"/>
                </w:rPr>
                <w:t>November 4</w:t>
              </w:r>
            </w:hyperlink>
            <w:hyperlink w:anchor="ex991mygn-xearningsrelease.htm">
              <w:r>
                <w:rPr>
                  <w:rStyle w:val="InternetLink"/>
                  <w:rFonts w:ascii="Times New Roman;serif" w:hAnsi="Times New Roman;serif"/>
                  <w:b w:val="false"/>
                  <w:color w:val="000080"/>
                  <w:sz w:val="20"/>
                  <w:u w:val="single"/>
                  <w:shd w:fill="FFFFFF" w:val="clear"/>
                </w:rPr>
                <w:t xml:space="preserve">, 2026 for the three months ended </w:t>
              </w:r>
            </w:hyperlink>
            <w:hyperlink w:anchor="ex991mygn-xearningsrelease.htm">
              <w:r>
                <w:rPr>
                  <w:rStyle w:val="InternetLink"/>
                  <w:rFonts w:ascii="Times New Roman;serif" w:hAnsi="Times New Roman;serif"/>
                  <w:b w:val="false"/>
                  <w:color w:val="000080"/>
                  <w:sz w:val="20"/>
                  <w:u w:val="single"/>
                  <w:shd w:fill="FFFFFF" w:val="clear"/>
                </w:rPr>
                <w:t>September</w:t>
              </w:r>
            </w:hyperlink>
            <w:hyperlink w:anchor="ex991mygn-xearningsrelease.htm">
              <w:r>
                <w:rPr>
                  <w:rStyle w:val="InternetLink"/>
                  <w:rFonts w:ascii="Times New Roman;serif" w:hAnsi="Times New Roman;serif"/>
                  <w:b w:val="false"/>
                  <w:color w:val="000080"/>
                  <w:sz w:val="20"/>
                  <w:u w:val="single"/>
                  <w:shd w:fill="FFFFFF" w:val="clear"/>
                </w:rPr>
                <w:t xml:space="preserve"> 30, 2026.</w:t>
              </w:r>
            </w:hyperlink>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0" w:after="283"/>
        <w:jc w:val="left"/>
      </w:pPr>
      <w:r/>
    </w:p>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The exhibit(s) may contain hypertext links to information on our website or other parties’ websites. The information on our website and other parties’ websites is not incorporated by reference into this Current Report on Form 8-K and does not constitute a part of this Current Report on Form 8-K.</w:t>
      </w:r>
    </w:p>
    <w:p>
      <w:pPr>
        <w:pStyle w:val="TextBody"/>
        <w:bidi w:val="0"/>
        <w:spacing w:lineRule="auto" w:line="288" w:before="240" w:after="283"/>
        <w:jc w:val="both"/>
      </w:pPr>
      <w:r>
        <w:rPr>
          <w:rFonts w:ascii="Times New Roman;serif" w:hAnsi="Times New Roman;serif"/>
          <w:b w:val="false"/>
          <w:color w:val="000000"/>
          <w:sz w:val="20"/>
          <w:u w:val="single"/>
        </w:rPr>
        <w:t>Limitation on Incorporation by Reference</w:t>
      </w:r>
      <w:r>
        <w:rPr>
          <w:rFonts w:ascii="Times New Roman;serif" w:hAnsi="Times New Roman;serif"/>
          <w:b w:val="false"/>
          <w:color w:val="000000"/>
          <w:sz w:val="20"/>
        </w:rPr>
        <w:t>. In accordance with General Instruction B-2 of Form 8-K, the information set forth in Item 2.02 and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240" w:after="283"/>
        <w:ind w:left="0" w:right="0" w:firstLine="720"/>
        <w:jc w:val="both"/>
      </w:pPr>
      <w:r/>
    </w:p>
    <w:p>
      <w:pPr>
        <w:pStyle w:val="TextBody"/>
        <w:bidi w:val="0"/>
        <w:spacing w:before="24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228" w:type="dxa"/>
        <w:jc w:val="left"/>
        <w:tblInd w:w="0" w:type="dxa"/>
        <w:tblLayout w:type="fixed"/>
        <w:tblCellMar>
          <w:top w:w="28" w:type="dxa"/>
          <w:left w:w="28" w:type="dxa"/>
          <w:bottom w:w="28" w:type="dxa"/>
          <w:right w:w="28" w:type="dxa"/>
        </w:tblCellMar>
      </w:tblPr>
      <w:tblGrid>
        <w:gridCol w:w="174"/>
        <w:gridCol w:w="152"/>
        <w:gridCol w:w="152"/>
        <w:gridCol w:w="540"/>
        <w:gridCol w:w="540"/>
        <w:gridCol w:w="540"/>
        <w:gridCol w:w="622"/>
        <w:gridCol w:w="622"/>
        <w:gridCol w:w="886"/>
      </w:tblGrid>
      <w:t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MYRIAD GENETICS, INC.</w:t>
            </w:r>
          </w:p>
        </w:tc>
      </w:tr>
      <w:tr>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240" w:after="283"/>
        <w:jc w:val="center"/>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420" w:before="0" w:after="0"/>
        <w:jc w:val="right"/>
        <w:rPr>
          <w:rFonts w:ascii="ITC Franklin Gothic LT Pro Bk;sans-serif" w:hAnsi="ITC Franklin Gothic LT Pro Bk;sans-serif"/>
          <w:b/>
          <w:color w:val="000000"/>
          <w:sz w:val="24"/>
          <w:shd w:fill="FFFFFF" w:val="clear"/>
        </w:rPr>
      </w:pPr>
      <w:r>
        <w:rPr>
          <w:rFonts w:ascii="ITC Franklin Gothic LT Pro Bk;sans-serif" w:hAnsi="ITC Franklin Gothic LT Pro Bk;sans-serif"/>
          <w:b/>
          <w:color w:val="000000"/>
          <w:sz w:val="24"/>
          <w:shd w:fill="FFFFFF" w:val="clear"/>
        </w:rPr>
        <w:t>Exhibit 99.1</w:t>
      </w:r>
    </w:p>
    <w:p>
      <w:pPr>
        <w:pStyle w:val="TextBody"/>
        <w:bidi w:val="0"/>
        <w:spacing w:before="0" w:after="0"/>
        <w:jc w:val="center"/>
      </w:pPr>
      <w:r>
        <w:drawing>
          <wp:inline distT="0" distB="0" distL="0" distR="0">
            <wp:extent cx="6515100" cy="10668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515100" cy="1066800"/>
                    </a:xfrm>
                    <a:prstGeom prst="rect">
                      <a:avLst/>
                    </a:prstGeom>
                  </pic:spPr>
                </pic:pic>
              </a:graphicData>
            </a:graphic>
          </wp:inline>
        </w:drawing>
      </w:r>
    </w:p>
    <w:p>
      <w:pPr>
        <w:pStyle w:val="TextBody"/>
        <w:bidi w:val="0"/>
        <w:spacing w:lineRule="auto" w:line="276" w:before="0" w:after="0"/>
        <w:jc w:val="center"/>
        <w:rPr>
          <w:rFonts w:ascii="ITC Franklin Gothic LT Pro Bk;sans-serif" w:hAnsi="ITC Franklin Gothic LT Pro Bk;sans-serif"/>
          <w:b/>
          <w:color w:val="000000"/>
          <w:sz w:val="24"/>
          <w:shd w:fill="FFFFFF" w:val="clear"/>
        </w:rPr>
      </w:pPr>
      <w:r>
        <w:rPr>
          <w:rFonts w:ascii="ITC Franklin Gothic LT Pro Bk;sans-serif" w:hAnsi="ITC Franklin Gothic LT Pro Bk;sans-serif"/>
          <w:b/>
          <w:color w:val="000000"/>
          <w:sz w:val="24"/>
          <w:shd w:fill="FFFFFF" w:val="clear"/>
        </w:rPr>
        <w:t xml:space="preserve">Myriad Genetics Reports Third Quarter 2026 Financial Results; </w:t>
      </w:r>
    </w:p>
    <w:p>
      <w:pPr>
        <w:pStyle w:val="TextBody"/>
        <w:bidi w:val="0"/>
        <w:spacing w:lineRule="auto" w:line="276" w:before="0" w:after="0"/>
        <w:jc w:val="center"/>
        <w:rPr>
          <w:rFonts w:ascii="ITC Franklin Gothic LT Pro Bk;sans-serif" w:hAnsi="ITC Franklin Gothic LT Pro Bk;sans-serif"/>
          <w:b/>
          <w:color w:val="000000"/>
          <w:sz w:val="24"/>
          <w:shd w:fill="FFFFFF" w:val="clear"/>
        </w:rPr>
      </w:pPr>
      <w:r>
        <w:rPr>
          <w:rFonts w:ascii="ITC Franklin Gothic LT Pro Bk;sans-serif" w:hAnsi="ITC Franklin Gothic LT Pro Bk;sans-serif"/>
          <w:b/>
          <w:color w:val="000000"/>
          <w:sz w:val="24"/>
          <w:shd w:fill="FFFFFF" w:val="clear"/>
        </w:rPr>
        <w:t xml:space="preserve">Raises Mid-Point of Full-Year 2026 Revenue Guidance Following Solid Execution </w:t>
      </w:r>
    </w:p>
    <w:p>
      <w:pPr>
        <w:pStyle w:val="TextBody"/>
        <w:bidi w:val="0"/>
        <w:spacing w:lineRule="auto" w:line="276" w:before="0" w:after="0"/>
        <w:jc w:val="center"/>
        <w:rPr>
          <w:rFonts w:ascii="ITC Franklin Gothic LT Pro Bk;sans-serif" w:hAnsi="ITC Franklin Gothic LT Pro Bk;sans-serif"/>
          <w:b/>
          <w:color w:val="000000"/>
          <w:sz w:val="24"/>
          <w:shd w:fill="FFFFFF" w:val="clear"/>
        </w:rPr>
      </w:pPr>
      <w:r>
        <w:rPr>
          <w:rFonts w:ascii="ITC Franklin Gothic LT Pro Bk;sans-serif" w:hAnsi="ITC Franklin Gothic LT Pro Bk;sans-serif"/>
          <w:b/>
          <w:color w:val="000000"/>
          <w:sz w:val="24"/>
          <w:shd w:fill="FFFFFF" w:val="clear"/>
        </w:rPr>
        <w:t>Definitive Agreement to Sell Prenatal Health Business to Support Strategic Growth Initiatives</w:t>
      </w:r>
    </w:p>
    <w:p>
      <w:pPr>
        <w:pStyle w:val="TextBody"/>
        <w:bidi w:val="0"/>
        <w:spacing w:before="0" w:after="0"/>
        <w:jc w:val="center"/>
      </w:pPr>
      <w:r/>
    </w:p>
    <w:p>
      <w:pPr>
        <w:pStyle w:val="TextBody"/>
        <w:bidi w:val="0"/>
        <w:spacing w:lineRule="auto" w:line="360" w:before="0" w:after="0"/>
        <w:jc w:val="left"/>
      </w:pPr>
      <w:r>
        <w:rPr>
          <w:rFonts w:ascii="ITC Franklin Gothic LT Pro Bk;sans-serif" w:hAnsi="ITC Franklin Gothic LT Pro Bk;sans-serif"/>
          <w:b/>
          <w:color w:val="000000"/>
          <w:sz w:val="24"/>
          <w:shd w:fill="FFFFFF" w:val="clear"/>
        </w:rPr>
        <w:t>Highl</w:t>
      </w:r>
      <w:r>
        <w:rPr>
          <w:rFonts w:ascii="ITC Franklin Gothic LT Pro Bk;sans-serif" w:hAnsi="ITC Franklin Gothic LT Pro Bk;sans-serif"/>
          <w:b/>
          <w:color w:val="000000"/>
          <w:sz w:val="24"/>
        </w:rPr>
        <w:t>ights</w:t>
      </w:r>
    </w:p>
    <w:p>
      <w:pPr>
        <w:pStyle w:val="TextBody"/>
        <w:bidi w:val="0"/>
        <w:spacing w:lineRule="auto" w:line="360" w:before="0" w:after="0"/>
        <w:ind w:left="0" w:right="0" w:hanging="360"/>
        <w:jc w:val="left"/>
      </w:pPr>
      <w:r>
        <w:rPr>
          <w:color w:val="000000"/>
        </w:rPr>
        <w:t>•</w:t>
      </w:r>
      <w:r>
        <w:rPr>
          <w:rFonts w:ascii="ITC Franklin Gothic LT Pro Bk;sans-serif" w:hAnsi="ITC Franklin Gothic LT Pro Bk;sans-serif"/>
          <w:b/>
          <w:color w:val="000000"/>
          <w:sz w:val="24"/>
        </w:rPr>
        <w:t>Third quarter 2026 revenue was $202.7 million, representing a 6% sequential increase and a 1% decrease year-over-year. Higher Cancer Care Continuum (CCC) product mix and continued progress on payer engagement and revenue cycle management initiatives drove total average revenue per test increases of 7% sequentially and 1% year-over-year, partially offset by total test volume declines of 1% and 2%, respectively.</w:t>
      </w:r>
    </w:p>
    <w:p>
      <w:pPr>
        <w:pStyle w:val="TextBody"/>
        <w:bidi w:val="0"/>
        <w:spacing w:lineRule="auto" w:line="360" w:before="0" w:after="0"/>
        <w:ind w:left="0" w:right="0" w:hanging="360"/>
        <w:jc w:val="left"/>
      </w:pPr>
      <w:r>
        <w:rPr>
          <w:color w:val="000000"/>
        </w:rPr>
        <w:t>•</w:t>
      </w:r>
      <w:r>
        <w:rPr>
          <w:rFonts w:ascii="ITC Franklin Gothic LT Pro Bk;sans-serif" w:hAnsi="ITC Franklin Gothic LT Pro Bk;sans-serif"/>
          <w:b/>
          <w:color w:val="000000"/>
          <w:sz w:val="24"/>
        </w:rPr>
        <w:t xml:space="preserve">On October 19, 2026, entered into a definitive agreement to sell the Prenatal Health business to Labcorp for $210 million in cash, plus the value of related inventory at closing. Upon close, the sale is expected to be accretive to revenue growth and profitability, while strengthening the balance sheet. </w:t>
      </w:r>
    </w:p>
    <w:p>
      <w:pPr>
        <w:pStyle w:val="TextBody"/>
        <w:bidi w:val="0"/>
        <w:spacing w:lineRule="auto" w:line="360" w:before="0" w:after="0"/>
        <w:ind w:left="0" w:right="0" w:hanging="360"/>
        <w:jc w:val="left"/>
      </w:pPr>
      <w:r>
        <w:rPr>
          <w:color w:val="000000"/>
        </w:rPr>
        <w:t>•</w:t>
      </w:r>
      <w:r>
        <w:rPr>
          <w:rFonts w:ascii="ITC Franklin Gothic LT Pro Bk;sans-serif" w:hAnsi="ITC Franklin Gothic LT Pro Bk;sans-serif"/>
          <w:b/>
          <w:color w:val="000000"/>
          <w:sz w:val="24"/>
        </w:rPr>
        <w:t>Raises mid-point of full-year 2026 revenue guidance to reflect third quarter 2026 results and current business trends for the remainder of 2026.</w:t>
      </w:r>
    </w:p>
    <w:p>
      <w:pPr>
        <w:pStyle w:val="TextBody"/>
        <w:bidi w:val="0"/>
        <w:spacing w:before="0" w:after="0"/>
        <w:jc w:val="left"/>
      </w:pPr>
      <w:r/>
    </w:p>
    <w:p>
      <w:pPr>
        <w:pStyle w:val="TextBody"/>
        <w:bidi w:val="0"/>
        <w:spacing w:lineRule="auto" w:line="360" w:before="0" w:after="0"/>
        <w:jc w:val="both"/>
      </w:pPr>
      <w:r>
        <w:rPr>
          <w:rFonts w:ascii="ITC Franklin Gothic LT Pro Bk;sans-serif" w:hAnsi="ITC Franklin Gothic LT Pro Bk;sans-serif"/>
          <w:b/>
          <w:color w:val="000000"/>
          <w:sz w:val="22"/>
          <w:shd w:fill="FFFFFF" w:val="clear"/>
        </w:rPr>
        <w:t xml:space="preserve">SALT LAKE CITY, November 4, 2026 – </w:t>
      </w:r>
      <w:r>
        <w:rPr>
          <w:rFonts w:ascii="ITC Franklin Gothic LT Pro Bk;sans-serif" w:hAnsi="ITC Franklin Gothic LT Pro Bk;sans-serif"/>
          <w:b w:val="false"/>
          <w:color w:val="000000"/>
          <w:sz w:val="22"/>
        </w:rPr>
        <w:t>Myriad Genetics, Inc. (NASDAQ: MYGN), a leader in molecular diagnostic testing and precision medicine, today announced financial results for its third quarter ended September 30, 2026, and raised the mid-point of revenue guidance for the full-year 2026.</w:t>
      </w:r>
    </w:p>
    <w:p>
      <w:pPr>
        <w:pStyle w:val="TextBody"/>
        <w:bidi w:val="0"/>
        <w:spacing w:before="0" w:after="283"/>
        <w:jc w:val="left"/>
      </w:pPr>
      <w:r/>
    </w:p>
    <w:p>
      <w:pPr>
        <w:pStyle w:val="TextBody"/>
        <w:bidi w:val="0"/>
        <w:spacing w:before="0" w:after="0"/>
        <w:jc w:val="center"/>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2560"/>
                <wp:effectExtent l="0" t="0" r="0" b="0"/>
                <wp:wrapNone/>
                <wp:docPr id="6"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w:t>
                      </w:r>
                    </w:p>
                  </w:txbxContent>
                </v:textbox>
                <w10:wrap type="none"/>
              </v:rect>
            </w:pict>
          </mc:Fallback>
        </mc:AlternateContent>
      </w:r>
    </w:p>
    <w:p>
      <w:pPr>
        <w:pStyle w:val="TextBody"/>
        <w:bidi w:val="0"/>
        <w:spacing w:lineRule="auto" w:line="480" w:before="0" w:after="0"/>
        <w:jc w:val="left"/>
        <w:rPr>
          <w:color w:val="000000"/>
        </w:rPr>
      </w:pPr>
      <w:r>
        <w:rPr>
          <w:color w:val="000000"/>
        </w:rPr>
        <w:t>“</w:t>
      </w:r>
      <w:r>
        <w:rPr>
          <w:rFonts w:ascii="ITC Franklin Gothic LT Pro Bk;sans-serif" w:hAnsi="ITC Franklin Gothic LT Pro Bk;sans-serif"/>
          <w:b w:val="false"/>
          <w:color w:val="000000"/>
          <w:sz w:val="22"/>
        </w:rPr>
        <w:t>We have made meaningful progress on our path to accelerate profitable growth and strengthen the company’s financial profile. Our third quarter 2026 financial results exceeded our expectations, led by our on-going focus on the Cancer Care Continuum (CCC).  Average revenue per CCC test in the third quarter 2026 was higher than in the second quarter 2026 and reflects our team's ongoing work and early progress with payer engagement and revenue cycle management initiatives," said Sam Raha, President and CEO, Myriad Genetics. “The sale of our Prenatal Health business is a decisive step to support our strategic intent to increase profitable growth by focusing on the Cancer Care Continuum including screening, treatment selection and monitoring along with remission surveillance. We expect this action to benefit healthcare providers and patients we serve, as well as our employees and shareholders, and improve Myriad's revenue growth rate, profitability, and liquidity going forward.  Lastly, we are increasing the mid-point of our full-year 2026 revenue guidance modestly, as we balance the positive third quarter 2026 performance with the timing of the sale of the Prenatal Health business, which is expected to close by early 2027."</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2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Financial and Operational Highlights</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Third quarter 2026 test volume for Cancer Care Continuum and Mental Health increased 3% year-over-year to 239,000 tests, while Prenatal Health test volume decreased 11% to 138,000 tests, reflecting ongoing trends in the business, which the Company recently announced it plans to divest.</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Third quarter of 2026 average revenue per test increased 1% year-over-year reflecting product mix and incremental progress with payer engagement and revenue cycle management initiatives.</w:t>
      </w:r>
    </w:p>
    <w:p>
      <w:pPr>
        <w:pStyle w:val="TextBody"/>
        <w:bidi w:val="0"/>
        <w:jc w:val="both"/>
      </w:pPr>
      <w:r/>
    </w:p>
    <w:p>
      <w:pPr>
        <w:pStyle w:val="TextBody"/>
        <w:bidi w:val="0"/>
        <w:spacing w:before="0" w:after="0"/>
        <w:jc w:val="center"/>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2560"/>
                <wp:effectExtent l="0" t="0" r="0" b="0"/>
                <wp:wrapNone/>
                <wp:docPr id="7"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2</w:t>
                      </w:r>
                    </w:p>
                  </w:txbxContent>
                </v:textbox>
                <w10:wrap type="none"/>
              </v:rect>
            </w:pict>
          </mc:Fallback>
        </mc:AlternateConten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 xml:space="preserve">The following table </w:t>
      </w:r>
      <w:r>
        <w:rPr>
          <w:rFonts w:ascii="ITC Franklin Gothic LT Pro Bk;sans-serif" w:hAnsi="ITC Franklin Gothic LT Pro Bk;sans-serif"/>
          <w:b w:val="false"/>
          <w:color w:val="000000"/>
          <w:sz w:val="22"/>
          <w:shd w:fill="FFFFFF" w:val="clear"/>
        </w:rPr>
        <w:t>summarizes year-over-year testing volume changes in the company's core product categories:</w:t>
      </w:r>
    </w:p>
    <w:tbl>
      <w:tblPr>
        <w:tblW w:w="10205" w:type="dxa"/>
        <w:jc w:val="left"/>
        <w:tblInd w:w="0" w:type="dxa"/>
        <w:tblLayout w:type="fixed"/>
        <w:tblCellMar>
          <w:top w:w="28" w:type="dxa"/>
          <w:left w:w="28" w:type="dxa"/>
          <w:bottom w:w="28" w:type="dxa"/>
          <w:right w:w="28" w:type="dxa"/>
        </w:tblCellMar>
      </w:tblPr>
      <w:tblGrid>
        <w:gridCol w:w="917"/>
        <w:gridCol w:w="778"/>
        <w:gridCol w:w="782"/>
        <w:gridCol w:w="233"/>
        <w:gridCol w:w="233"/>
        <w:gridCol w:w="203"/>
        <w:gridCol w:w="195"/>
        <w:gridCol w:w="195"/>
        <w:gridCol w:w="195"/>
        <w:gridCol w:w="233"/>
        <w:gridCol w:w="233"/>
        <w:gridCol w:w="203"/>
        <w:gridCol w:w="195"/>
        <w:gridCol w:w="195"/>
        <w:gridCol w:w="195"/>
        <w:gridCol w:w="234"/>
        <w:gridCol w:w="234"/>
        <w:gridCol w:w="553"/>
        <w:gridCol w:w="109"/>
        <w:gridCol w:w="109"/>
        <w:gridCol w:w="109"/>
        <w:gridCol w:w="308"/>
        <w:gridCol w:w="308"/>
        <w:gridCol w:w="196"/>
        <w:gridCol w:w="174"/>
        <w:gridCol w:w="174"/>
        <w:gridCol w:w="174"/>
        <w:gridCol w:w="308"/>
        <w:gridCol w:w="308"/>
        <w:gridCol w:w="196"/>
        <w:gridCol w:w="174"/>
        <w:gridCol w:w="174"/>
        <w:gridCol w:w="174"/>
        <w:gridCol w:w="213"/>
        <w:gridCol w:w="213"/>
        <w:gridCol w:w="778"/>
      </w:tblGrid>
      <w:tr>
        <w:tc>
          <w:tcPr>
            <w:tcW w:w="91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c>
          <w:tcPr>
            <w:tcW w:w="2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Nine months ended September 30,</w:t>
            </w:r>
          </w:p>
        </w:tc>
      </w:tr>
      <w:tr>
        <w:tc>
          <w:tcPr>
            <w:tcW w:w="247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i/>
                <w:color w:val="000000"/>
                <w:sz w:val="16"/>
              </w:rPr>
            </w:pPr>
            <w:r>
              <w:rPr>
                <w:rFonts w:ascii="ITC Franklin Gothic LT Pro Bk;sans-serif" w:hAnsi="ITC Franklin Gothic LT Pro Bk;sans-serif"/>
                <w:b w:val="false"/>
                <w:i/>
                <w:color w:val="000000"/>
                <w:sz w:val="16"/>
              </w:rPr>
              <w:t>(in thousands)</w:t>
            </w:r>
          </w:p>
        </w:tc>
        <w:tc>
          <w:tcPr>
            <w:tcW w:w="6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 Change</w:t>
            </w:r>
          </w:p>
        </w:tc>
      </w:tr>
      <w:tr>
        <w:tc>
          <w:tcPr>
            <w:tcW w:w="2477"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Product volumes:</w:t>
            </w:r>
          </w:p>
        </w:tc>
        <w:tc>
          <w:tcPr>
            <w:tcW w:w="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c>
          <w:tcPr>
            <w:tcW w:w="247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Cancer Care Continuum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4 </w:t>
            </w:r>
          </w:p>
        </w:tc>
        <w:tc>
          <w:tcPr>
            <w:tcW w:w="55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7 </w:t>
            </w:r>
          </w:p>
        </w:tc>
        <w:tc>
          <w:tcPr>
            <w:tcW w:w="778"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c>
          <w:tcPr>
            <w:tcW w:w="247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Mental Health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141 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3 </w:t>
            </w:r>
          </w:p>
        </w:tc>
        <w:tc>
          <w:tcPr>
            <w:tcW w:w="55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5 </w:t>
            </w:r>
          </w:p>
        </w:tc>
        <w:tc>
          <w:tcPr>
            <w:tcW w:w="77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c>
          <w:tcPr>
            <w:tcW w:w="247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Cancer Care Continuum and </w:t>
            </w:r>
          </w:p>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Mental Health Volume*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239 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231 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3 </w:t>
            </w:r>
          </w:p>
        </w:tc>
        <w:tc>
          <w:tcPr>
            <w:tcW w:w="55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706 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668 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6 </w:t>
            </w:r>
          </w:p>
        </w:tc>
        <w:tc>
          <w:tcPr>
            <w:tcW w:w="778"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c>
          <w:tcPr>
            <w:tcW w:w="247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Prenatal Health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138 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155 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(11)</w:t>
            </w:r>
          </w:p>
        </w:tc>
        <w:tc>
          <w:tcPr>
            <w:tcW w:w="55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(11)</w:t>
            </w:r>
          </w:p>
        </w:tc>
        <w:tc>
          <w:tcPr>
            <w:tcW w:w="778"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c>
          <w:tcPr>
            <w:tcW w:w="247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Total</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377 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386 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55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1,141 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1,155 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77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bl>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The</w:t>
      </w:r>
      <w:r>
        <w:rPr>
          <w:color w:val="000000"/>
          <w:shd w:fill="FFFFFF" w:val="clear"/>
        </w:rPr>
        <w:t xml:space="preserve"> </w:t>
      </w:r>
      <w:r>
        <w:rPr>
          <w:rFonts w:ascii="ITC Franklin Gothic LT Pro Bk;sans-serif" w:hAnsi="ITC Franklin Gothic LT Pro Bk;sans-serif"/>
          <w:b w:val="false"/>
          <w:color w:val="000000"/>
          <w:sz w:val="22"/>
          <w:shd w:fill="FFFFFF" w:val="clear"/>
        </w:rPr>
        <w:t>following table summarizes year-over-year revenue changes in the company's core product categories:</w:t>
      </w:r>
    </w:p>
    <w:tbl>
      <w:tblPr>
        <w:tblW w:w="10205" w:type="dxa"/>
        <w:jc w:val="left"/>
        <w:tblInd w:w="0" w:type="dxa"/>
        <w:tblLayout w:type="fixed"/>
        <w:tblCellMar>
          <w:top w:w="28" w:type="dxa"/>
          <w:left w:w="28" w:type="dxa"/>
          <w:bottom w:w="28" w:type="dxa"/>
          <w:right w:w="28" w:type="dxa"/>
        </w:tblCellMar>
      </w:tblPr>
      <w:tblGrid>
        <w:gridCol w:w="851"/>
        <w:gridCol w:w="722"/>
        <w:gridCol w:w="723"/>
        <w:gridCol w:w="233"/>
        <w:gridCol w:w="681"/>
        <w:gridCol w:w="120"/>
        <w:gridCol w:w="120"/>
        <w:gridCol w:w="120"/>
        <w:gridCol w:w="120"/>
        <w:gridCol w:w="233"/>
        <w:gridCol w:w="681"/>
        <w:gridCol w:w="120"/>
        <w:gridCol w:w="120"/>
        <w:gridCol w:w="120"/>
        <w:gridCol w:w="120"/>
        <w:gridCol w:w="234"/>
        <w:gridCol w:w="234"/>
        <w:gridCol w:w="553"/>
        <w:gridCol w:w="109"/>
        <w:gridCol w:w="109"/>
        <w:gridCol w:w="109"/>
        <w:gridCol w:w="219"/>
        <w:gridCol w:w="639"/>
        <w:gridCol w:w="112"/>
        <w:gridCol w:w="112"/>
        <w:gridCol w:w="112"/>
        <w:gridCol w:w="112"/>
        <w:gridCol w:w="219"/>
        <w:gridCol w:w="639"/>
        <w:gridCol w:w="112"/>
        <w:gridCol w:w="112"/>
        <w:gridCol w:w="112"/>
        <w:gridCol w:w="112"/>
        <w:gridCol w:w="214"/>
        <w:gridCol w:w="214"/>
        <w:gridCol w:w="733"/>
      </w:tblGrid>
      <w:tr>
        <w:tc>
          <w:tcPr>
            <w:tcW w:w="85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c>
          <w:tcPr>
            <w:tcW w:w="2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Nine months ended September 30,</w:t>
            </w:r>
          </w:p>
        </w:tc>
      </w:tr>
      <w:tr>
        <w:tc>
          <w:tcPr>
            <w:tcW w:w="22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i/>
                <w:color w:val="000000"/>
                <w:sz w:val="16"/>
              </w:rPr>
            </w:pPr>
            <w:r>
              <w:rPr>
                <w:rFonts w:ascii="ITC Franklin Gothic LT Pro Bk;sans-serif" w:hAnsi="ITC Franklin Gothic LT Pro Bk;sans-serif"/>
                <w:b w:val="false"/>
                <w:i/>
                <w:color w:val="000000"/>
                <w:sz w:val="16"/>
              </w:rPr>
              <w:t>(in millions)</w:t>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 Change</w:t>
            </w:r>
          </w:p>
        </w:tc>
      </w:tr>
      <w:tr>
        <w:tc>
          <w:tcPr>
            <w:tcW w:w="229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Product revenues:</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c>
          <w:tcPr>
            <w:tcW w:w="22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Cancer Care Continuum</w:t>
            </w:r>
          </w:p>
        </w:tc>
        <w:tc>
          <w:tcPr>
            <w:tcW w:w="23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123.9 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122.5 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1 </w:t>
            </w:r>
          </w:p>
        </w:tc>
        <w:tc>
          <w:tcPr>
            <w:tcW w:w="55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358.2 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365.8 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733"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c>
          <w:tcPr>
            <w:tcW w:w="22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Mental Health</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38.7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2 </w:t>
            </w:r>
          </w:p>
        </w:tc>
        <w:tc>
          <w:tcPr>
            <w:tcW w:w="55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114.6 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107.5 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7 </w:t>
            </w:r>
          </w:p>
        </w:tc>
        <w:tc>
          <w:tcPr>
            <w:tcW w:w="73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c>
          <w:tcPr>
            <w:tcW w:w="2296"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Cancer Care Continuum and </w:t>
            </w:r>
          </w:p>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Mental Health Revenue*</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163.4 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161.2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1 </w:t>
            </w:r>
          </w:p>
        </w:tc>
        <w:tc>
          <w:tcPr>
            <w:tcW w:w="55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472.8 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473.3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c>
          <w:tcPr>
            <w:tcW w:w="22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Prenatal Health</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44.5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(12)</w:t>
            </w:r>
          </w:p>
        </w:tc>
        <w:tc>
          <w:tcPr>
            <w:tcW w:w="55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121.0 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141.4 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(14)</w:t>
            </w:r>
          </w:p>
        </w:tc>
        <w:tc>
          <w:tcPr>
            <w:tcW w:w="733"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c>
          <w:tcPr>
            <w:tcW w:w="22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Total</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202.7 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205.7 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55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593.8 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614.7 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73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79"/>
        <w:gridCol w:w="2879"/>
        <w:gridCol w:w="410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On October 19, 2026, the Company entered into a definitive agreement to sell certain assets and liabilities of its Prenatal Health business. A Cancer Care Continuum and Mental Health volume and revenue subtotal is presented to provide additional information regarding the revenue of the businesses expected to remain with the Company following completion of the sale, which is expected to close by early 2027. </w:t>
            </w:r>
          </w:p>
        </w:tc>
      </w:tr>
    </w:tbl>
    <w:p>
      <w:pPr>
        <w:pStyle w:val="TextBody"/>
        <w:bidi w:val="0"/>
        <w:spacing w:before="0" w:after="0"/>
        <w:jc w:val="left"/>
      </w:pPr>
      <w:r/>
    </w:p>
    <w:p>
      <w:pPr>
        <w:pStyle w:val="TextBody"/>
        <w:bidi w:val="0"/>
        <w:spacing w:lineRule="auto" w:line="288" w:before="0" w:after="0"/>
        <w:jc w:val="left"/>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Product Categories:</w:t>
      </w:r>
    </w:p>
    <w:p>
      <w:pPr>
        <w:pStyle w:val="TextBody"/>
        <w:bidi w:val="0"/>
        <w:spacing w:lineRule="auto" w:line="288"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Cancer Care Continuum – MyRisk, BRACAnalysis CDx, MyChoice CDx, Prolaris + AI, Precise Tumor, Precise MRD     </w:t>
      </w:r>
    </w:p>
    <w:p>
      <w:pPr>
        <w:pStyle w:val="TextBody"/>
        <w:bidi w:val="0"/>
        <w:spacing w:lineRule="auto" w:line="288"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Mental Health – GeneSight</w:t>
      </w:r>
    </w:p>
    <w:p>
      <w:pPr>
        <w:pStyle w:val="TextBody"/>
        <w:bidi w:val="0"/>
        <w:spacing w:lineRule="auto" w:line="420"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Prenatal Health – Foresight, Prequel, FirstGene, SneakPeek</w:t>
      </w:r>
    </w:p>
    <w:p>
      <w:pPr>
        <w:pStyle w:val="TextBody"/>
        <w:bidi w:val="0"/>
        <w:spacing w:before="0" w:after="0"/>
        <w:jc w:val="left"/>
      </w:pPr>
      <w:r/>
    </w:p>
    <w:p>
      <w:pPr>
        <w:pStyle w:val="TextBody"/>
        <w:bidi w:val="0"/>
        <w:spacing w:lineRule="auto" w:line="360" w:before="0" w:after="0"/>
        <w:ind w:left="0" w:right="0" w:hanging="360"/>
        <w:jc w:val="both"/>
      </w:pPr>
      <w:r>
        <w:rPr>
          <w:color w:val="000000"/>
          <w:shd w:fill="FFFFFF" w:val="clear"/>
        </w:rPr>
        <w:t>•</w:t>
      </w:r>
      <w:r>
        <w:rPr>
          <w:rFonts w:ascii="ITC Franklin Gothic LT Pro Bk;sans-serif" w:hAnsi="ITC Franklin Gothic LT Pro Bk;sans-serif"/>
          <w:b w:val="false"/>
          <w:color w:val="000000"/>
          <w:sz w:val="22"/>
          <w:shd w:fill="FFFFFF" w:val="clear"/>
        </w:rPr>
        <w:t>Third quarter 2026 gross margin was 67.9%, down 200 basis points from the third quarter 2025, reflecting lower overall test volumes and incremental investments in laboratory personnel.</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Operating expenses in the third quarter of 2026</w:t>
      </w:r>
      <w:r>
        <w:rPr>
          <w:color w:val="000000"/>
        </w:rPr>
        <w:t xml:space="preserve"> </w:t>
      </w:r>
      <w:r>
        <w:rPr>
          <w:rFonts w:ascii="ITC Franklin Gothic LT Pro Bk;sans-serif" w:hAnsi="ITC Franklin Gothic LT Pro Bk;sans-serif"/>
          <w:b w:val="false"/>
          <w:color w:val="000000"/>
          <w:sz w:val="22"/>
        </w:rPr>
        <w:t xml:space="preserve">were $177.6 million compared to $167.1 million in the third quarter of 2025. Adjusted operating expenses in the third quarter of 2026 increased $9.9 million year-over-year to $149.9 million, reflecting the company's multi-year investment in key strategic areas. </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Operating loss in the third quarter of 2026 was $39.9 million.</w:t>
      </w:r>
    </w:p>
    <w:p>
      <w:pPr>
        <w:pStyle w:val="TextBody"/>
        <w:bidi w:val="0"/>
        <w:spacing w:before="0" w:after="0"/>
        <w:jc w:val="left"/>
      </w:pPr>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Cash Flow and Liquidity</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Third quarter 2026 cash flow used in operations was $6.5 million and adjusted operating cash flow in the third quarter of 2026 was $3.7 million. Capital expenditures and capitalization of internal-use software costs totaled $2.1 million in the third quarter of 2026, resulting in adjusted free cash flow of $1.6 million in the third quarter of 2026. </w:t>
      </w:r>
    </w:p>
    <w:p>
      <w:pPr>
        <w:pStyle w:val="TextBody"/>
        <w:bidi w:val="0"/>
        <w:spacing w:before="0" w:after="0"/>
        <w:jc w:val="both"/>
      </w:pPr>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As of the end of the third quarter of 2026, the company had cash and cash equivalents of $107.1 million.</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Business Performance and Highlights</w: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Cancer Care Continuum</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The Cancer Care Continuum business delivered revenue of $123.9 million in the third quarter of 2026. </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 xml:space="preserve">Third quarter 2026 hereditary cancer testing revenue decreased 1% year-over-year due to decreases in reimbursement levels, partially offset by a 6% year-over-year increase in volume. Average revenue per hereditary cancer test in the third quarter 2026 improved 9% over the second quarter 2026, reflecting early progress with revenue cycle initiatives and other programs. </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In late October 2026, new MONSTAR-SCREEN-3 data was presented as part of the European Society for Medical Oncology Congress 2026. We believe this data reinforces the importance of highly sensitive molecular residual disease (MRD) testing after curative-intent surgery in patients with resectable colorectal and pancreatic cancers, where earlier insight into recurrence risk may help inform monitoring and treatment decisions.</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 xml:space="preserve">The company continues to engage the Molecular Diagnostics Program, administered by Palmetto GBA, a Medicare Administrative Contractor for the Centers for Medicare &amp; Medicaid Services, for a Local Coverage Determination to establish Medicare coverage of its Precise MRD test for breast cancer patients. </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In October 2026, Myriad Genetics announced a collaboration with SOPHia GENETICS to advance new prostate cancer-specific genomic instability score (PrGIS) technology to support precision oncology approaches with AstraZeneca. The collaboration aims to advance PrGIS in clinical trials and expand access to precision oncology medicines through potential companion diagnostic solutions.</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In October 2026, Dr. Luis Diaz Jr. and team at Memorial Sloan Kettering Cancer Center published findings in the American Association for Cancer Research's Cancer Discovery Journal that further support broad-based germline testing beyond conventional age-based criteria, reflecting the prevalence of hereditary risk even among late-onset cancer cases</w:t>
      </w:r>
      <w:r>
        <w:rPr>
          <w:rFonts w:ascii="ITC Franklin Gothic LT Pro Bk;sans-serif" w:hAnsi="ITC Franklin Gothic LT Pro Bk;sans-serif"/>
          <w:b w:val="false"/>
          <w:color w:val="000000"/>
          <w:sz w:val="14"/>
        </w:rPr>
        <w:t>1</w:t>
      </w:r>
      <w:r>
        <w:rPr>
          <w:rFonts w:ascii="ITC Franklin Gothic LT Pro Bk;sans-serif" w:hAnsi="ITC Franklin Gothic LT Pro Bk;sans-serif"/>
          <w:b w:val="false"/>
          <w:color w:val="000000"/>
          <w:sz w:val="22"/>
        </w:rPr>
        <w:t>.</w:t>
      </w:r>
    </w:p>
    <w:p>
      <w:pPr>
        <w:pStyle w:val="TextBody"/>
        <w:bidi w:val="0"/>
        <w:spacing w:before="0" w:after="120"/>
        <w:jc w:val="both"/>
      </w:pPr>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Mental Health</w:t>
      </w:r>
    </w:p>
    <w:p>
      <w:pPr>
        <w:pStyle w:val="TextBody"/>
        <w:bidi w:val="0"/>
        <w:spacing w:lineRule="auto" w:line="360" w:before="0" w:after="0"/>
        <w:jc w:val="both"/>
      </w:pPr>
      <w:r>
        <w:rPr>
          <w:rFonts w:ascii="ITC Franklin Gothic LT Pro Bk;sans-serif" w:hAnsi="ITC Franklin Gothic LT Pro Bk;sans-serif"/>
          <w:b w:val="false"/>
          <w:color w:val="000000"/>
          <w:sz w:val="22"/>
        </w:rPr>
        <w:t>GeneSight test revenue was $39.5 million</w:t>
      </w:r>
      <w:r>
        <w:rPr>
          <w:color w:val="000000"/>
        </w:rPr>
        <w:t xml:space="preserve"> </w:t>
      </w:r>
      <w:r>
        <w:rPr>
          <w:rFonts w:ascii="ITC Franklin Gothic LT Pro Bk;sans-serif" w:hAnsi="ITC Franklin Gothic LT Pro Bk;sans-serif"/>
          <w:b w:val="false"/>
          <w:color w:val="000000"/>
          <w:sz w:val="22"/>
        </w:rPr>
        <w:t xml:space="preserve">in the third quarter of 2026. </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 xml:space="preserve">Third quarter 2026 revenue increased 2% year-over-year reflecting 3% year-over-year GeneSight volume growth, partially offset by a 1% year-over-year decline in average revenue per test, which reflects general market dynamics. </w:t>
      </w:r>
    </w:p>
    <w:p>
      <w:pPr>
        <w:pStyle w:val="TextBody"/>
        <w:bidi w:val="0"/>
        <w:spacing w:before="0" w:after="0"/>
        <w:jc w:val="both"/>
      </w:pPr>
      <w:r/>
    </w:p>
    <w:p>
      <w:pPr>
        <w:pStyle w:val="TextBody"/>
        <w:bidi w:val="0"/>
        <w:spacing w:before="0" w:after="120"/>
        <w:jc w:val="both"/>
      </w:pPr>
      <w:r/>
    </w:p>
    <w:p>
      <w:pPr>
        <w:pStyle w:val="TextBody"/>
        <w:bidi w:val="0"/>
        <w:spacing w:lineRule="auto" w:line="288"/>
        <w:jc w:val="left"/>
      </w:pPr>
      <w:r>
        <w:rPr>
          <w:rFonts w:ascii="Times New Roman;serif" w:hAnsi="Times New Roman;serif"/>
          <w:b w:val="false"/>
          <w:color w:val="000000"/>
          <w:sz w:val="10"/>
        </w:rPr>
        <w:t>1</w:t>
      </w:r>
      <w:r>
        <w:rPr>
          <w:color w:val="000000"/>
        </w:rPr>
        <w:t xml:space="preserve"> </w:t>
      </w:r>
      <w:r>
        <w:rPr>
          <w:rFonts w:ascii="ITC Franklin Gothic LT Pro Bk;sans-serif" w:hAnsi="ITC Franklin Gothic LT Pro Bk;sans-serif"/>
          <w:b w:val="false"/>
          <w:color w:val="000000"/>
          <w:sz w:val="16"/>
          <w:shd w:fill="FFFFFF" w:val="clear"/>
        </w:rPr>
        <w:t>Cancer Discov. 2026 Oct 8:OF1-OF9. doi: 10.1158/2159-8290.CD-26-0971.</w:t>
      </w:r>
    </w:p>
    <w:p>
      <w:pPr>
        <w:pStyle w:val="TextBody"/>
        <w:bidi w:val="0"/>
        <w:spacing w:before="0" w:after="0"/>
        <w:jc w:val="center"/>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Prenatal Health</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The Prenatal Health business delivered revenue of $39.3 million in the third quarter of 2026. </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 xml:space="preserve">Prenatal testing revenue in the third quarter 2026 declined 12% year-over-year, as volume decreased 11% year-over-year. </w:t>
      </w:r>
    </w:p>
    <w:p>
      <w:pPr>
        <w:pStyle w:val="TextBody"/>
        <w:bidi w:val="0"/>
        <w:spacing w:lineRule="auto" w:line="360" w:before="0" w:after="0"/>
        <w:ind w:left="0" w:right="0" w:hanging="360"/>
        <w:jc w:val="both"/>
      </w:pPr>
      <w:r>
        <w:rPr>
          <w:color w:val="000000"/>
        </w:rPr>
        <w:t>•</w:t>
      </w:r>
      <w:r>
        <w:rPr>
          <w:rFonts w:ascii="ITC Franklin Gothic LT Pro Bk;sans-serif" w:hAnsi="ITC Franklin Gothic LT Pro Bk;sans-serif"/>
          <w:b w:val="false"/>
          <w:color w:val="000000"/>
          <w:sz w:val="22"/>
        </w:rPr>
        <w:t xml:space="preserve">On October 19, 2026, the company entered into a definitive agreement to sell its Prenatal Health testing business, which includes the Prequel, Foresight, SneakPeek, and FirstGene tests to Labcorp for $210 million in cash, plus the value of the inventory of the Prenatal Health business at closing. The transaction is subject to customary closing conditions, including regulatory approvals and is expected to close by early 2027.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pPr>
      <w:r/>
    </w:p>
    <w:p>
      <w:pPr>
        <w:pStyle w:val="TextBody"/>
        <w:bidi w:val="0"/>
        <w:spacing w:before="0" w:after="0"/>
        <w:jc w:val="center"/>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Financial Guidance</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Myriad Genetics does not provide forward-looking guidance in accordance with accounting principles generally accepted in the United States (GAAP) for the measures on which it provides forward-looking non-GAAP guidance as the company is unable to provide a quantitative reconciliation of forward-looking non-GAAP measures to the most directly comparable forward-looking GAAP measures, without unreasonable effort, because of the inherent difficulty in accurately forecasting the occurrence and financial impact of the various adjusting items necessary for such reconciliations that have not yet occurred, are dependent on various factors, are out of the company's control, or cannot be reasonably predicted. Such adjustments include, but are not limited to, strategic realignment, costs related to amortization of intangibles from acquisitions, impairment and related charges, depreciation, equity compensation, tax benefits, and other adjustments. For example, stock-based compensation may fluctuate based on the timing of employee stock transactions and unpredictable fluctuations in the company's stock price. Any associated estimate of these items and their impact on GAAP performance could vary materially.</w:t>
      </w:r>
    </w:p>
    <w:p>
      <w:pPr>
        <w:pStyle w:val="TextBody"/>
        <w:bidi w:val="0"/>
        <w:spacing w:before="0" w:after="0"/>
        <w:jc w:val="left"/>
      </w:pPr>
      <w:r/>
    </w:p>
    <w:p>
      <w:pPr>
        <w:pStyle w:val="TextBody"/>
        <w:bidi w:val="0"/>
        <w:spacing w:lineRule="auto" w:line="360" w:before="0" w:after="0"/>
        <w:jc w:val="left"/>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Below is a table summarizing Myriad Genetics' full-year 2026 financial guidance*:</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308"/>
        <w:gridCol w:w="270"/>
        <w:gridCol w:w="270"/>
        <w:gridCol w:w="837"/>
        <w:gridCol w:w="835"/>
        <w:gridCol w:w="661"/>
        <w:gridCol w:w="421"/>
        <w:gridCol w:w="421"/>
        <w:gridCol w:w="422"/>
        <w:gridCol w:w="111"/>
        <w:gridCol w:w="111"/>
        <w:gridCol w:w="111"/>
        <w:gridCol w:w="1587"/>
        <w:gridCol w:w="1587"/>
        <w:gridCol w:w="2253"/>
      </w:tblGrid>
      <w:t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r>
      <w:tr>
        <w:tc>
          <w:tcPr>
            <w:tcW w:w="318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ITC Franklin Gothic LT Pro Bk;sans-serif" w:hAnsi="ITC Franklin Gothic LT Pro Bk;sans-serif"/>
                <w:b w:val="false"/>
                <w:i/>
                <w:color w:val="000000"/>
                <w:sz w:val="16"/>
              </w:rPr>
            </w:pPr>
            <w:r>
              <w:rPr>
                <w:rFonts w:ascii="ITC Franklin Gothic LT Pro Bk;sans-serif" w:hAnsi="ITC Franklin Gothic LT Pro Bk;sans-serif"/>
                <w:b w:val="false"/>
                <w:i/>
                <w:color w:val="000000"/>
                <w:sz w:val="16"/>
              </w:rPr>
              <w:t>(in millions, except percentages)</w:t>
            </w:r>
          </w:p>
        </w:tc>
        <w:tc>
          <w:tcPr>
            <w:tcW w:w="12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2026 Guidance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FY 2026 Comments</w:t>
            </w:r>
          </w:p>
        </w:tc>
      </w:tr>
      <w:tr>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8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Revenue</w:t>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$780 - $790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Raised the mid-point of full-year 2026 revenue range, reflecting Q3 results and current business trends.</w:t>
            </w:r>
          </w:p>
        </w:tc>
      </w:tr>
      <w:tr>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Cancer Care Continuum and Mental Health Revenue</w:t>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$620 - $630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With the announced sale of Prenatal Health on October 20, 2026, a break out of Prenatal Health revenue for full-year 2026 revenue guidance is provided.</w:t>
            </w:r>
          </w:p>
        </w:tc>
      </w:tr>
      <w:tr>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Prenatal Health Revenue</w:t>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~$160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3181"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pPr>
            <w:r>
              <w:rPr>
                <w:rFonts w:ascii="ITC Franklin Gothic LT Pro Bk;sans-serif" w:hAnsi="ITC Franklin Gothic LT Pro Bk;sans-serif"/>
                <w:b/>
                <w:color w:val="000000"/>
                <w:sz w:val="20"/>
              </w:rPr>
              <w:t xml:space="preserve">Adjusted Gross Margin </w:t>
            </w:r>
            <w:r>
              <w:rPr>
                <w:rFonts w:ascii="ITC Franklin Gothic LT Pro Bk;sans-serif" w:hAnsi="ITC Franklin Gothic LT Pro Bk;sans-serif"/>
                <w:b w:val="false"/>
                <w:color w:val="000000"/>
                <w:sz w:val="20"/>
              </w:rPr>
              <w:t>%**</w:t>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66% - 67%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Gross margins expected to fluctuate quarter to quarter given product mix and pricing trends. </w:t>
            </w:r>
          </w:p>
        </w:tc>
      </w:tr>
      <w:tr>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c>
          <w:tcPr>
            <w:tcW w:w="8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9357" w:type="dxa"/>
            <w:gridSpan w:val="12"/>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Assumes currency rates as of November 4, 2026.</w:t>
            </w:r>
          </w:p>
        </w:tc>
      </w:tr>
      <w:tr>
        <w:tc>
          <w:tcPr>
            <w:tcW w:w="848"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9357" w:type="dxa"/>
            <w:gridSpan w:val="12"/>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Adjusted Gross Margin is defined as Gross Margin plus non-cash cost of sales, such as amortization of intangible assets and share-based compensation expense, and non-recurring one-time expenses such as expenses from strategic realignment and other adjustments.</w:t>
            </w:r>
          </w:p>
        </w:tc>
      </w:tr>
    </w:tbl>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These projections are forward-looking statements and are subject to the risks summarized in the safe harbor statement at the end of this press release.</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Conference Call and Webcast</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A conference call will be held today, Wednesday, November 4, 2026, at 4:30 p.m. ET to discuss Myriad Genetics’ financial results and business developments for the third quarter of 2026. A live webcast of the conference call can be accessed on Myriad Genetics' Investor Relations website at investor.myriad.com. To participate in the live conference call via telephone, please register at https://register-conf.media-server.com/register/BIe4e43e373e1a4ffb958c4f7c06a1bb1d. Upon registering, a dial-in number and unique PIN will be provided to join the conference call. Following the conference call, an archived webcast of the call will be available at investor.myriad.com.</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pPr>
      <w:r/>
    </w:p>
    <w:p>
      <w:pPr>
        <w:pStyle w:val="TextBody"/>
        <w:bidi w:val="0"/>
        <w:spacing w:before="0" w:after="0"/>
        <w:jc w:val="center"/>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About Myriad Genetics</w:t>
      </w:r>
    </w:p>
    <w:p>
      <w:pPr>
        <w:pStyle w:val="TextBody"/>
        <w:bidi w:val="0"/>
        <w:spacing w:lineRule="auto" w:line="360" w:before="0" w:after="0"/>
        <w:jc w:val="both"/>
      </w:pPr>
      <w:r>
        <w:rPr>
          <w:rFonts w:ascii="ITC Franklin Gothic LT Pro Bk;sans-serif" w:hAnsi="ITC Franklin Gothic LT Pro Bk;sans-serif"/>
          <w:b w:val="false"/>
          <w:color w:val="000000"/>
          <w:sz w:val="22"/>
          <w:shd w:fill="FFFFFF" w:val="clear"/>
        </w:rPr>
        <w:t xml:space="preserve">Myriad Genetics is a leading molecular diagnostic and precision medicine company committed to advancing health and well-being for all. Myriad Genetics develops and commercializes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 For more information, visit </w:t>
      </w:r>
      <w:r>
        <w:rPr>
          <w:rFonts w:ascii="ITC Franklin Gothic LT Pro Bk;sans-serif" w:hAnsi="ITC Franklin Gothic LT Pro Bk;sans-serif"/>
          <w:b w:val="false"/>
          <w:color w:val="000000"/>
          <w:sz w:val="22"/>
          <w:u w:val="single"/>
        </w:rPr>
        <w:t>www.myriad.com</w:t>
      </w:r>
      <w:r>
        <w:rPr>
          <w:rFonts w:ascii="ITC Franklin Gothic LT Pro Bk;sans-serif" w:hAnsi="ITC Franklin Gothic LT Pro Bk;sans-serif"/>
          <w:b w:val="false"/>
          <w:color w:val="000000"/>
          <w:sz w:val="22"/>
          <w:shd w:fill="FFFFFF" w:val="clear"/>
        </w:rPr>
        <w:t>.</w:t>
      </w:r>
    </w:p>
    <w:p>
      <w:pPr>
        <w:pStyle w:val="TextBody"/>
        <w:bidi w:val="0"/>
        <w:spacing w:before="0" w:after="0"/>
        <w:jc w:val="left"/>
      </w:pPr>
      <w:r/>
    </w:p>
    <w:p>
      <w:pPr>
        <w:pStyle w:val="TextBody"/>
        <w:bidi w:val="0"/>
        <w:spacing w:lineRule="auto" w:line="360" w:before="0" w:after="0"/>
        <w:jc w:val="both"/>
      </w:pPr>
      <w:r>
        <w:rPr>
          <w:rFonts w:ascii="ITC Franklin Gothic LT Pro Bk;sans-serif" w:hAnsi="ITC Franklin Gothic LT Pro Bk;sans-serif"/>
          <w:b w:val="false"/>
          <w:color w:val="000000"/>
          <w:sz w:val="22"/>
          <w:shd w:fill="FFFFFF" w:val="clear"/>
        </w:rPr>
        <w:t>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Prolaris + AI, and GeneSight are registered trademarks or trademarks of Myriad Genetics, Inc. All third-party marks—</w:t>
      </w:r>
      <w:r>
        <w:rPr>
          <w:rFonts w:ascii="ITC Franklin Gothic LT Pro Bk;sans-serif" w:hAnsi="ITC Franklin Gothic LT Pro Bk;sans-serif"/>
          <w:b w:val="false"/>
          <w:color w:val="000000"/>
          <w:sz w:val="13"/>
        </w:rPr>
        <w:t>®</w:t>
      </w:r>
      <w:r>
        <w:rPr>
          <w:color w:val="000000"/>
          <w:shd w:fill="FFFFFF" w:val="clear"/>
        </w:rPr>
        <w:t xml:space="preserve"> </w:t>
      </w:r>
      <w:r>
        <w:rPr>
          <w:rFonts w:ascii="ITC Franklin Gothic LT Pro Bk;sans-serif" w:hAnsi="ITC Franklin Gothic LT Pro Bk;sans-serif"/>
          <w:b w:val="false"/>
          <w:color w:val="000000"/>
          <w:sz w:val="22"/>
          <w:shd w:fill="FFFFFF" w:val="clear"/>
        </w:rPr>
        <w:t xml:space="preserve">and </w:t>
      </w:r>
      <w:r>
        <w:rPr>
          <w:color w:val="000000"/>
        </w:rPr>
        <w:t>™</w:t>
      </w:r>
      <w:r>
        <w:rPr>
          <w:color w:val="000000"/>
          <w:shd w:fill="FFFFFF" w:val="clear"/>
        </w:rPr>
        <w:t>—</w:t>
      </w:r>
      <w:r>
        <w:rPr>
          <w:rFonts w:ascii="ITC Franklin Gothic LT Pro Bk;sans-serif" w:hAnsi="ITC Franklin Gothic LT Pro Bk;sans-serif"/>
          <w:b w:val="false"/>
          <w:color w:val="000000"/>
          <w:sz w:val="22"/>
          <w:shd w:fill="FFFFFF" w:val="clear"/>
        </w:rPr>
        <w:t xml:space="preserve">are the property of their respective owners. </w:t>
      </w:r>
    </w:p>
    <w:p>
      <w:pPr>
        <w:pStyle w:val="TextBody"/>
        <w:bidi w:val="0"/>
        <w:spacing w:before="0" w:after="0"/>
        <w:jc w:val="both"/>
      </w:pPr>
      <w:r/>
    </w:p>
    <w:p>
      <w:pPr>
        <w:pStyle w:val="TextBody"/>
        <w:bidi w:val="0"/>
        <w:spacing w:lineRule="auto" w:line="360" w:before="0" w:after="0"/>
        <w:jc w:val="both"/>
        <w:rPr>
          <w:rFonts w:ascii="ITC Franklin Gothic LT Pro Bk;sans-serif" w:hAnsi="ITC Franklin Gothic LT Pro Bk;sans-serif"/>
          <w:b w:val="false"/>
          <w:color w:val="000000"/>
          <w:sz w:val="22"/>
          <w:shd w:fill="FFFFFF" w:val="clear"/>
        </w:rPr>
      </w:pPr>
      <w:r>
        <w:rPr>
          <w:rFonts w:ascii="ITC Franklin Gothic LT Pro Bk;sans-serif" w:hAnsi="ITC Franklin Gothic LT Pro Bk;sans-serif"/>
          <w:b w:val="false"/>
          <w:color w:val="000000"/>
          <w:sz w:val="22"/>
          <w:shd w:fill="FFFFFF" w:val="clear"/>
        </w:rPr>
        <w:t xml:space="preserve">© 2026 Myriad Genetics, Inc. All rights reserved.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pPr>
      <w:r/>
    </w:p>
    <w:p>
      <w:pPr>
        <w:pStyle w:val="TextBody"/>
        <w:bidi w:val="0"/>
        <w:spacing w:before="0" w:after="0"/>
        <w:jc w:val="center"/>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MYRIAD GENETICS, INC.</w: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AND SUBSIDIARIES</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Condensed Consolidated Statements of Operations (unaudited)</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1489"/>
        <w:gridCol w:w="1141"/>
        <w:gridCol w:w="1139"/>
        <w:gridCol w:w="287"/>
        <w:gridCol w:w="896"/>
        <w:gridCol w:w="138"/>
        <w:gridCol w:w="138"/>
        <w:gridCol w:w="138"/>
        <w:gridCol w:w="138"/>
        <w:gridCol w:w="287"/>
        <w:gridCol w:w="896"/>
        <w:gridCol w:w="138"/>
        <w:gridCol w:w="109"/>
        <w:gridCol w:w="109"/>
        <w:gridCol w:w="109"/>
        <w:gridCol w:w="266"/>
        <w:gridCol w:w="911"/>
        <w:gridCol w:w="128"/>
        <w:gridCol w:w="128"/>
        <w:gridCol w:w="128"/>
        <w:gridCol w:w="128"/>
        <w:gridCol w:w="266"/>
        <w:gridCol w:w="911"/>
        <w:gridCol w:w="187"/>
      </w:tblGrid>
      <w:tr>
        <w:tc>
          <w:tcPr>
            <w:tcW w:w="148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Nine months ended September 30,</w:t>
            </w:r>
          </w:p>
        </w:tc>
      </w:tr>
      <w:t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Revenue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202.7 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205.7 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593.8 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614.7 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Cost of revenue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184.9 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Gross profit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137.7 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402.3 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429.8 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expenses:</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Research and development expense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Sales and marketing expense</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240.6 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212.1 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General and administrative expense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201.2 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Goodwill and long-lived asset impairment charges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operating expenses</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177.6 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167.1 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511.8 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811.3 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loss</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(39.9)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(23.3)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(109.5)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(381.5)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 income (expense):</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Interest income</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Interest expense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other expense</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(4.7)</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Loss before income tax</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(43.6)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(26.2)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(120.3)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(386.2)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Income tax expense (benefit)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c>
          <w:tcPr>
            <w:tcW w:w="376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(27.4)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(121.2)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(358.0)</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 per share:</w:t>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Basic and diluted</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(3.88)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Weighted average shares outstanding:</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Basic and diluted</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MYRIAD GENETICS, INC.</w: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AND SUBSIDIARIES</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Condensed Consolidated Balance Sheets (unaudited)</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2644"/>
        <w:gridCol w:w="1962"/>
        <w:gridCol w:w="1930"/>
        <w:gridCol w:w="368"/>
        <w:gridCol w:w="1153"/>
        <w:gridCol w:w="178"/>
        <w:gridCol w:w="109"/>
        <w:gridCol w:w="109"/>
        <w:gridCol w:w="109"/>
        <w:gridCol w:w="339"/>
        <w:gridCol w:w="1066"/>
        <w:gridCol w:w="238"/>
      </w:tblGrid>
      <w:tr>
        <w:tc>
          <w:tcPr>
            <w:tcW w:w="2644"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December 31, 2025</w:t>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ASSETS</w:t>
            </w:r>
          </w:p>
        </w:tc>
        <w:tc>
          <w:tcPr>
            <w:tcW w:w="1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Current assets:</w:t>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Cash and cash equivalents</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149.6 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Trade accounts receivable</w:t>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115.3 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Inventory</w:t>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Prepaid taxes</w:t>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Prepaid expenses and other current assets</w:t>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25.1 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current assets</w:t>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271.9 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332.6 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lease right-of-use assets</w:t>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48.9 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49.4 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Property, plant and equipment, net</w:t>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114.0 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Intangible assets, net</w:t>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153.4 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Goodwill</w:t>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51.6 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 assets</w:t>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assets</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609.2 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706.6 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LIABILITIES AND STOCKHOLDERS' EQUITY</w:t>
            </w:r>
          </w:p>
        </w:tc>
        <w:tc>
          <w:tcPr>
            <w:tcW w:w="16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Current liabilities:</w:t>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Accounts payable</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Accrued liabilities</w:t>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96.9 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Current maturities of operating lease liabilities</w:t>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current liabilities</w:t>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137.6 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133.8 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Long-term debt</w:t>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121.1 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119.9 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Noncurrent operating lease liabilities</w:t>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80.5 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 long-term liabilities</w:t>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liabilities</w:t>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340.2 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338.6 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Commitments and contingencies</w:t>
            </w:r>
          </w:p>
        </w:tc>
        <w:tc>
          <w:tcPr>
            <w:tcW w:w="1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Stockholders’ equity:</w:t>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ITC Franklin Gothic LT Pro Bk;sans-serif" w:hAnsi="ITC Franklin Gothic LT Pro Bk;sans-serif"/>
                <w:b w:val="false"/>
                <w:color w:val="000000"/>
                <w:sz w:val="20"/>
              </w:rPr>
              <w:t xml:space="preserve">Common stock, 95.7 and 93.5 shares outstanding at September 30, 2026 and December 31, 2025, respectively </w:t>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Additional paid-in capital</w:t>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1,511.2 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1,489.0 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Accumulated other comprehensive income</w:t>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Accumulated deficit</w:t>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(1,243.9)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(1,122.7)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stockholders' equity</w:t>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269.0 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368.0 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liabilities and stockholders’ equity</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609.2 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706.6 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MYRIAD GENETICS, INC.</w: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AND SUBSIDIARIES</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Condensed Consolidated Statements of Cash Flows (unaudited)</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 millions)</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1892"/>
        <w:gridCol w:w="1556"/>
        <w:gridCol w:w="1565"/>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6"/>
      </w:tblGrid>
      <w:tr>
        <w:tc>
          <w:tcPr>
            <w:tcW w:w="189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Nine months ended</w:t>
              <w:br/>
              <w:t>September 30,</w:t>
            </w:r>
          </w:p>
        </w:tc>
      </w:tr>
      <w:t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2025</w:t>
            </w:r>
          </w:p>
        </w:tc>
      </w:tr>
      <w:t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used in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Effect of foreign exchange rates on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Cash, cash equivalents, and restricted cash at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Cash, cash equivalents, and restricted cash at end of the period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60" w:before="0" w:after="0"/>
        <w:jc w:val="both"/>
        <w:rPr>
          <w:rFonts w:ascii="ITC Franklin Gothic LT Pro Bk;sans-serif" w:hAnsi="ITC Franklin Gothic LT Pro Bk;sans-serif"/>
          <w:b/>
          <w:color w:val="000000"/>
          <w:sz w:val="22"/>
        </w:rPr>
      </w:pPr>
      <w:r>
        <w:rPr>
          <w:rFonts w:ascii="ITC Franklin Gothic LT Pro Bk;sans-serif" w:hAnsi="ITC Franklin Gothic LT Pro Bk;sans-serif"/>
          <w:b/>
          <w:color w:val="000000"/>
          <w:sz w:val="22"/>
        </w:rPr>
        <w:t>Safe Harbor Statement</w:t>
      </w:r>
    </w:p>
    <w:p>
      <w:pPr>
        <w:pStyle w:val="TextBody"/>
        <w:bidi w:val="0"/>
        <w:spacing w:lineRule="auto" w:line="288" w:before="0" w:after="0"/>
        <w:jc w:val="both"/>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 xml:space="preserve">This press release contains “forward-looking statements” within the meaning of the Private Securities Litigation Reform Act of 1995, including statements related to (i) the company's full-year 2026 financial guidance, (ii) the sale of the company's Prenatal Health business to Labcorp, including the expected timing of closing, the satisfaction of closing conditions (including regulatory approval), and the expected effect of the transaction on the company's revenue growth rate, profitability, liquidity and balance sheet, and on the patients, employees and shareholders the company serves, (iii) the company's strategic priorities, including its focus on the Cancer Care Continuum and Mental Health and its payer engagement and revenue cycle management initiatives, and (iv) the company's collaboration with SOPHiA GENETICS and AstraZeneca to advance prostate cancer-specific genomic instability score technology, including potential companion diagnostic solutions.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w:t>
      </w:r>
    </w:p>
    <w:p>
      <w:pPr>
        <w:pStyle w:val="TextBody"/>
        <w:bidi w:val="0"/>
        <w:spacing w:before="0" w:after="0"/>
        <w:jc w:val="both"/>
      </w:pPr>
      <w:r/>
    </w:p>
    <w:p>
      <w:pPr>
        <w:pStyle w:val="TextBody"/>
        <w:bidi w:val="0"/>
        <w:spacing w:lineRule="auto" w:line="288" w:before="0" w:after="0"/>
        <w:jc w:val="both"/>
      </w:pPr>
      <w:r>
        <w:rPr>
          <w:rFonts w:ascii="ITC Franklin Gothic LT Pro Bk;sans-serif" w:hAnsi="ITC Franklin Gothic LT Pro Bk;sans-serif"/>
          <w:b w:val="false"/>
          <w:color w:val="000000"/>
          <w:sz w:val="20"/>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recent changes in the company's senior management team and the successful implementation of the company's strategic plan; risks related to the sale of certain assets of the company's Prenatal Health business, including the risk that the sale may not be completed on the anticipated terms or timeline, or at all, and the pendency of or failure to complete the sale; risk that the company may not realize the anticipated benefits of the sale of certain assets of its Prenatal Health business as well as risks related to the liabilities and obligations it may retain following the closing of the sale;</w:t>
      </w:r>
      <w:r>
        <w:rPr>
          <w:color w:val="000000"/>
        </w:rPr>
        <w:t xml:space="preserve"> </w:t>
      </w:r>
      <w:r>
        <w:rPr>
          <w:rFonts w:ascii="ITC Franklin Gothic LT Pro Bk;sans-serif" w:hAnsi="ITC Franklin Gothic LT Pro Bk;sans-serif"/>
          <w:b w:val="false"/>
          <w:color w:val="000000"/>
          <w:sz w:val="20"/>
        </w:rPr>
        <w:t>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is not able to secure additional financing to fund its business, if needed, in a timely manner or on favorable terms, if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partnerships and collaborations or licenses and acquire or develop new technologies or businesses on satisfactory terms, if at all; risks related to the company’s ability to successfully integrate and derive benefits from any technologies or businesses that it licenses, acquires or develops;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and other cybersecurity incidents;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Part I, Item 1A of the company’s Annual Report on Form 10-K filed with the SEC on February 24, 2026, as well as any updates to those risk factors filed from time to time in the company’s subsequent Quarterly Reports on Form 10-Q or Current Reports on Form 8-K. The company is not under any obligation, and it expressly disclaims any obligation, to update or alter any forward-looking statements, whether as a result of new information, future events or otherwise except as required by law.</w:t>
      </w:r>
    </w:p>
    <w:p>
      <w:pPr>
        <w:pStyle w:val="TextBody"/>
        <w:bidi w:val="0"/>
        <w:spacing w:before="0" w:after="283"/>
        <w:jc w:val="left"/>
      </w:pPr>
      <w:r/>
    </w:p>
    <w:p>
      <w:pPr>
        <w:pStyle w:val="TextBody"/>
        <w:bidi w:val="0"/>
        <w:spacing w:before="0" w:after="0"/>
        <w:jc w:val="center"/>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3106" w:type="dxa"/>
        <w:jc w:val="left"/>
        <w:tblInd w:w="0" w:type="dxa"/>
        <w:tblLayout w:type="fixed"/>
        <w:tblCellMar>
          <w:top w:w="28" w:type="dxa"/>
          <w:left w:w="28" w:type="dxa"/>
          <w:bottom w:w="28" w:type="dxa"/>
          <w:right w:w="28" w:type="dxa"/>
        </w:tblCellMar>
      </w:tblPr>
      <w:tblGrid>
        <w:gridCol w:w="993"/>
        <w:gridCol w:w="873"/>
        <w:gridCol w:w="1240"/>
      </w:tblGrid>
      <w:t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color w:val="000000"/>
                <w:sz w:val="24"/>
              </w:rPr>
            </w:pPr>
            <w:r>
              <w:rPr>
                <w:rFonts w:ascii="ITC Franklin Gothic LT Pro Bk;sans-serif" w:hAnsi="ITC Franklin Gothic LT Pro Bk;sans-serif"/>
                <w:b/>
                <w:color w:val="000000"/>
                <w:sz w:val="24"/>
              </w:rPr>
              <w:t>Investor Contact</w:t>
            </w:r>
          </w:p>
        </w:tc>
      </w:tr>
      <w:t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Matt Scalo</w:t>
            </w:r>
          </w:p>
        </w:tc>
      </w:tr>
      <w:t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(801) 584-3532</w:t>
            </w:r>
          </w:p>
        </w:tc>
      </w:tr>
      <w:t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4"/>
                <w:u w:val="single"/>
              </w:rPr>
            </w:pPr>
            <w:r>
              <w:rPr>
                <w:rFonts w:ascii="ITC Franklin Gothic LT Pro Bk;sans-serif" w:hAnsi="ITC Franklin Gothic LT Pro Bk;sans-serif"/>
                <w:b w:val="false"/>
                <w:color w:val="000000"/>
                <w:sz w:val="24"/>
                <w:u w:val="single"/>
              </w:rPr>
              <w:t>matt.scalo@myriad.com</w:t>
            </w:r>
          </w:p>
        </w:tc>
      </w:tr>
      <w:tr>
        <w:tc>
          <w:tcPr>
            <w:tcW w:w="3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color w:val="000000"/>
                <w:sz w:val="24"/>
              </w:rPr>
            </w:pPr>
            <w:r>
              <w:rPr>
                <w:rFonts w:ascii="ITC Franklin Gothic LT Pro Bk;sans-serif" w:hAnsi="ITC Franklin Gothic LT Pro Bk;sans-serif"/>
                <w:b/>
                <w:color w:val="000000"/>
                <w:sz w:val="24"/>
              </w:rPr>
              <w:t>Media Contact</w:t>
            </w:r>
          </w:p>
        </w:tc>
      </w:tr>
      <w:tr>
        <w:tc>
          <w:tcPr>
            <w:tcW w:w="310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Kate Schraml    </w:t>
            </w:r>
          </w:p>
        </w:tc>
      </w:tr>
      <w:t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 xml:space="preserve">(224) 875-4493 </w:t>
            </w:r>
          </w:p>
        </w:tc>
      </w:tr>
      <w:t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4"/>
                <w:u w:val="single"/>
              </w:rPr>
            </w:pPr>
            <w:r>
              <w:rPr>
                <w:rFonts w:ascii="ITC Franklin Gothic LT Pro Bk;sans-serif" w:hAnsi="ITC Franklin Gothic LT Pro Bk;sans-serif"/>
                <w:b w:val="false"/>
                <w:color w:val="000000"/>
                <w:sz w:val="24"/>
                <w:u w:val="single"/>
              </w:rPr>
              <w:t>PR@myriad.com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60" w:before="0" w:after="120"/>
        <w:jc w:val="both"/>
      </w:pPr>
      <w:r>
        <w:rPr>
          <w:rFonts w:ascii="ITC Franklin Gothic LT Pro Bk;sans-serif" w:hAnsi="ITC Franklin Gothic LT Pro Bk;sans-serif"/>
          <w:b/>
          <w:color w:val="000000"/>
          <w:sz w:val="22"/>
          <w:shd w:fill="FFFFFF" w:val="clear"/>
        </w:rPr>
        <w:t>Statement Reg</w:t>
      </w:r>
      <w:r>
        <w:rPr>
          <w:rFonts w:ascii="ITC Franklin Gothic LT Pro Bk;sans-serif" w:hAnsi="ITC Franklin Gothic LT Pro Bk;sans-serif"/>
          <w:b/>
          <w:color w:val="000000"/>
          <w:sz w:val="22"/>
        </w:rPr>
        <w:t>arding Use of Non-GAAP Financial Measures</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In this press release, the company’s financial results and financial guidance are provided in accordance with accounting principles generally accepted in the United States (GAAP) and using certain non-GAAP financial measures. Management believes that presentation of operating results using non-GAAP financial measures provides useful supplemental information to investors and facilitates the analysis of the company’s core operating results and comparison of operating results across reporting periods. Management also uses non-GAAP financial measures to establish budgets and to manage the company’s business. A reconciliation of the GAAP financial results to non-GAAP financial results is included in the schedules below and a description of the adjustments made to the GAAP financial measures is included at the end of each schedule.</w:t>
      </w:r>
    </w:p>
    <w:p>
      <w:pPr>
        <w:pStyle w:val="TextBody"/>
        <w:bidi w:val="0"/>
        <w:spacing w:before="0" w:after="0"/>
        <w:jc w:val="both"/>
      </w:pPr>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The company encourages investors to carefully consider its results under GAAP, as well as its supplemental non-GAAP information and the reconciliation between these presentations, if available, to more fully understand its business. Non-GAAP financial results are reported in addition to, and not as a substitute for, or superior to, financial measures calculated in accordance with GAAP. </w:t>
      </w:r>
    </w:p>
    <w:p>
      <w:pPr>
        <w:pStyle w:val="TextBody"/>
        <w:bidi w:val="0"/>
        <w:spacing w:before="0" w:after="0"/>
        <w:jc w:val="both"/>
      </w:pPr>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The company does not forecast GAAP gross margin because it cannot predict certain elements that are included in reported GAAP results. Please see above under “Financial Guidance” for a full explanation.</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Reconciliation of GAAP to Non-GAAP Financial Measures</w:t>
      </w:r>
    </w:p>
    <w:p>
      <w:pPr>
        <w:pStyle w:val="TextBody"/>
        <w:bidi w:val="0"/>
        <w:spacing w:lineRule="auto" w:line="288" w:before="0" w:after="0"/>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for the Three and Nine Months Ended September 30, 2026 and 2025</w:t>
      </w:r>
    </w:p>
    <w:p>
      <w:pPr>
        <w:pStyle w:val="TextBody"/>
        <w:bidi w:val="0"/>
        <w:spacing w:lineRule="auto" w:line="288" w:before="0" w:after="0"/>
        <w:jc w:val="left"/>
        <w:rPr>
          <w:rFonts w:ascii="ITC Franklin Gothic LT Pro Bk;sans-serif" w:hAnsi="ITC Franklin Gothic LT Pro Bk;sans-serif"/>
          <w:b w:val="false"/>
          <w:i/>
          <w:color w:val="000000"/>
          <w:sz w:val="20"/>
        </w:rPr>
      </w:pPr>
      <w:r>
        <w:rPr>
          <w:rFonts w:ascii="ITC Franklin Gothic LT Pro Bk;sans-serif" w:hAnsi="ITC Franklin Gothic LT Pro Bk;sans-serif"/>
          <w:b w:val="false"/>
          <w:i/>
          <w:color w:val="000000"/>
          <w:sz w:val="20"/>
        </w:rPr>
        <w:t>(unaudited data in millions, except per share amounts)</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520"/>
        <w:gridCol w:w="438"/>
        <w:gridCol w:w="231"/>
        <w:gridCol w:w="465"/>
        <w:gridCol w:w="465"/>
        <w:gridCol w:w="467"/>
        <w:gridCol w:w="291"/>
        <w:gridCol w:w="911"/>
        <w:gridCol w:w="369"/>
        <w:gridCol w:w="140"/>
        <w:gridCol w:w="140"/>
        <w:gridCol w:w="140"/>
        <w:gridCol w:w="291"/>
        <w:gridCol w:w="911"/>
        <w:gridCol w:w="369"/>
        <w:gridCol w:w="140"/>
        <w:gridCol w:w="140"/>
        <w:gridCol w:w="140"/>
        <w:gridCol w:w="291"/>
        <w:gridCol w:w="911"/>
        <w:gridCol w:w="369"/>
        <w:gridCol w:w="140"/>
        <w:gridCol w:w="140"/>
        <w:gridCol w:w="140"/>
        <w:gridCol w:w="291"/>
        <w:gridCol w:w="911"/>
        <w:gridCol w:w="444"/>
      </w:tblGrid>
      <w:tr>
        <w:tc>
          <w:tcPr>
            <w:tcW w:w="52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September 30,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Nine months ended</w:t>
              <w:br/>
              <w:t>September 30,</w:t>
            </w:r>
          </w:p>
        </w:tc>
      </w:tr>
      <w:t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c>
          <w:tcPr>
            <w:tcW w:w="25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Gross Margin</w:t>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ITC Franklin Gothic LT Pro Bk;sans-serif" w:hAnsi="ITC Franklin Gothic LT Pro Bk;sans-serif"/>
                <w:b w:val="false"/>
                <w:color w:val="000000"/>
                <w:sz w:val="20"/>
              </w:rPr>
              <w:t>Gross Profit</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137.7 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143.8 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402.3 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429.8 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color w:val="000000"/>
              </w:rPr>
              <w:t>  </w:t>
            </w: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(2)</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0.9 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color w:val="000000"/>
              </w:rPr>
              <w:t>  </w:t>
            </w: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(4)</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Gross Profit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138.3 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144.1 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403.7 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431.6 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Gross Margin</w:t>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68.2 </w:t>
            </w:r>
          </w:p>
        </w:tc>
        <w:tc>
          <w:tcPr>
            <w:tcW w:w="3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70.1 </w:t>
            </w:r>
          </w:p>
        </w:tc>
        <w:tc>
          <w:tcPr>
            <w:tcW w:w="3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68.0 </w:t>
            </w:r>
          </w:p>
        </w:tc>
        <w:tc>
          <w:tcPr>
            <w:tcW w:w="3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70.2 </w:t>
            </w:r>
          </w:p>
        </w:tc>
        <w:tc>
          <w:tcPr>
            <w:tcW w:w="4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r>
      <w:t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9016"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Represents recurring amortization charges resulting from the acquisition of intangible assets.</w:t>
            </w:r>
          </w:p>
        </w:tc>
      </w:tr>
      <w:t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9016"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Consists of the non-cash equity-based compensation provided to Myriad Genetics employees.</w:t>
            </w:r>
          </w:p>
        </w:tc>
      </w:tr>
      <w:t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9016"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Costs related to strategic realignment of the company including severance and consulting fees.</w:t>
            </w:r>
          </w:p>
        </w:tc>
      </w:tr>
      <w:t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9016"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Other one-time non-recurring adjustments. </w:t>
            </w:r>
          </w:p>
        </w:tc>
      </w:tr>
      <w:t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September 30,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Nine months ended</w:t>
              <w:br/>
              <w:t>September 30,</w:t>
            </w:r>
          </w:p>
        </w:tc>
      </w:tr>
      <w:t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c>
          <w:tcPr>
            <w:tcW w:w="25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Operating Expenses</w:t>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Expenses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177.6 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167.1 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511.8 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811.3 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(19.3)</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(23.4)</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Goodwill and long-lived asset impairment</w:t>
            </w:r>
            <w:r>
              <w:rPr>
                <w:rFonts w:ascii="ITC Franklin Gothic LT Pro Bk;sans-serif" w:hAnsi="ITC Franklin Gothic LT Pro Bk;sans-serif"/>
                <w:b w:val="false"/>
                <w:color w:val="000000"/>
                <w:sz w:val="13"/>
              </w:rPr>
              <w:t>(2)</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(9.0)</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(11.9)</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(22.0)</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(31.5)</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(4)</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(5.2)</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(5)</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(12.2)</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(16.2)</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(10.1)</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Operating Expenses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149.9 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140.0 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448.9 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424.4 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9016"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Represents recurring amortization charges resulting from the acquisition of intangible assets.</w:t>
            </w:r>
          </w:p>
        </w:tc>
      </w:tr>
      <w:t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9016"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Expense related to goodwill and long-lived asset impairment. For the nine months ended September 30, 2026, consists of $5.4 million of impairment expense associated with our Women's Health reporting unit and certain intangible assets. For the nine months ended September 30, 2025, consists of $316.7 million of impairment expense associated with our Mental Health and Women's Health reporting units and asset groups.</w:t>
            </w:r>
          </w:p>
        </w:tc>
      </w:tr>
      <w:t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9016"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non-cash equity-based compensation provided to Myriad Genetics employees and directors.</w:t>
            </w:r>
          </w:p>
        </w:tc>
      </w:tr>
      <w:t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9016"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real estate initiatives. For the nine months ended September 30, 2025, consists of additional rent as a result of the build-out of our new laboratories in Salt Lake City, Utah and South San Francisco, California, while maintaining our then existing laboratories in those locations and testing and set-up costs for equipment in our new facilities. </w:t>
            </w:r>
          </w:p>
        </w:tc>
      </w:tr>
      <w:t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w:t>
            </w:r>
          </w:p>
        </w:tc>
        <w:tc>
          <w:tcPr>
            <w:tcW w:w="9016"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Costs related to strategic realignment of the company including severance and consulting fees.</w:t>
            </w:r>
          </w:p>
        </w:tc>
      </w:tr>
      <w:t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w:t>
            </w:r>
          </w:p>
        </w:tc>
        <w:tc>
          <w:tcPr>
            <w:tcW w:w="9016"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Other one-time non-recurring adjustments. </w:t>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7619" w:type="dxa"/>
            <w:gridSpan w:val="21"/>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057" w:type="dxa"/>
            <w:gridSpan w:val="12"/>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7619" w:type="dxa"/>
            <w:gridSpan w:val="21"/>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7619" w:type="dxa"/>
            <w:gridSpan w:val="21"/>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7619" w:type="dxa"/>
            <w:gridSpan w:val="21"/>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7619" w:type="dxa"/>
            <w:gridSpan w:val="21"/>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7619" w:type="dxa"/>
            <w:gridSpan w:val="21"/>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7619" w:type="dxa"/>
            <w:gridSpan w:val="21"/>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7619" w:type="dxa"/>
            <w:gridSpan w:val="21"/>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7619" w:type="dxa"/>
            <w:gridSpan w:val="21"/>
            <w:tcBorders/>
          </w:tcPr>
          <w:p>
            <w:pPr>
              <w:pStyle w:val="TableContents"/>
              <w:bidi w:val="0"/>
              <w:spacing w:before="0" w:after="283"/>
              <w:jc w:val="left"/>
              <w:rPr>
                <w:sz w:val="4"/>
                <w:szCs w:val="4"/>
              </w:rPr>
            </w:pPr>
            <w:r>
              <w:rPr>
                <w:sz w:val="4"/>
                <w:szCs w:val="4"/>
              </w:rPr>
            </w:r>
          </w:p>
        </w:tc>
      </w:tr>
      <w:tr>
        <w:tc>
          <w:tcPr>
            <w:tcW w:w="118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7619"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center"/>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95"/>
        <w:gridCol w:w="220"/>
        <w:gridCol w:w="220"/>
        <w:gridCol w:w="565"/>
        <w:gridCol w:w="565"/>
        <w:gridCol w:w="568"/>
        <w:gridCol w:w="326"/>
        <w:gridCol w:w="907"/>
        <w:gridCol w:w="156"/>
        <w:gridCol w:w="156"/>
        <w:gridCol w:w="156"/>
        <w:gridCol w:w="156"/>
        <w:gridCol w:w="326"/>
        <w:gridCol w:w="907"/>
        <w:gridCol w:w="156"/>
        <w:gridCol w:w="156"/>
        <w:gridCol w:w="156"/>
        <w:gridCol w:w="156"/>
        <w:gridCol w:w="324"/>
        <w:gridCol w:w="1075"/>
        <w:gridCol w:w="156"/>
        <w:gridCol w:w="156"/>
        <w:gridCol w:w="156"/>
        <w:gridCol w:w="156"/>
        <w:gridCol w:w="324"/>
        <w:gridCol w:w="1075"/>
        <w:gridCol w:w="236"/>
      </w:tblGrid>
      <w:tr>
        <w:tc>
          <w:tcPr>
            <w:tcW w:w="6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c>
          <w:tcPr>
            <w:tcW w:w="28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September 30,</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Nine months ended</w:t>
              <w:br/>
              <w:t>September 30,</w:t>
            </w:r>
          </w:p>
        </w:tc>
      </w:tr>
      <w:tr>
        <w:tc>
          <w:tcPr>
            <w:tcW w:w="28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color w:val="000000"/>
                <w:sz w:val="20"/>
              </w:rPr>
              <w:t>Adjusted Net Income (Loss)</w:t>
            </w:r>
            <w:r>
              <w:rPr>
                <w:rFonts w:ascii="ITC Franklin Gothic LT Pro Bk;sans-serif" w:hAnsi="ITC Franklin Gothic LT Pro Bk;sans-serif"/>
                <w:b/>
                <w:color w:val="000000"/>
                <w:sz w:val="13"/>
              </w:rPr>
              <w:t>(1)</w:t>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(358.0)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(2)</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24.0 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Goodwill and long-lived asset impairment</w:t>
            </w:r>
            <w:r>
              <w:rPr>
                <w:rFonts w:ascii="ITC Franklin Gothic LT Pro Bk;sans-serif" w:hAnsi="ITC Franklin Gothic LT Pro Bk;sans-serif"/>
                <w:b w:val="false"/>
                <w:color w:val="000000"/>
                <w:sz w:val="13"/>
              </w:rPr>
              <w:t>(3)</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(4)</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32.4 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(5)</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(6)</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(7)</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bookmarkStart w:id="0" w:name="i7530ee5db9bb42c4aa49077cbefd5b41_66-0-1"/>
            <w:bookmarkEnd w:id="0"/>
            <w:r>
              <w:rPr>
                <w:rFonts w:ascii="ITC Franklin Gothic LT Pro Bk;sans-serif" w:hAnsi="ITC Franklin Gothic LT Pro Bk;sans-serif"/>
                <w:b w:val="false"/>
                <w:color w:val="000000"/>
                <w:sz w:val="20"/>
              </w:rPr>
              <w:t>Uncertain tax benefit</w:t>
            </w:r>
            <w:r>
              <w:rPr>
                <w:rFonts w:ascii="ITC Franklin Gothic LT Pro Bk;sans-serif" w:hAnsi="ITC Franklin Gothic LT Pro Bk;sans-serif"/>
                <w:b w:val="false"/>
                <w:color w:val="000000"/>
                <w:sz w:val="13"/>
              </w:rPr>
              <w:t>(8)</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(29.0)</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Tax adjustments</w:t>
            </w:r>
            <w:r>
              <w:rPr>
                <w:rFonts w:ascii="ITC Franklin Gothic LT Pro Bk;sans-serif" w:hAnsi="ITC Franklin Gothic LT Pro Bk;sans-serif"/>
                <w:b w:val="false"/>
                <w:color w:val="000000"/>
                <w:sz w:val="13"/>
              </w:rPr>
              <w:t>(9)</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Net Income (Loss)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Weighted average shares outstanding:</w:t>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Diluted</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93.2 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35"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tcPr>
          <w:p>
            <w:pPr>
              <w:pStyle w:val="TableContents"/>
              <w:bidi w:val="0"/>
              <w:spacing w:before="0" w:after="283"/>
              <w:jc w:val="left"/>
              <w:rPr>
                <w:sz w:val="4"/>
                <w:szCs w:val="4"/>
              </w:rPr>
            </w:pPr>
            <w:r>
              <w:rPr>
                <w:sz w:val="4"/>
                <w:szCs w:val="4"/>
              </w:rPr>
            </w:r>
          </w:p>
        </w:tc>
      </w:tr>
      <w:t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Income (Loss) Per Share</w:t>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Diluted</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35"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tcPr>
          <w:p>
            <w:pPr>
              <w:pStyle w:val="TableContents"/>
              <w:bidi w:val="0"/>
              <w:spacing w:before="0" w:after="283"/>
              <w:jc w:val="left"/>
              <w:rPr>
                <w:sz w:val="4"/>
                <w:szCs w:val="4"/>
              </w:rPr>
            </w:pPr>
            <w:r>
              <w:rPr>
                <w:sz w:val="4"/>
                <w:szCs w:val="4"/>
              </w:rPr>
            </w:r>
          </w:p>
        </w:tc>
      </w:tr>
      <w:tr>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9070"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To determine Adjusted Income (Loss) Per Share.</w:t>
            </w:r>
          </w:p>
        </w:tc>
      </w:tr>
      <w:tr>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9070"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Represents recurring amortization charges resulting from the acquisition of intangible assets.</w:t>
            </w:r>
          </w:p>
        </w:tc>
      </w:tr>
      <w:tr>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9070"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Expense related to goodwill and long-lived asset impairment. For the nine months ended September 30, 2026, consists of $5.4 million of impairment expense associated with our Women's Health reporting unit and certain intangible assets. For the nine months ended September 30, 2025, consists of $316.7 million of impairment expense associated with our Mental Health and Women's Health reporting units and asset groups.</w:t>
            </w:r>
          </w:p>
        </w:tc>
      </w:tr>
      <w:tr>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9070"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non-cash equity-based compensation provided to Myriad Genetics employees and directors.</w:t>
            </w:r>
          </w:p>
        </w:tc>
      </w:tr>
      <w:tr>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w:t>
            </w:r>
          </w:p>
        </w:tc>
        <w:tc>
          <w:tcPr>
            <w:tcW w:w="9070"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real estate initiatives. For the nine months ended September 30, 2025, consists of additional rent as a result of the build-out of our new laboratories in Salt Lake City, Utah and South San Francisco, California, while maintaining our then existing laboratories in those locations and testing and set-up costs for equipment in our new facilities. </w:t>
            </w:r>
          </w:p>
        </w:tc>
      </w:tr>
      <w:tr>
        <w:tc>
          <w:tcPr>
            <w:tcW w:w="11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w:t>
            </w:r>
          </w:p>
        </w:tc>
        <w:tc>
          <w:tcPr>
            <w:tcW w:w="9070"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Costs related to strategic realignment of the company including severance and consulting fees.</w:t>
            </w:r>
          </w:p>
        </w:tc>
      </w:tr>
      <w:tr>
        <w:tc>
          <w:tcPr>
            <w:tcW w:w="11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w:t>
            </w:r>
          </w:p>
        </w:tc>
        <w:tc>
          <w:tcPr>
            <w:tcW w:w="9070"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Other one-time non-recurring adjustments. </w:t>
            </w:r>
          </w:p>
        </w:tc>
      </w:tr>
      <w:tr>
        <w:tc>
          <w:tcPr>
            <w:tcW w:w="11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(8)</w:t>
            </w:r>
          </w:p>
        </w:tc>
        <w:tc>
          <w:tcPr>
            <w:tcW w:w="9070"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release of unrecognized tax benefits and the recognition of valuation allowances for the nine months ended September 30, 2025. The unrecognized tax benefits released were primarily related to tax years under Joint Committee on Taxation review, which upon conclusion of the review were remeasured or released.</w:t>
            </w:r>
          </w:p>
        </w:tc>
      </w:tr>
      <w:tr>
        <w:tc>
          <w:tcPr>
            <w:tcW w:w="11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w:t>
            </w:r>
          </w:p>
        </w:tc>
        <w:tc>
          <w:tcPr>
            <w:tcW w:w="9070"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bookmarkStart w:id="1" w:name="i7530ee5db9bb42c4aa49077cbefd5b41_85-1-1"/>
            <w:bookmarkEnd w:id="1"/>
            <w:r>
              <w:rPr>
                <w:rFonts w:ascii="ITC Franklin Gothic LT Pro Bk;sans-serif" w:hAnsi="ITC Franklin Gothic LT Pro Bk;sans-serif"/>
                <w:b w:val="false"/>
                <w:color w:val="000000"/>
                <w:sz w:val="16"/>
              </w:rPr>
              <w:t>Tax expense or benefit due to non-GAAP adjustments, differences between stock compensation recorded for book purposes as compared to the allowable tax deductions, and valuation allowance recognized against federal and state deferred tax assets in the United States. As of September 30, 2026, a valuation allowance of $129.1 million was not recognized for non-GAAP purposes given our historical and forecasted positive earnings performance. As of September 30, 2025, a valuation allowance of $104.8 million was not recognized for non-GAAP purposes given the company's historical and forecasted positive earnings performance.</w:t>
            </w:r>
          </w:p>
        </w:tc>
      </w:tr>
    </w:tbl>
    <w:p>
      <w:pPr>
        <w:pStyle w:val="TextBody"/>
        <w:bidi w:val="0"/>
        <w:spacing w:before="0" w:after="0"/>
        <w:jc w:val="center"/>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7"/>
        <w:gridCol w:w="373"/>
        <w:gridCol w:w="346"/>
        <w:gridCol w:w="575"/>
        <w:gridCol w:w="575"/>
        <w:gridCol w:w="577"/>
        <w:gridCol w:w="321"/>
        <w:gridCol w:w="897"/>
        <w:gridCol w:w="154"/>
        <w:gridCol w:w="154"/>
        <w:gridCol w:w="154"/>
        <w:gridCol w:w="154"/>
        <w:gridCol w:w="321"/>
        <w:gridCol w:w="897"/>
        <w:gridCol w:w="154"/>
        <w:gridCol w:w="154"/>
        <w:gridCol w:w="154"/>
        <w:gridCol w:w="154"/>
        <w:gridCol w:w="320"/>
        <w:gridCol w:w="1063"/>
        <w:gridCol w:w="154"/>
        <w:gridCol w:w="154"/>
        <w:gridCol w:w="154"/>
        <w:gridCol w:w="154"/>
        <w:gridCol w:w="320"/>
        <w:gridCol w:w="1063"/>
        <w:gridCol w:w="232"/>
      </w:tblGrid>
      <w:tr>
        <w:tc>
          <w:tcPr>
            <w:tcW w:w="47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September 30,</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Nine months ended</w:t>
              <w:br/>
              <w:t>September 30,</w:t>
            </w:r>
          </w:p>
        </w:tc>
      </w:tr>
      <w:t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c>
          <w:tcPr>
            <w:tcW w:w="29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EBITDA</w:t>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(358.0)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(1)</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24.0 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Depreciation expense</w:t>
            </w:r>
            <w:r>
              <w:rPr>
                <w:rFonts w:ascii="ITC Franklin Gothic LT Pro Bk;sans-serif" w:hAnsi="ITC Franklin Gothic LT Pro Bk;sans-serif"/>
                <w:b w:val="false"/>
                <w:color w:val="000000"/>
                <w:sz w:val="13"/>
              </w:rPr>
              <w:t>(2)</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Goodwill and long-lived asset impairment</w:t>
            </w:r>
            <w:r>
              <w:rPr>
                <w:rFonts w:ascii="ITC Franklin Gothic LT Pro Bk;sans-serif" w:hAnsi="ITC Franklin Gothic LT Pro Bk;sans-serif"/>
                <w:b w:val="false"/>
                <w:color w:val="000000"/>
                <w:sz w:val="13"/>
              </w:rPr>
              <w:t>(3)</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(4)</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(5)</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(6)</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Interest expense, net of interest income</w:t>
            </w:r>
            <w:r>
              <w:rPr>
                <w:rFonts w:ascii="ITC Franklin Gothic LT Pro Bk;sans-serif" w:hAnsi="ITC Franklin Gothic LT Pro Bk;sans-serif"/>
                <w:b w:val="false"/>
                <w:color w:val="000000"/>
                <w:sz w:val="13"/>
              </w:rPr>
              <w:t>(7)</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(8)</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Uncertain tax benefits</w:t>
            </w:r>
            <w:r>
              <w:rPr>
                <w:rFonts w:ascii="ITC Franklin Gothic LT Pro Bk;sans-serif" w:hAnsi="ITC Franklin Gothic LT Pro Bk;sans-serif"/>
                <w:b w:val="false"/>
                <w:color w:val="000000"/>
                <w:sz w:val="13"/>
              </w:rPr>
              <w:t>(9)</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Income tax expense</w:t>
            </w:r>
            <w:r>
              <w:rPr>
                <w:rFonts w:ascii="ITC Franklin Gothic LT Pro Bk;sans-serif" w:hAnsi="ITC Franklin Gothic LT Pro Bk;sans-serif"/>
                <w:b w:val="false"/>
                <w:color w:val="000000"/>
                <w:sz w:val="13"/>
              </w:rPr>
              <w:t>(10)</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EBITDA</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24.6 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9009"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Represents recurring amortization charges resulting from the acquisition of intangible assets.</w:t>
            </w:r>
          </w:p>
        </w:tc>
      </w:tr>
      <w:t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9009"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Consists of depreciation expense recognized during the period. </w:t>
            </w:r>
          </w:p>
        </w:tc>
      </w:tr>
      <w:t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9009"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Expense related to goodwill and long-lived asset impairment. For the nine months ended September 30, 2026, consists of $5.4 million of impairment expense associated with our Women's Health reporting unit and certain intangible assets. For the nine months ended September 30, 2025, consists of $316.7 million of impairment expense associated with our Mental Health and Women's Health reporting units and asset groups.</w:t>
            </w:r>
          </w:p>
        </w:tc>
      </w:tr>
      <w:t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9009"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non-cash equity-based compensation provided to Myriad Genetics employees and directors.</w:t>
            </w:r>
          </w:p>
        </w:tc>
      </w:tr>
      <w:t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w:t>
            </w:r>
          </w:p>
        </w:tc>
        <w:tc>
          <w:tcPr>
            <w:tcW w:w="9009"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real estate initiatives. For the nine months ended September 30, 2025, consists of additional rent as a result of the build-out of our new laboratories in Salt Lake City, Utah and South San Francisco, California, while maintaining our then existing laboratories in those locations and testing and set-up costs for equipment in our new facilities. </w:t>
            </w:r>
          </w:p>
        </w:tc>
      </w:tr>
      <w:t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w:t>
            </w:r>
          </w:p>
        </w:tc>
        <w:tc>
          <w:tcPr>
            <w:tcW w:w="9009"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Costs related to strategic realignment of the company including severance and consulting fees.</w:t>
            </w:r>
          </w:p>
        </w:tc>
      </w:tr>
      <w:t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w:t>
            </w:r>
          </w:p>
        </w:tc>
        <w:tc>
          <w:tcPr>
            <w:tcW w:w="9009"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Derived from interest expense and interest income from the Condensed Consolidated Statements of Operations.</w:t>
            </w:r>
          </w:p>
        </w:tc>
      </w:tr>
      <w:t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(8)</w:t>
            </w:r>
          </w:p>
        </w:tc>
        <w:tc>
          <w:tcPr>
            <w:tcW w:w="9009"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Other one-time non-recurring expenses. For purposes of adjusted EBITDA, this includes Other adjustments described in the Adjusted Net Income (Loss) table above as well as the amounts reported as Other income (expense) in the Condensed Consolidated Statement of Operations.</w:t>
            </w:r>
          </w:p>
        </w:tc>
      </w:tr>
      <w:t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w:t>
            </w:r>
          </w:p>
        </w:tc>
        <w:tc>
          <w:tcPr>
            <w:tcW w:w="9009"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release of unrecognized tax benefits and the recognition of valuation allowances for the nine months ended September 30, 2025. The unrecognized tax benefits released were primarily related to tax years under Joint Committee on Taxation review, which upon conclusion of the review were remeasured or released.</w:t>
            </w:r>
          </w:p>
        </w:tc>
      </w:tr>
      <w:t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(10)</w:t>
            </w:r>
          </w:p>
        </w:tc>
        <w:tc>
          <w:tcPr>
            <w:tcW w:w="9009"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Derived from Income tax expense (benefit) from the Condensed Consolidated Statement of Operations, net of the adjustment for unrecognized tax benefits described in Note 9 above. </w:t>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822"/>
        <w:gridCol w:w="654"/>
        <w:gridCol w:w="654"/>
        <w:gridCol w:w="778"/>
        <w:gridCol w:w="778"/>
        <w:gridCol w:w="794"/>
        <w:gridCol w:w="281"/>
        <w:gridCol w:w="672"/>
        <w:gridCol w:w="135"/>
        <w:gridCol w:w="135"/>
        <w:gridCol w:w="135"/>
        <w:gridCol w:w="135"/>
        <w:gridCol w:w="281"/>
        <w:gridCol w:w="730"/>
        <w:gridCol w:w="135"/>
        <w:gridCol w:w="124"/>
        <w:gridCol w:w="124"/>
        <w:gridCol w:w="124"/>
        <w:gridCol w:w="258"/>
        <w:gridCol w:w="754"/>
        <w:gridCol w:w="124"/>
        <w:gridCol w:w="124"/>
        <w:gridCol w:w="124"/>
        <w:gridCol w:w="124"/>
        <w:gridCol w:w="258"/>
        <w:gridCol w:w="754"/>
        <w:gridCol w:w="194"/>
      </w:tblGrid>
      <w:tr>
        <w:tc>
          <w:tcPr>
            <w:tcW w:w="82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Nine months ended</w:t>
              <w:br/>
              <w:t>September 30,</w:t>
            </w:r>
          </w:p>
        </w:tc>
      </w:tr>
      <w:t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c>
          <w:tcPr>
            <w:tcW w:w="44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Operating and Free Cash Flow</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Provided by (Used in) Operating Activities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(1)</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30"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c>
          <w:tcPr>
            <w:tcW w:w="44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(2)</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30"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c>
          <w:tcPr>
            <w:tcW w:w="2130"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c>
          <w:tcPr>
            <w:tcW w:w="44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(3)</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Operating Cash Flow</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24.8 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Capital expenditures</w:t>
            </w:r>
            <w:r>
              <w:rPr>
                <w:rFonts w:ascii="ITC Franklin Gothic LT Pro Bk;sans-serif" w:hAnsi="ITC Franklin Gothic LT Pro Bk;sans-serif"/>
                <w:b w:val="false"/>
                <w:color w:val="000000"/>
                <w:sz w:val="13"/>
              </w:rPr>
              <w:t>(4)</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ITC Franklin Gothic LT Pro Bk;sans-serif" w:hAnsi="ITC Franklin Gothic LT Pro Bk;sans-serif"/>
                <w:b w:val="false"/>
                <w:color w:val="000000"/>
                <w:sz w:val="20"/>
              </w:rPr>
              <w:t>Capitalization of internal-use software costs</w:t>
            </w:r>
            <w:r>
              <w:rPr>
                <w:rFonts w:ascii="ITC Franklin Gothic LT Pro Bk;sans-serif" w:hAnsi="ITC Franklin Gothic LT Pro Bk;sans-serif"/>
                <w:b w:val="false"/>
                <w:color w:val="000000"/>
                <w:sz w:val="13"/>
              </w:rPr>
              <w:t>(4)</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Free Cash Flow</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(17.2)</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8075"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The cash flow effect of real estate optimizations, excluding non-cash items such as accelerated depreciation.</w:t>
            </w:r>
          </w:p>
        </w:tc>
      </w:tr>
      <w:t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8075"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Strategic realignment includes the cash paid for severance and consulting fees.</w:t>
            </w:r>
          </w:p>
        </w:tc>
      </w:tr>
      <w:t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8075"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The cash flow effect of other one-time non-recurring expenses.</w:t>
            </w:r>
          </w:p>
        </w:tc>
      </w:tr>
      <w:t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8075"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Derived from the Condensed Consolidated Statements of Cash Flows. </w:t>
            </w:r>
          </w:p>
        </w:tc>
      </w:tr>
    </w:tbl>
    <w:p>
      <w:pPr>
        <w:pStyle w:val="TextBody"/>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TC Franklin Gothic LT Pro B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5586</Words>
  <Characters>31839</Characters>
  <CharactersWithSpaces>36913</CharactersWithSpaces>
  <Paragraphs>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