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23, 2026</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77"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34"/>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0"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420" w:type="dxa"/>
            <w:vAlign w:val="bottom"/>
            <w:gridSpan w:val="2"/>
            <w:vMerge w:val="continue"/>
          </w:tcPr>
          <w:p>
            <w:pPr>
              <w:spacing w:after="0"/>
              <w:rPr>
                <w:sz w:val="16"/>
                <w:szCs w:val="16"/>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23, 2026, Myriad Genetics, Inc. announced its financial results for the three months ended December 31, 2025. The earnings release is attached hereto as Exhibit 99.1 to this Current Report on Form 8-K and incorporated herein by reference.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Exhibit 99.1 to this Current Report on Form 8-K regarding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Earnings release dated February 23</w:t>
            </w:r>
            <w:r>
              <w:rPr>
                <w:rFonts w:ascii="Times New Roman" w:cs="Times New Roman" w:eastAsia="Times New Roman" w:hAnsi="Times New Roman"/>
                <w:sz w:val="18"/>
                <w:szCs w:val="18"/>
                <w:color w:val="0000FF"/>
                <w:highlight w:val="white"/>
              </w:rPr>
              <w:t>, 202</w:t>
            </w:r>
            <w:r>
              <w:rPr>
                <w:rFonts w:ascii="Times New Roman" w:cs="Times New Roman" w:eastAsia="Times New Roman" w:hAnsi="Times New Roman"/>
                <w:sz w:val="18"/>
                <w:szCs w:val="18"/>
                <w:color w:val="0000FF"/>
              </w:rPr>
              <w:t xml:space="preserve">6 for the three months ended </w:t>
            </w:r>
            <w:r>
              <w:rPr>
                <w:rFonts w:ascii="Times New Roman" w:cs="Times New Roman" w:eastAsia="Times New Roman" w:hAnsi="Times New Roman"/>
                <w:sz w:val="18"/>
                <w:szCs w:val="18"/>
                <w:color w:val="0000FF"/>
                <w:highlight w:val="white"/>
              </w:rPr>
              <w:t>December 31, 2025.</w:t>
            </w:r>
          </w:p>
        </w:tc>
        <w:tc>
          <w:tcPr>
            <w:tcW w:w="0" w:type="dxa"/>
            <w:vAlign w:val="bottom"/>
          </w:tcPr>
          <w:p>
            <w:pPr>
              <w:spacing w:after="0"/>
              <w:rPr>
                <w:sz w:val="1"/>
                <w:szCs w:val="1"/>
                <w:color w:val="auto"/>
              </w:rPr>
            </w:pPr>
          </w:p>
        </w:tc>
      </w:tr>
      <w:tr>
        <w:trPr>
          <w:trHeight w:val="46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exhibit(s) may contain hypertext links to information on our website or other parties’ websites. The information on our website and other parties’ websites is not incorporated by reference into this Current Report on Form 8-K and does not constitute a part of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Limitation on Incorporation by Reference</w:t>
      </w:r>
      <w:r>
        <w:rPr>
          <w:rFonts w:ascii="Times New Roman" w:cs="Times New Roman" w:eastAsia="Times New Roman" w:hAnsi="Times New Roman"/>
          <w:sz w:val="18"/>
          <w:szCs w:val="18"/>
          <w:color w:val="auto"/>
        </w:rPr>
        <w:t>. 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1115695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February 23, 2026</w:t>
      </w:r>
      <w:r>
        <w:rPr>
          <w:sz w:val="20"/>
          <w:szCs w:val="20"/>
          <w:color w:val="auto"/>
        </w:rPr>
        <w:tab/>
      </w:r>
      <w:r>
        <w:rPr>
          <w:rFonts w:ascii="Times New Roman" w:cs="Times New Roman" w:eastAsia="Times New Roman" w:hAnsi="Times New Roman"/>
          <w:sz w:val="17"/>
          <w:szCs w:val="17"/>
          <w:color w:val="auto"/>
        </w:rPr>
        <w:t>/s/ Benjamin R.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Benjamin R. Wheeler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54610</wp:posOffset>
            </wp:positionV>
            <wp:extent cx="5863590"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Myriad Genetics Reports Fourth Quarter and Full-Year 2025 Financial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Reiterates 2026 Financial Guidance Reflecting Strengthened Execution</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314" w:lineRule="exact"/>
        <w:rPr>
          <w:sz w:val="20"/>
          <w:szCs w:val="20"/>
          <w:color w:val="auto"/>
        </w:rPr>
      </w:pPr>
    </w:p>
    <w:p>
      <w:pPr>
        <w:ind w:left="660" w:right="20" w:hanging="328"/>
        <w:spacing w:after="0" w:line="279" w:lineRule="auto"/>
        <w:tabs>
          <w:tab w:leader="none" w:pos="60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Fourth quarter 2025 revenue of $209.8 million was consistent with fourth quarter 2024 revenue, but grew 4% year-over-year when excluding the previously discussed headwind</w:t>
      </w:r>
      <w:r>
        <w:rPr>
          <w:rFonts w:ascii="Arial" w:cs="Arial" w:eastAsia="Arial" w:hAnsi="Arial"/>
          <w:sz w:val="28"/>
          <w:szCs w:val="28"/>
          <w:b w:val="1"/>
          <w:bCs w:val="1"/>
          <w:color w:val="auto"/>
          <w:vertAlign w:val="superscript"/>
        </w:rPr>
        <w:t>1</w:t>
      </w:r>
      <w:r>
        <w:rPr>
          <w:rFonts w:ascii="Arial" w:cs="Arial" w:eastAsia="Arial" w:hAnsi="Arial"/>
          <w:sz w:val="22"/>
          <w:szCs w:val="22"/>
          <w:b w:val="1"/>
          <w:bCs w:val="1"/>
          <w:color w:val="auto"/>
        </w:rPr>
        <w:t xml:space="preserve"> of $8.1 million.</w:t>
      </w:r>
    </w:p>
    <w:p>
      <w:pPr>
        <w:spacing w:after="0" w:line="1" w:lineRule="exact"/>
        <w:rPr>
          <w:rFonts w:ascii="Arial" w:cs="Arial" w:eastAsia="Arial" w:hAnsi="Arial"/>
          <w:sz w:val="22"/>
          <w:szCs w:val="22"/>
          <w:b w:val="1"/>
          <w:bCs w:val="1"/>
          <w:color w:val="auto"/>
        </w:rPr>
      </w:pPr>
    </w:p>
    <w:p>
      <w:pPr>
        <w:ind w:left="660" w:hanging="328"/>
        <w:spacing w:after="0" w:line="261" w:lineRule="auto"/>
        <w:tabs>
          <w:tab w:leader="none" w:pos="60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Full year 2025 revenue of $824.5 million decreased 2% year-over-year. Excluding headwinds</w:t>
      </w:r>
      <w:r>
        <w:rPr>
          <w:rFonts w:ascii="Arial" w:cs="Arial" w:eastAsia="Arial" w:hAnsi="Arial"/>
          <w:sz w:val="28"/>
          <w:szCs w:val="28"/>
          <w:b w:val="1"/>
          <w:bCs w:val="1"/>
          <w:color w:val="auto"/>
          <w:vertAlign w:val="superscript"/>
        </w:rPr>
        <w:t>2</w:t>
      </w:r>
      <w:r>
        <w:rPr>
          <w:rFonts w:ascii="Arial" w:cs="Arial" w:eastAsia="Arial" w:hAnsi="Arial"/>
          <w:sz w:val="22"/>
          <w:szCs w:val="22"/>
          <w:b w:val="1"/>
          <w:bCs w:val="1"/>
          <w:color w:val="auto"/>
        </w:rPr>
        <w:t>, full year 2025 revenue grew 2% year-over-year.</w:t>
      </w:r>
    </w:p>
    <w:p>
      <w:pPr>
        <w:ind w:left="660" w:hanging="328"/>
        <w:spacing w:after="0" w:line="307" w:lineRule="auto"/>
        <w:tabs>
          <w:tab w:leader="none" w:pos="60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Drivers of fourth quarter 2025 test volume growth year-over-year include Prolaris prostate cancer test at 12%, Hereditary cancer testing at 9%, and GeneSight at 9%.</w:t>
      </w:r>
    </w:p>
    <w:p>
      <w:pPr>
        <w:ind w:left="600" w:hanging="268"/>
        <w:spacing w:after="0"/>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Fourth quarter 2025 gross margin was 70.0% and in-line with third quarter 2025.</w:t>
      </w:r>
    </w:p>
    <w:p>
      <w:pPr>
        <w:spacing w:after="0" w:line="71" w:lineRule="exact"/>
        <w:rPr>
          <w:rFonts w:ascii="Arial" w:cs="Arial" w:eastAsia="Arial" w:hAnsi="Arial"/>
          <w:sz w:val="22"/>
          <w:szCs w:val="22"/>
          <w:b w:val="1"/>
          <w:bCs w:val="1"/>
          <w:color w:val="auto"/>
        </w:rPr>
      </w:pPr>
    </w:p>
    <w:p>
      <w:pPr>
        <w:ind w:left="660" w:hanging="328"/>
        <w:spacing w:after="0" w:line="349" w:lineRule="auto"/>
        <w:tabs>
          <w:tab w:leader="none" w:pos="60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Fourth quarter 2025 GAAP net loss of $7.9 million, or $0.08 per share, while adjusted EPS was $0.04 per share and adjusted EBITDA was $14.3 million.</w:t>
      </w:r>
    </w:p>
    <w:p>
      <w:pPr>
        <w:spacing w:after="0" w:line="160" w:lineRule="exact"/>
        <w:rPr>
          <w:sz w:val="20"/>
          <w:szCs w:val="20"/>
          <w:color w:val="auto"/>
        </w:rPr>
      </w:pPr>
    </w:p>
    <w:p>
      <w:pPr>
        <w:jc w:val="both"/>
        <w:spacing w:after="0" w:line="327" w:lineRule="auto"/>
        <w:rPr>
          <w:sz w:val="20"/>
          <w:szCs w:val="20"/>
          <w:color w:val="auto"/>
        </w:rPr>
      </w:pPr>
      <w:r>
        <w:rPr>
          <w:rFonts w:ascii="Arial" w:cs="Arial" w:eastAsia="Arial" w:hAnsi="Arial"/>
          <w:sz w:val="20"/>
          <w:szCs w:val="20"/>
          <w:b w:val="1"/>
          <w:bCs w:val="1"/>
          <w:color w:val="auto"/>
        </w:rPr>
        <w:t xml:space="preserve">SALT LAKE CITY, February 23, 2026 – </w:t>
      </w:r>
      <w:r>
        <w:rPr>
          <w:rFonts w:ascii="Arial" w:cs="Arial" w:eastAsia="Arial" w:hAnsi="Arial"/>
          <w:sz w:val="20"/>
          <w:szCs w:val="20"/>
          <w:color w:val="auto"/>
        </w:rPr>
        <w:t>Myriad Genetics, Inc. (NASDAQ: MYGN), a leader in molecular diagnostic testing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precision medicine, today announced financial results for its fourth quarter ended December 31, 2025, and reaffirmed its financial guidance on business performance for the full-year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82"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Arial" w:cs="Arial" w:eastAsia="Arial" w:hAnsi="Arial"/>
          <w:sz w:val="14"/>
          <w:szCs w:val="14"/>
          <w:color w:val="auto"/>
        </w:rPr>
        <w:t>Attributable to UNH discontinuation of coverage (commercial and managed Medicaid) of GeneSight.</w:t>
      </w:r>
    </w:p>
    <w:p>
      <w:pPr>
        <w:ind w:left="120" w:hanging="112"/>
        <w:spacing w:after="0" w:line="197"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Arial" w:cs="Arial" w:eastAsia="Arial" w:hAnsi="Arial"/>
          <w:sz w:val="14"/>
          <w:szCs w:val="14"/>
          <w:color w:val="auto"/>
        </w:rPr>
        <w:t>Attributable to UNH discontinuation of coverage (commercial and managed Medicaid) of GeneSight and the divestiture of the European EndoPredict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948" w:right="339" w:bottom="1440" w:gutter="0" w:footer="0" w:header="0"/>
        </w:sectPr>
      </w:pPr>
    </w:p>
    <w:bookmarkStart w:id="5" w:name="page6"/>
    <w:bookmarkEnd w:id="5"/>
    <w:p>
      <w:pPr>
        <w:jc w:val="both"/>
        <w:spacing w:after="0" w:line="313" w:lineRule="auto"/>
        <w:rPr>
          <w:sz w:val="20"/>
          <w:szCs w:val="20"/>
          <w:color w:val="auto"/>
        </w:rPr>
      </w:pPr>
      <w:r>
        <w:rPr>
          <w:rFonts w:ascii="Arial" w:cs="Arial" w:eastAsia="Arial" w:hAnsi="Arial"/>
          <w:sz w:val="20"/>
          <w:szCs w:val="20"/>
          <w:color w:val="auto"/>
        </w:rPr>
        <w:t>"We ended 2025 with positive momentum in a number of key areas, including within the Cancer Care Continuum where we drove another quarter of high single-digit volume growth in Hereditary cancer testing year-over-year and recognized improving volume growth for our Prolaris prostate cancer test. I'm also pleased to report improving volume growth in our GeneSight mental health test. We attribute this momentum to strengthened execution across the commercial team and the enterprise overall. Prenatal testing has been uneven through 2025 but we continue to make progress and expect growth to reaccelerate in the coming quarters,” said Sam Raha, President and CEO, of Myriad Genetics. “2026 is a milestone year for Myriad Genetics, with three significant new test launches, including Precise MRD, starting with a targeted alpha launch for breast cancer expected in March 2026, and full commercial launches of our AI-enabled Prolaris prostate cancer test in partnership with PATHOMIQ expected in the second quarter of 2026, and the multiple prenatal screen test, FirstGene, expected in the second half of 2026. We are looking forward to these tests supporting clinical decisions starting in 2026 and being important components of our growth in 2027 and beyond."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Operational Highlights</w:t>
      </w:r>
    </w:p>
    <w:p>
      <w:pPr>
        <w:spacing w:after="0" w:line="218" w:lineRule="exact"/>
        <w:rPr>
          <w:sz w:val="20"/>
          <w:szCs w:val="20"/>
          <w:color w:val="auto"/>
        </w:rPr>
      </w:pPr>
    </w:p>
    <w:p>
      <w:pPr>
        <w:ind w:left="600" w:hanging="26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Test volumes of 382,000 in the fourth quarter of 2025 increased 2% year-over-year.</w:t>
      </w:r>
    </w:p>
    <w:p>
      <w:pPr>
        <w:spacing w:after="0" w:line="67" w:lineRule="exact"/>
        <w:rPr>
          <w:rFonts w:ascii="Arial" w:cs="Arial" w:eastAsia="Arial" w:hAnsi="Arial"/>
          <w:sz w:val="20"/>
          <w:szCs w:val="20"/>
          <w:color w:val="auto"/>
        </w:rPr>
      </w:pPr>
    </w:p>
    <w:p>
      <w:pPr>
        <w:ind w:left="600" w:hanging="26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following table summarizes year-over-year testing volume changes in the company's core product categories:</w:t>
      </w:r>
    </w:p>
    <w:p>
      <w:pPr>
        <w:spacing w:after="0" w:line="79"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392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7"/>
                <w:szCs w:val="17"/>
                <w:color w:val="auto"/>
              </w:rPr>
            </w:pPr>
          </w:p>
        </w:tc>
        <w:tc>
          <w:tcPr>
            <w:tcW w:w="394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Twelve Months Ended December 31,</w:t>
            </w:r>
          </w:p>
        </w:tc>
      </w:tr>
      <w:tr>
        <w:trPr>
          <w:trHeight w:val="205"/>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1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Product volumes:</w:t>
            </w: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4"/>
        </w:trPr>
        <w:tc>
          <w:tcPr>
            <w:tcW w:w="3100" w:type="dxa"/>
            <w:vAlign w:val="bottom"/>
          </w:tcPr>
          <w:p>
            <w:pPr>
              <w:ind w:left="160"/>
              <w:spacing w:after="0"/>
              <w:rPr>
                <w:sz w:val="20"/>
                <w:szCs w:val="20"/>
                <w:color w:val="auto"/>
              </w:rPr>
            </w:pPr>
            <w:r>
              <w:rPr>
                <w:rFonts w:ascii="Arial" w:cs="Arial" w:eastAsia="Arial" w:hAnsi="Arial"/>
                <w:sz w:val="14"/>
                <w:szCs w:val="14"/>
                <w:color w:val="auto"/>
              </w:rPr>
              <w:t>Hereditary cancer</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294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7 %</w:t>
            </w:r>
          </w:p>
        </w:tc>
      </w:tr>
      <w:tr>
        <w:trPr>
          <w:trHeight w:val="22"/>
        </w:trPr>
        <w:tc>
          <w:tcPr>
            <w:tcW w:w="3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Tumor profiling</w:t>
            </w:r>
            <w:r>
              <w:rPr>
                <w:rFonts w:ascii="Arial" w:cs="Arial" w:eastAsia="Arial" w:hAnsi="Arial"/>
                <w:sz w:val="18"/>
                <w:szCs w:val="18"/>
                <w:color w:val="auto"/>
                <w:vertAlign w:val="superscript"/>
              </w:rPr>
              <w:t>(1)</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5"/>
        </w:trPr>
        <w:tc>
          <w:tcPr>
            <w:tcW w:w="3100" w:type="dxa"/>
            <w:vAlign w:val="bottom"/>
          </w:tcPr>
          <w:p>
            <w:pPr>
              <w:ind w:left="160"/>
              <w:spacing w:after="0"/>
              <w:rPr>
                <w:sz w:val="20"/>
                <w:szCs w:val="20"/>
                <w:color w:val="auto"/>
              </w:rPr>
            </w:pPr>
            <w:r>
              <w:rPr>
                <w:rFonts w:ascii="Arial" w:cs="Arial" w:eastAsia="Arial" w:hAnsi="Arial"/>
                <w:sz w:val="14"/>
                <w:szCs w:val="14"/>
                <w:color w:val="auto"/>
              </w:rPr>
              <w:t>Prenatal</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666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w:t>
            </w:r>
          </w:p>
        </w:tc>
      </w:tr>
      <w:tr>
        <w:trPr>
          <w:trHeight w:val="21"/>
        </w:trPr>
        <w:tc>
          <w:tcPr>
            <w:tcW w:w="3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Mental Health</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8"/>
        </w:trPr>
        <w:tc>
          <w:tcPr>
            <w:tcW w:w="3100" w:type="dxa"/>
            <w:vAlign w:val="bottom"/>
          </w:tcPr>
          <w:p>
            <w:pPr>
              <w:ind w:left="160"/>
              <w:spacing w:after="0"/>
              <w:rPr>
                <w:sz w:val="20"/>
                <w:szCs w:val="20"/>
                <w:color w:val="auto"/>
              </w:rPr>
            </w:pPr>
            <w:r>
              <w:rPr>
                <w:rFonts w:ascii="Arial" w:cs="Arial" w:eastAsia="Arial" w:hAnsi="Arial"/>
                <w:sz w:val="14"/>
                <w:szCs w:val="14"/>
                <w:color w:val="auto"/>
              </w:rPr>
              <w:t>Total</w:t>
            </w: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1,520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1 %</w:t>
            </w:r>
          </w:p>
        </w:tc>
      </w:tr>
    </w:tbl>
    <w:p>
      <w:pPr>
        <w:spacing w:after="0" w:line="188" w:lineRule="exact"/>
        <w:rPr>
          <w:sz w:val="20"/>
          <w:szCs w:val="20"/>
          <w:color w:val="auto"/>
        </w:rPr>
      </w:pPr>
    </w:p>
    <w:p>
      <w:pPr>
        <w:ind w:left="120" w:right="120" w:hanging="6"/>
        <w:spacing w:after="0" w:line="285"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Tumor Profiling decreased for the twelve months ended December 31, 2025 compared to the same period in the prior year due primarily to a decrease in testing volume for EndoPredict due to the sale of the company's international EndoPredict business in August 2024.</w:t>
      </w:r>
    </w:p>
    <w:p>
      <w:pPr>
        <w:spacing w:after="0" w:line="348" w:lineRule="exact"/>
        <w:rPr>
          <w:sz w:val="20"/>
          <w:szCs w:val="20"/>
          <w:color w:val="auto"/>
        </w:rPr>
      </w:pPr>
    </w:p>
    <w:p>
      <w:pPr>
        <w:ind w:left="600" w:hanging="268"/>
        <w:spacing w:after="0"/>
        <w:tabs>
          <w:tab w:leader="none" w:pos="6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following table summarizes year-over-year revenue changes in the company's core product categories:</w:t>
      </w:r>
    </w:p>
    <w:p>
      <w:pPr>
        <w:spacing w:after="0" w:line="79"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Twelve Months Ended December 31,</w:t>
            </w:r>
          </w:p>
        </w:tc>
      </w:tr>
      <w:tr>
        <w:trPr>
          <w:trHeight w:val="205"/>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1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Product revenues:</w:t>
            </w: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4"/>
        </w:trPr>
        <w:tc>
          <w:tcPr>
            <w:tcW w:w="3100" w:type="dxa"/>
            <w:vAlign w:val="bottom"/>
          </w:tcPr>
          <w:p>
            <w:pPr>
              <w:ind w:left="160"/>
              <w:spacing w:after="0"/>
              <w:rPr>
                <w:sz w:val="20"/>
                <w:szCs w:val="20"/>
                <w:color w:val="auto"/>
              </w:rPr>
            </w:pPr>
            <w:r>
              <w:rPr>
                <w:rFonts w:ascii="Arial" w:cs="Arial" w:eastAsia="Arial" w:hAnsi="Arial"/>
                <w:sz w:val="14"/>
                <w:szCs w:val="14"/>
                <w:color w:val="auto"/>
              </w:rPr>
              <w:t>Hereditary cancer</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94.3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372.4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364.5</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2 %</w:t>
            </w:r>
          </w:p>
        </w:tc>
      </w:tr>
      <w:tr>
        <w:trPr>
          <w:trHeight w:val="22"/>
        </w:trPr>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Tumor profiling</w:t>
            </w:r>
            <w:r>
              <w:rPr>
                <w:rFonts w:ascii="Arial" w:cs="Arial" w:eastAsia="Arial" w:hAnsi="Arial"/>
                <w:sz w:val="9"/>
                <w:szCs w:val="9"/>
                <w:color w:val="auto"/>
              </w:rPr>
              <w:t>(1)</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4"/>
        </w:trPr>
        <w:tc>
          <w:tcPr>
            <w:tcW w:w="3100" w:type="dxa"/>
            <w:vAlign w:val="bottom"/>
          </w:tcPr>
          <w:p>
            <w:pPr>
              <w:ind w:left="160"/>
              <w:spacing w:after="0"/>
              <w:rPr>
                <w:sz w:val="20"/>
                <w:szCs w:val="20"/>
                <w:color w:val="auto"/>
              </w:rPr>
            </w:pPr>
            <w:r>
              <w:rPr>
                <w:rFonts w:ascii="Arial" w:cs="Arial" w:eastAsia="Arial" w:hAnsi="Arial"/>
                <w:sz w:val="14"/>
                <w:szCs w:val="14"/>
                <w:color w:val="auto"/>
              </w:rPr>
              <w:t>Prenatal</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177.1</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5 %</w:t>
            </w:r>
          </w:p>
        </w:tc>
      </w:tr>
      <w:tr>
        <w:trPr>
          <w:trHeight w:val="22"/>
        </w:trPr>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Mental Health</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144.1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8"/>
        </w:trPr>
        <w:tc>
          <w:tcPr>
            <w:tcW w:w="3100" w:type="dxa"/>
            <w:vAlign w:val="bottom"/>
          </w:tcPr>
          <w:p>
            <w:pPr>
              <w:ind w:left="16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210.6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824.5</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837.6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w:t>
            </w:r>
          </w:p>
        </w:tc>
      </w:tr>
    </w:tbl>
    <w:p>
      <w:pPr>
        <w:spacing w:after="0" w:line="188" w:lineRule="exact"/>
        <w:rPr>
          <w:sz w:val="20"/>
          <w:szCs w:val="20"/>
          <w:color w:val="auto"/>
        </w:rPr>
      </w:pPr>
    </w:p>
    <w:p>
      <w:pPr>
        <w:ind w:left="120" w:right="120" w:hanging="6"/>
        <w:spacing w:after="0" w:line="264"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Tumor Profiling decreased for the twelve months ended December 31, 2025 compared to the same period in the prior year due primarily to a decrease in testing volume for EndoPredict due to the sale of the company's international EndoPredict business in August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928" w:right="339" w:bottom="1440" w:gutter="0" w:footer="0" w:header="0"/>
        </w:sectPr>
      </w:pPr>
    </w:p>
    <w:bookmarkStart w:id="6" w:name="page7"/>
    <w:bookmarkEnd w:id="6"/>
    <w:p>
      <w:pPr>
        <w:jc w:val="both"/>
        <w:ind w:left="660" w:hanging="328"/>
        <w:spacing w:after="0" w:line="309" w:lineRule="auto"/>
        <w:tabs>
          <w:tab w:leader="none" w:pos="608" w:val="left"/>
        </w:tabs>
        <w:numPr>
          <w:ilvl w:val="0"/>
          <w:numId w:val="9"/>
        </w:numPr>
        <w:rPr>
          <w:rFonts w:ascii="Arial" w:cs="Arial" w:eastAsia="Arial" w:hAnsi="Arial"/>
          <w:sz w:val="20"/>
          <w:szCs w:val="20"/>
          <w:color w:val="auto"/>
        </w:rPr>
      </w:pPr>
      <w:r>
        <w:rPr>
          <w:rFonts w:ascii="Arial" w:cs="Arial" w:eastAsia="Arial" w:hAnsi="Arial"/>
          <w:sz w:val="20"/>
          <w:szCs w:val="20"/>
          <w:color w:val="auto"/>
        </w:rPr>
        <w:t>Operating expenses in the fourth quarter of 2025 were $152.5 million, decreasing $37.4 million year-over-year. Adjusted operating expenses in the fourth quarter of 2025 decreased $7.0 million year-over-year to $139.0 million, reflecting the company's commitment to disciplined cost management while maintaining investments in key strategic areas.</w:t>
      </w:r>
    </w:p>
    <w:p>
      <w:pPr>
        <w:spacing w:after="0" w:line="2" w:lineRule="exact"/>
        <w:rPr>
          <w:rFonts w:ascii="Arial" w:cs="Arial" w:eastAsia="Arial" w:hAnsi="Arial"/>
          <w:sz w:val="20"/>
          <w:szCs w:val="20"/>
          <w:color w:val="auto"/>
        </w:rPr>
      </w:pPr>
    </w:p>
    <w:p>
      <w:pPr>
        <w:ind w:left="600" w:hanging="268"/>
        <w:spacing w:after="0"/>
        <w:tabs>
          <w:tab w:leader="none" w:pos="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Operating loss in the fourth quarter of 2025 was $5.7 million.</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177"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Fourth quarter 2025 cash flow provided by operations was $10.6 million; adjusted operating cash flow in the fourth quarter of 2025 was $17.9 million. Capital expenditures and capitalization of internal use software costs totaled $6.0 million in the fourth quarter 2025 resulting in adjusted free cash flow of $11.9 million in the fourth quarter of 2025.</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As of the end of the fourth quarter of 2025, the company had cash and cash equivalents of $149.6 million.</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Performance and Highlights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Oncology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Oncology business delivered revenue of $84.7 million in the fourth quarter of 2025.</w:t>
      </w:r>
    </w:p>
    <w:p>
      <w:pPr>
        <w:spacing w:after="0" w:line="67" w:lineRule="exact"/>
        <w:rPr>
          <w:sz w:val="20"/>
          <w:szCs w:val="20"/>
          <w:color w:val="auto"/>
        </w:rPr>
      </w:pPr>
    </w:p>
    <w:p>
      <w:pPr>
        <w:ind w:left="660" w:hanging="328"/>
        <w:spacing w:after="0" w:line="309" w:lineRule="auto"/>
        <w:tabs>
          <w:tab w:leader="none" w:pos="608"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Fourth quarter 2025 hereditary cancer testing revenue in Oncology increased 2% year-over-year driven by a 9% year-over-year increase in volume.</w:t>
      </w:r>
    </w:p>
    <w:p>
      <w:pPr>
        <w:spacing w:after="0" w:line="1" w:lineRule="exact"/>
        <w:rPr>
          <w:rFonts w:ascii="Arial" w:cs="Arial" w:eastAsia="Arial" w:hAnsi="Arial"/>
          <w:sz w:val="20"/>
          <w:szCs w:val="20"/>
          <w:color w:val="auto"/>
        </w:rPr>
      </w:pPr>
    </w:p>
    <w:p>
      <w:pPr>
        <w:jc w:val="both"/>
        <w:ind w:left="660" w:hanging="328"/>
        <w:spacing w:after="0" w:line="309" w:lineRule="auto"/>
        <w:tabs>
          <w:tab w:leader="none" w:pos="608"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Fourth quarter 2025 Prolaris testing revenue grew 16% year-over-year. The company continues to make progress and intends to commercially launch its first AI-enabled prostate cancer test, in partnership with PATHOMIQ, in the first half of 2026.</w:t>
      </w:r>
    </w:p>
    <w:p>
      <w:pPr>
        <w:spacing w:after="0" w:line="2" w:lineRule="exact"/>
        <w:rPr>
          <w:rFonts w:ascii="Arial" w:cs="Arial" w:eastAsia="Arial" w:hAnsi="Arial"/>
          <w:sz w:val="20"/>
          <w:szCs w:val="20"/>
          <w:color w:val="auto"/>
        </w:rPr>
      </w:pPr>
    </w:p>
    <w:p>
      <w:pPr>
        <w:jc w:val="both"/>
        <w:ind w:left="660" w:hanging="328"/>
        <w:spacing w:after="0" w:line="309" w:lineRule="auto"/>
        <w:tabs>
          <w:tab w:leader="none" w:pos="60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advanced personalized breast cancer risk assessment through the launch of the first integrated AI and genetic risk platform, developed in partnership with Clairity and MagView. The company believes this solution enhances its leadership in precision breast health.</w:t>
      </w:r>
    </w:p>
    <w:p>
      <w:pPr>
        <w:spacing w:after="0" w:line="2" w:lineRule="exact"/>
        <w:rPr>
          <w:rFonts w:ascii="Arial" w:cs="Arial" w:eastAsia="Arial" w:hAnsi="Arial"/>
          <w:sz w:val="20"/>
          <w:szCs w:val="20"/>
          <w:color w:val="auto"/>
        </w:rPr>
      </w:pPr>
    </w:p>
    <w:p>
      <w:pPr>
        <w:jc w:val="both"/>
        <w:ind w:left="660" w:hanging="328"/>
        <w:spacing w:after="0" w:line="326" w:lineRule="auto"/>
        <w:tabs>
          <w:tab w:leader="none" w:pos="608"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company showcased nine new oncology and Molecular Residual Disease (MRD) research abstracts at the 2025 San Antonio Breast Cancer Symposium, highlighting continued progress in its precision oncology pipeline. The company believes these data reinforce the scientific strength behind the company's MRD and hereditary cancer programs and underscore Myriad Genetics’ commitment to advancing clinically meaningful innovations for patients and providers.</w:t>
      </w:r>
    </w:p>
    <w:p>
      <w:pPr>
        <w:jc w:val="both"/>
        <w:ind w:left="660" w:hanging="328"/>
        <w:spacing w:after="0" w:line="318" w:lineRule="auto"/>
        <w:tabs>
          <w:tab w:leader="none" w:pos="608"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January 2026, at the 2026 American Society of Clinical Oncology (ASCO) Gastrointestinal Cancers Symposium, collaborators from the National Cancer Center Hospital East in Japan reported positive interim key outcomes from MONSTAR-SCREEN-3, a multi-center, prospective study of patients with resectable Stage I-IV colorectal cancer that incorporates Precise MRD. These outcomes include 100% baseline sensitivity and highly sensitive detection of residual disease post-surgery.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71"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Women’s Health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Women’s Health business delivered revenue of $88.5 million in the fourth quarter of 2025.</w:t>
      </w:r>
    </w:p>
    <w:p>
      <w:pPr>
        <w:spacing w:after="0" w:line="67" w:lineRule="exact"/>
        <w:rPr>
          <w:sz w:val="20"/>
          <w:szCs w:val="20"/>
          <w:color w:val="auto"/>
        </w:rPr>
      </w:pPr>
    </w:p>
    <w:p>
      <w:pPr>
        <w:jc w:val="both"/>
        <w:ind w:left="660" w:hanging="328"/>
        <w:spacing w:after="0" w:line="309" w:lineRule="auto"/>
        <w:tabs>
          <w:tab w:leader="none" w:pos="608"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Fourth quarter 2025 hereditary cancer testing revenue and volume for the unaffected population increased 3% and 11% year-over-year, respectively, demonstrating progress with implementing the company's electronic medical records (EMR) solutions and breast cancer risk assessment programs.</w:t>
      </w:r>
    </w:p>
    <w:p>
      <w:pPr>
        <w:spacing w:after="0" w:line="2" w:lineRule="exact"/>
        <w:rPr>
          <w:rFonts w:ascii="Arial" w:cs="Arial" w:eastAsia="Arial" w:hAnsi="Arial"/>
          <w:sz w:val="20"/>
          <w:szCs w:val="20"/>
          <w:color w:val="auto"/>
        </w:rPr>
      </w:pPr>
    </w:p>
    <w:p>
      <w:pPr>
        <w:jc w:val="both"/>
        <w:ind w:left="660" w:hanging="328"/>
        <w:spacing w:after="0" w:line="309" w:lineRule="auto"/>
        <w:tabs>
          <w:tab w:leader="none" w:pos="608"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Prenatal testing revenue in the fourth quarter of 2025 was stable year-over-year, while volume decreased 6% year-over-year reflecting transition dynamics following the second quarter 2025 implementation of the company's new order management system.</w:t>
      </w:r>
    </w:p>
    <w:p>
      <w:pPr>
        <w:spacing w:after="0" w:line="2" w:lineRule="exact"/>
        <w:rPr>
          <w:rFonts w:ascii="Arial" w:cs="Arial" w:eastAsia="Arial" w:hAnsi="Arial"/>
          <w:sz w:val="20"/>
          <w:szCs w:val="20"/>
          <w:color w:val="auto"/>
        </w:rPr>
      </w:pPr>
    </w:p>
    <w:p>
      <w:pPr>
        <w:jc w:val="both"/>
        <w:ind w:left="660" w:hanging="328"/>
        <w:spacing w:after="0" w:line="326" w:lineRule="auto"/>
        <w:tabs>
          <w:tab w:leader="none" w:pos="60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multi-site CONNECTOR study, using the company's FirstGene Multiple Prenatal Screen, continues to see meaningful progress in enrollment and the Company expects this study to support future commercial launch activities and expand capabilities in prenatal testing.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Mental Health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GeneSight test revenue was $36.6 million in the fourth quarter of 2025.</w:t>
      </w:r>
    </w:p>
    <w:p>
      <w:pPr>
        <w:spacing w:after="0" w:line="67" w:lineRule="exact"/>
        <w:rPr>
          <w:sz w:val="20"/>
          <w:szCs w:val="20"/>
          <w:color w:val="auto"/>
        </w:rPr>
      </w:pPr>
    </w:p>
    <w:p>
      <w:pPr>
        <w:ind w:left="660" w:hanging="328"/>
        <w:spacing w:after="0" w:line="309" w:lineRule="auto"/>
        <w:tabs>
          <w:tab w:leader="none" w:pos="608"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Fourth quarter 2025 revenue continues to reflect the impact of UnitedHealthcare's discontinuation of coverage of multi-gene panel pharmacogenetic testing, including GeneSight, effective in the first quarter of 2025.</w:t>
      </w:r>
    </w:p>
    <w:p>
      <w:pPr>
        <w:spacing w:after="0" w:line="1" w:lineRule="exact"/>
        <w:rPr>
          <w:rFonts w:ascii="Arial" w:cs="Arial" w:eastAsia="Arial" w:hAnsi="Arial"/>
          <w:sz w:val="20"/>
          <w:szCs w:val="20"/>
          <w:color w:val="auto"/>
        </w:rPr>
      </w:pPr>
    </w:p>
    <w:p>
      <w:pPr>
        <w:ind w:left="660" w:right="20" w:hanging="328"/>
        <w:spacing w:after="0" w:line="342" w:lineRule="auto"/>
        <w:tabs>
          <w:tab w:leader="none" w:pos="608" w:val="left"/>
        </w:tabs>
        <w:numPr>
          <w:ilvl w:val="0"/>
          <w:numId w:val="12"/>
        </w:numPr>
        <w:rPr>
          <w:rFonts w:ascii="Arial" w:cs="Arial" w:eastAsia="Arial" w:hAnsi="Arial"/>
          <w:sz w:val="20"/>
          <w:szCs w:val="20"/>
          <w:color w:val="auto"/>
        </w:rPr>
      </w:pPr>
      <w:r>
        <w:rPr>
          <w:rFonts w:ascii="Arial" w:cs="Arial" w:eastAsia="Arial" w:hAnsi="Arial"/>
          <w:sz w:val="20"/>
          <w:szCs w:val="20"/>
          <w:color w:val="auto"/>
        </w:rPr>
        <w:t>GeneSight test volume in the fourth quarter of 2025 grew 9% year-over-year, reflecting ongoing improvement in the year-over-year volume growth through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92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Financial Guidance</w:t>
      </w:r>
    </w:p>
    <w:p>
      <w:pPr>
        <w:spacing w:after="0" w:line="17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Myriad Genetics does not provide forward-looking guidance in accordance with accounting principles generally accepted in the United States (GAAP) for the measures on which it provides forward-looking non-GAAP guidance as the company is unable to provide a quantitative reconciliation of forward-looking non-GAAP measures to the most directly comparable forward-looking GAAP measure,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strategic realignment, certain litigation charges and loss contingencies, costs related to acquisitions/divestitures and the related amortization, impairment and related charges, depreciation, equity compensation, tax benefits, and other adjustments. For example, stock-based compensation may fluctuate based on the timing of employee stock transactions and unpredictable fluctuations in the company's stock price. Any associated estimate of these items and their impact on GAAP performance could vary materially.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Below is a table summarizing Myriad Genetics' full-year 2026 financial guidance*:</w:t>
      </w:r>
    </w:p>
    <w:p>
      <w:pPr>
        <w:spacing w:after="0" w:line="75" w:lineRule="exact"/>
        <w:rPr>
          <w:sz w:val="20"/>
          <w:szCs w:val="20"/>
          <w:color w:val="auto"/>
        </w:rPr>
      </w:pPr>
    </w:p>
    <w:p>
      <w:pPr>
        <w:ind w:left="1320"/>
        <w:spacing w:after="0"/>
        <w:tabs>
          <w:tab w:leader="none" w:pos="4060" w:val="left"/>
          <w:tab w:leader="none" w:pos="7240" w:val="left"/>
        </w:tabs>
        <w:rPr>
          <w:sz w:val="20"/>
          <w:szCs w:val="20"/>
          <w:color w:val="auto"/>
        </w:rPr>
      </w:pPr>
      <w:r>
        <w:rPr>
          <w:rFonts w:ascii="Arial" w:cs="Arial" w:eastAsia="Arial" w:hAnsi="Arial"/>
          <w:sz w:val="14"/>
          <w:szCs w:val="14"/>
          <w:i w:val="1"/>
          <w:iCs w:val="1"/>
          <w:color w:val="auto"/>
        </w:rPr>
        <w:t>(in millions, except percentages)</w:t>
      </w:r>
      <w:r>
        <w:rPr>
          <w:sz w:val="20"/>
          <w:szCs w:val="20"/>
          <w:color w:val="auto"/>
        </w:rPr>
        <w:tab/>
      </w:r>
      <w:r>
        <w:rPr>
          <w:rFonts w:ascii="Arial" w:cs="Arial" w:eastAsia="Arial" w:hAnsi="Arial"/>
          <w:sz w:val="16"/>
          <w:szCs w:val="16"/>
          <w:b w:val="1"/>
          <w:bCs w:val="1"/>
          <w:color w:val="auto"/>
        </w:rPr>
        <w:t>2026 Guidance</w:t>
      </w:r>
      <w:r>
        <w:rPr>
          <w:sz w:val="20"/>
          <w:szCs w:val="20"/>
          <w:color w:val="auto"/>
        </w:rPr>
        <w:tab/>
      </w:r>
      <w:r>
        <w:rPr>
          <w:rFonts w:ascii="Arial" w:cs="Arial" w:eastAsia="Arial" w:hAnsi="Arial"/>
          <w:sz w:val="16"/>
          <w:szCs w:val="16"/>
          <w:b w:val="1"/>
          <w:bCs w:val="1"/>
          <w:color w:val="auto"/>
        </w:rPr>
        <w:t>FY 2026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20955</wp:posOffset>
            </wp:positionV>
            <wp:extent cx="4149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2720" w:type="dxa"/>
            <w:vAlign w:val="bottom"/>
          </w:tcPr>
          <w:p>
            <w:pPr>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spacing w:after="0"/>
              <w:rPr>
                <w:sz w:val="20"/>
                <w:szCs w:val="20"/>
                <w:color w:val="auto"/>
              </w:rPr>
            </w:pPr>
            <w:r>
              <w:rPr>
                <w:rFonts w:ascii="Arial" w:cs="Arial" w:eastAsia="Arial" w:hAnsi="Arial"/>
                <w:sz w:val="18"/>
                <w:szCs w:val="18"/>
                <w:color w:val="auto"/>
              </w:rPr>
              <w:t>$860</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 $880</w:t>
            </w:r>
          </w:p>
        </w:tc>
      </w:tr>
      <w:tr>
        <w:trPr>
          <w:trHeight w:val="891"/>
        </w:trPr>
        <w:tc>
          <w:tcPr>
            <w:tcW w:w="2720" w:type="dxa"/>
            <w:vAlign w:val="bottom"/>
          </w:tcPr>
          <w:p>
            <w:pPr>
              <w:spacing w:after="0"/>
              <w:rPr>
                <w:sz w:val="20"/>
                <w:szCs w:val="20"/>
                <w:color w:val="auto"/>
              </w:rPr>
            </w:pPr>
            <w:r>
              <w:rPr>
                <w:rFonts w:ascii="Arial" w:cs="Arial" w:eastAsia="Arial" w:hAnsi="Arial"/>
                <w:sz w:val="18"/>
                <w:szCs w:val="18"/>
                <w:color w:val="auto"/>
              </w:rPr>
              <w:t>Adjusted Gross Margin %**</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540" w:type="dxa"/>
            <w:vAlign w:val="bottom"/>
          </w:tcPr>
          <w:p>
            <w:pPr>
              <w:ind w:left="20"/>
              <w:spacing w:after="0"/>
              <w:rPr>
                <w:sz w:val="20"/>
                <w:szCs w:val="20"/>
                <w:color w:val="auto"/>
              </w:rPr>
            </w:pPr>
            <w:r>
              <w:rPr>
                <w:rFonts w:ascii="Arial" w:cs="Arial" w:eastAsia="Arial" w:hAnsi="Arial"/>
                <w:sz w:val="18"/>
                <w:szCs w:val="18"/>
                <w:color w:val="auto"/>
              </w:rPr>
              <w:t>- 69%</w:t>
            </w:r>
          </w:p>
        </w:tc>
      </w:tr>
      <w:tr>
        <w:trPr>
          <w:trHeight w:val="351"/>
        </w:trPr>
        <w:tc>
          <w:tcPr>
            <w:tcW w:w="2720" w:type="dxa"/>
            <w:vAlign w:val="bottom"/>
          </w:tcPr>
          <w:p>
            <w:pPr>
              <w:spacing w:after="0"/>
              <w:rPr>
                <w:sz w:val="20"/>
                <w:szCs w:val="20"/>
                <w:color w:val="auto"/>
              </w:rPr>
            </w:pPr>
            <w:r>
              <w:rPr>
                <w:rFonts w:ascii="Arial" w:cs="Arial" w:eastAsia="Arial" w:hAnsi="Arial"/>
                <w:sz w:val="18"/>
                <w:szCs w:val="18"/>
                <w:color w:val="auto"/>
              </w:rPr>
              <w:t>Adjusted EBITDA***</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tcPr>
          <w:p>
            <w:pPr>
              <w:ind w:left="20"/>
              <w:spacing w:after="0"/>
              <w:rPr>
                <w:sz w:val="20"/>
                <w:szCs w:val="20"/>
                <w:color w:val="auto"/>
              </w:rPr>
            </w:pPr>
            <w:r>
              <w:rPr>
                <w:rFonts w:ascii="Arial" w:cs="Arial" w:eastAsia="Arial" w:hAnsi="Arial"/>
                <w:sz w:val="18"/>
                <w:szCs w:val="18"/>
                <w:color w:val="auto"/>
              </w:rPr>
              <w:t>- $49</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920"/>
        <w:spacing w:after="0" w:line="221" w:lineRule="auto"/>
        <w:rPr>
          <w:sz w:val="20"/>
          <w:szCs w:val="20"/>
          <w:color w:val="auto"/>
        </w:rPr>
      </w:pPr>
      <w:r>
        <w:rPr>
          <w:rFonts w:ascii="Arial" w:cs="Arial" w:eastAsia="Arial" w:hAnsi="Arial"/>
          <w:sz w:val="18"/>
          <w:szCs w:val="18"/>
          <w:color w:val="auto"/>
        </w:rPr>
        <w:t>Reiterate the full year 2026 revenue range. Q1’26 revenue is expected to be between $200 and $203 million, or 2%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-238125</wp:posOffset>
            </wp:positionV>
            <wp:extent cx="6035040" cy="87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5040" cy="874395"/>
                    </a:xfrm>
                    <a:prstGeom prst="rect">
                      <a:avLst/>
                    </a:prstGeom>
                    <a:noFill/>
                  </pic:spPr>
                </pic:pic>
              </a:graphicData>
            </a:graphic>
          </wp:anchor>
        </w:drawing>
      </w:r>
    </w:p>
    <w:p>
      <w:pPr>
        <w:jc w:val="both"/>
        <w:ind w:right="1380"/>
        <w:spacing w:after="0" w:line="221" w:lineRule="auto"/>
        <w:rPr>
          <w:sz w:val="20"/>
          <w:szCs w:val="20"/>
          <w:color w:val="auto"/>
        </w:rPr>
      </w:pPr>
      <w:r>
        <w:rPr>
          <w:rFonts w:ascii="Arial" w:cs="Arial" w:eastAsia="Arial" w:hAnsi="Arial"/>
          <w:sz w:val="18"/>
          <w:szCs w:val="18"/>
          <w:color w:val="auto"/>
        </w:rPr>
        <w:t>4% growth over Q1'25. This reflects current business trends offset by an unfavorable YOY comparison for Prenatal testing.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Expect 2H’26 revenue to be greater than 1H’26</w:t>
      </w:r>
    </w:p>
    <w:p>
      <w:pPr>
        <w:spacing w:after="0" w:line="32" w:lineRule="exact"/>
        <w:rPr>
          <w:sz w:val="20"/>
          <w:szCs w:val="20"/>
          <w:color w:val="auto"/>
        </w:rPr>
      </w:pPr>
    </w:p>
    <w:p>
      <w:pPr>
        <w:ind w:right="1280"/>
        <w:spacing w:after="0" w:line="234" w:lineRule="auto"/>
        <w:rPr>
          <w:sz w:val="20"/>
          <w:szCs w:val="20"/>
          <w:color w:val="auto"/>
        </w:rPr>
      </w:pPr>
      <w:r>
        <w:rPr>
          <w:rFonts w:ascii="Arial" w:cs="Arial" w:eastAsia="Arial" w:hAnsi="Arial"/>
          <w:sz w:val="18"/>
          <w:szCs w:val="18"/>
          <w:color w:val="auto"/>
        </w:rPr>
        <w:t>Gross margins expected to fluctuate quarter to quarter given product mix and pricing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6985</wp:posOffset>
            </wp:positionV>
            <wp:extent cx="603504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504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Q1’26 adjusted EBITDA is expected to be near breakeven</w:t>
      </w:r>
    </w:p>
    <w:p>
      <w:pPr>
        <w:spacing w:after="0" w:line="99" w:lineRule="exact"/>
        <w:rPr>
          <w:sz w:val="20"/>
          <w:szCs w:val="20"/>
          <w:color w:val="auto"/>
        </w:rPr>
      </w:pPr>
    </w:p>
    <w:p>
      <w:pPr>
        <w:sectPr>
          <w:pgSz w:w="11900" w:h="16838" w:orient="portrait"/>
          <w:cols w:equalWidth="0" w:num="2">
            <w:col w:w="5140" w:space="500"/>
            <w:col w:w="5600"/>
          </w:cols>
          <w:pgMar w:left="320" w:top="926" w:right="339" w:bottom="1440" w:gutter="0" w:footer="0" w:header="0"/>
          <w:type w:val="continuous"/>
        </w:sectPr>
      </w:pPr>
    </w:p>
    <w:p>
      <w:pPr>
        <w:ind w:left="1520" w:hanging="486"/>
        <w:spacing w:after="0"/>
        <w:tabs>
          <w:tab w:leader="none" w:pos="1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Assumes currency rates as of February 23, 2026.</w:t>
      </w:r>
    </w:p>
    <w:p>
      <w:pPr>
        <w:spacing w:after="0" w:line="55" w:lineRule="exact"/>
        <w:rPr>
          <w:sz w:val="20"/>
          <w:szCs w:val="20"/>
          <w:color w:val="auto"/>
        </w:rPr>
      </w:pPr>
    </w:p>
    <w:p>
      <w:pPr>
        <w:ind w:left="1520" w:right="940" w:hanging="486"/>
        <w:spacing w:after="0" w:line="281" w:lineRule="auto"/>
        <w:tabs>
          <w:tab w:leader="none" w:pos="1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Gross Margin is defined as Gross Margin plus non-cash cost of sales, such as amortization of intangible assets and share-based compensation expense, and non-recurring one-time expenses.</w:t>
      </w:r>
    </w:p>
    <w:p>
      <w:pPr>
        <w:spacing w:after="0" w:line="1" w:lineRule="exact"/>
        <w:rPr>
          <w:rFonts w:ascii="Arial" w:cs="Arial" w:eastAsia="Arial" w:hAnsi="Arial"/>
          <w:sz w:val="14"/>
          <w:szCs w:val="14"/>
          <w:color w:val="auto"/>
        </w:rPr>
      </w:pPr>
    </w:p>
    <w:p>
      <w:pPr>
        <w:ind w:left="1520" w:right="1180" w:hanging="486"/>
        <w:spacing w:after="0" w:line="263" w:lineRule="auto"/>
        <w:tabs>
          <w:tab w:leader="none" w:pos="1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Adjusted EBITDA is defined as Net income (loss) plus income tax expense (benefit), total other income (expense), non-cash operating expenses, such as amortization of intangible assets, depreciation, impairment of long-lived assets, and share-based compensation expense, and one-time expenses such as expenses from strategic realignment, legal settlements, and divestitures and acquisitions.</w:t>
      </w:r>
    </w:p>
    <w:p>
      <w:pPr>
        <w:spacing w:after="0" w:line="120" w:lineRule="exact"/>
        <w:rPr>
          <w:sz w:val="20"/>
          <w:szCs w:val="20"/>
          <w:color w:val="auto"/>
        </w:rPr>
      </w:pPr>
    </w:p>
    <w:p>
      <w:pPr>
        <w:ind w:right="280"/>
        <w:spacing w:after="0" w:line="342" w:lineRule="auto"/>
        <w:rPr>
          <w:sz w:val="20"/>
          <w:szCs w:val="20"/>
          <w:color w:val="auto"/>
        </w:rPr>
      </w:pPr>
      <w:r>
        <w:rPr>
          <w:rFonts w:ascii="Arial" w:cs="Arial" w:eastAsia="Arial" w:hAnsi="Arial"/>
          <w:sz w:val="20"/>
          <w:szCs w:val="20"/>
          <w:color w:val="auto"/>
        </w:rPr>
        <w:t>These projections are forward-looking statements and are subject to the risks summarized in the safe harbor statement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2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Conference Call and Webcast</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A conference call will be held today, Monday, February 23, 2026, at 4:30 p.m. ET to discuss Myriad Genetics’ financial results and business developments for the fourth quarter of 2025. A live webcast of the conference call can be accessed on Myriad Genetics' Investor Relations website at investor.myriad.com. To participate in the live conference call via telephone, please register at https://register-conf.media-server.com/register/BI5830bb581ca54ea4bd54f619ab018230. Upon registering, a dial-in number and unique PIN will be provided to join the conference call. Following the conference call, an archived webcast of the call will be available at investor.myriad.com.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Myriad Genetics</w:t>
      </w:r>
    </w:p>
    <w:p>
      <w:pPr>
        <w:spacing w:after="0" w:line="17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 xml:space="preserve">Myriad Genetics is a leading molecular diagnostic and precision medicine company committed to advancing health and well-being for all. Myriad Genetics develops and commercializes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For more information, visit </w:t>
      </w:r>
      <w:r>
        <w:rPr>
          <w:rFonts w:ascii="Arial" w:cs="Arial" w:eastAsia="Arial" w:hAnsi="Arial"/>
          <w:sz w:val="20"/>
          <w:szCs w:val="20"/>
          <w:u w:val="single" w:color="auto"/>
          <w:color w:val="auto"/>
        </w:rPr>
        <w:t>www.myriad.com</w:t>
      </w:r>
      <w:r>
        <w:rPr>
          <w:rFonts w:ascii="Arial" w:cs="Arial" w:eastAsia="Arial" w:hAnsi="Arial"/>
          <w:sz w:val="20"/>
          <w:szCs w:val="20"/>
          <w:color w:val="auto"/>
        </w:rPr>
        <w:t>.</w:t>
      </w:r>
    </w:p>
    <w:p>
      <w:pPr>
        <w:spacing w:after="0" w:line="204"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Genetics, Inc. All third-party marks—</w:t>
      </w:r>
      <w:r>
        <w:rPr>
          <w:rFonts w:ascii="Arial" w:cs="Arial" w:eastAsia="Arial" w:hAnsi="Arial"/>
          <w:sz w:val="11"/>
          <w:szCs w:val="11"/>
          <w:color w:val="auto"/>
        </w:rPr>
        <w:t>®</w:t>
      </w:r>
      <w:r>
        <w:rPr>
          <w:rFonts w:ascii="Arial" w:cs="Arial" w:eastAsia="Arial" w:hAnsi="Arial"/>
          <w:sz w:val="20"/>
          <w:szCs w:val="20"/>
          <w:color w:val="auto"/>
        </w:rPr>
        <w:t xml:space="preserve"> and </w:t>
      </w:r>
      <w:r>
        <w:rPr>
          <w:rFonts w:ascii="Arial" w:cs="Arial" w:eastAsia="Arial" w:hAnsi="Arial"/>
          <w:sz w:val="11"/>
          <w:szCs w:val="11"/>
          <w:color w:val="auto"/>
        </w:rPr>
        <w:t>™</w:t>
      </w:r>
      <w:r>
        <w:rPr>
          <w:rFonts w:ascii="Arial" w:cs="Arial" w:eastAsia="Arial" w:hAnsi="Arial"/>
          <w:sz w:val="20"/>
          <w:szCs w:val="20"/>
          <w:color w:val="auto"/>
        </w:rPr>
        <w:t>—are the property of their respective owners. © 2026 Myriad Genetics,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2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Revenue by Product (Unaudited)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jc w:val="right"/>
              <w:ind w:right="279"/>
              <w:spacing w:after="0"/>
              <w:rPr>
                <w:sz w:val="20"/>
                <w:szCs w:val="20"/>
                <w:color w:val="auto"/>
              </w:rPr>
            </w:pPr>
            <w:r>
              <w:rPr>
                <w:rFonts w:ascii="Arial" w:cs="Arial" w:eastAsia="Arial" w:hAnsi="Arial"/>
                <w:sz w:val="16"/>
                <w:szCs w:val="16"/>
                <w:b w:val="1"/>
                <w:bCs w:val="1"/>
                <w:color w:val="auto"/>
              </w:rPr>
              <w:t>Three months ended December 31,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3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rPr>
              <w:t>WH</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ONC</w:t>
            </w: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MH</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WH</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ONC</w:t>
            </w:r>
          </w:p>
        </w:tc>
        <w:tc>
          <w:tcPr>
            <w:tcW w:w="2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MH</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Hereditary Cancer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Tumor Profiling</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30.8</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Prenatal</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Mental Health</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r>
              <w:rPr>
                <w:rFonts w:ascii="Arial" w:cs="Arial" w:eastAsia="Arial" w:hAnsi="Arial"/>
                <w:sz w:val="16"/>
                <w:szCs w:val="16"/>
                <w:u w:val="single" w:color="auto"/>
                <w:color w:val="auto"/>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r>
              <w:rPr>
                <w:rFonts w:ascii="Arial" w:cs="Arial" w:eastAsia="Arial" w:hAnsi="Arial"/>
                <w:sz w:val="16"/>
                <w:szCs w:val="16"/>
                <w:u w:val="single" w:color="auto"/>
                <w:color w:val="auto"/>
              </w:rPr>
              <w:t>7</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r>
              <w:rPr>
                <w:rFonts w:ascii="Arial" w:cs="Arial" w:eastAsia="Arial" w:hAnsi="Arial"/>
                <w:sz w:val="16"/>
                <w:szCs w:val="16"/>
                <w:u w:val="single" w:color="auto"/>
                <w:color w:val="auto"/>
              </w:rPr>
              <w:t>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r>
              <w:rPr>
                <w:rFonts w:ascii="Arial" w:cs="Arial" w:eastAsia="Arial" w:hAnsi="Arial"/>
                <w:sz w:val="16"/>
                <w:szCs w:val="16"/>
                <w:u w:val="single" w:color="auto"/>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r>
              <w:rPr>
                <w:rFonts w:ascii="Arial" w:cs="Arial" w:eastAsia="Arial" w:hAnsi="Arial"/>
                <w:sz w:val="16"/>
                <w:szCs w:val="16"/>
                <w:u w:val="single" w:color="auto"/>
                <w:color w:val="auto"/>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r>
              <w:rPr>
                <w:rFonts w:ascii="Arial" w:cs="Arial" w:eastAsia="Arial" w:hAnsi="Arial"/>
                <w:sz w:val="16"/>
                <w:szCs w:val="16"/>
                <w:u w:val="single" w:color="auto"/>
                <w:color w:val="auto"/>
              </w:rPr>
              <w:t>8</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r>
              <w:rPr>
                <w:rFonts w:ascii="Arial" w:cs="Arial" w:eastAsia="Arial" w:hAnsi="Arial"/>
                <w:sz w:val="16"/>
                <w:szCs w:val="16"/>
                <w:u w:val="single" w:color="auto"/>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r>
              <w:rPr>
                <w:rFonts w:ascii="Arial" w:cs="Arial" w:eastAsia="Arial" w:hAnsi="Arial"/>
                <w:sz w:val="16"/>
                <w:szCs w:val="16"/>
                <w:u w:val="single" w:color="auto"/>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jc w:val="right"/>
              <w:ind w:right="239"/>
              <w:spacing w:after="0"/>
              <w:rPr>
                <w:sz w:val="20"/>
                <w:szCs w:val="20"/>
                <w:color w:val="auto"/>
              </w:rPr>
            </w:pPr>
            <w:r>
              <w:rPr>
                <w:rFonts w:ascii="Arial" w:cs="Arial" w:eastAsia="Arial" w:hAnsi="Arial"/>
                <w:sz w:val="16"/>
                <w:szCs w:val="16"/>
                <w:b w:val="1"/>
                <w:bCs w:val="1"/>
                <w:color w:val="auto"/>
              </w:rPr>
              <w:t>Twelve months ended December 31,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9"/>
        </w:trPr>
        <w:tc>
          <w:tcPr>
            <w:tcW w:w="3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rPr>
              <w:t>WH</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ONC</w:t>
            </w: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MH</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WH</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ONC</w:t>
            </w:r>
          </w:p>
        </w:tc>
        <w:tc>
          <w:tcPr>
            <w:tcW w:w="2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b w:val="1"/>
                <w:bCs w:val="1"/>
                <w:color w:val="auto"/>
              </w:rPr>
              <w:t>MH</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Hereditary Cancer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Tumor Profiling</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121.7</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125.8</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Prenatal</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1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Mental Health</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w:t>
            </w:r>
          </w:p>
        </w:tc>
      </w:tr>
      <w:tr>
        <w:trPr>
          <w:trHeight w:val="23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r>
              <w:rPr>
                <w:rFonts w:ascii="Arial" w:cs="Arial" w:eastAsia="Arial" w:hAnsi="Arial"/>
                <w:sz w:val="16"/>
                <w:szCs w:val="16"/>
                <w:u w:val="single" w:color="auto"/>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r>
              <w:rPr>
                <w:rFonts w:ascii="Arial" w:cs="Arial" w:eastAsia="Arial" w:hAnsi="Arial"/>
                <w:sz w:val="16"/>
                <w:szCs w:val="16"/>
                <w:u w:val="single" w:color="auto"/>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r>
              <w:rPr>
                <w:rFonts w:ascii="Arial" w:cs="Arial" w:eastAsia="Arial" w:hAnsi="Arial"/>
                <w:sz w:val="16"/>
                <w:szCs w:val="16"/>
                <w:u w:val="single" w:color="auto"/>
                <w:color w:val="auto"/>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r>
              <w:rPr>
                <w:rFonts w:ascii="Arial" w:cs="Arial" w:eastAsia="Arial" w:hAnsi="Arial"/>
                <w:sz w:val="16"/>
                <w:szCs w:val="16"/>
                <w:u w:val="single" w:color="auto"/>
                <w:color w:val="auto"/>
              </w:rPr>
              <w:t>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Units: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WH = Women’s Health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ONC = Oncology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MH = Mental Health</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Categories: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Hereditary Cancer – MyRisk, BRACAnalysis, BRACAnalysis CDx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Tumor Profiling – myChoice CDx, Prolaris, Precise Tumor, EndoPredict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Prenatal – Foresight, Prequel, SneakPeek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Mental Health – GeneSight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890"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MYRIAD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1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 December 31,</w:t>
            </w: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Twelve months ended December 31,</w:t>
            </w:r>
          </w:p>
        </w:tc>
      </w:tr>
      <w:tr>
        <w:trPr>
          <w:trHeight w:val="196"/>
        </w:trPr>
        <w:tc>
          <w:tcPr>
            <w:tcW w:w="50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r>
      <w:tr>
        <w:trPr>
          <w:trHeight w:val="22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r>
      <w:tr>
        <w:trPr>
          <w:trHeight w:val="270"/>
        </w:trPr>
        <w:tc>
          <w:tcPr>
            <w:tcW w:w="5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Research and development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w:t>
            </w: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Legal settlements</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Goodwill and long-lived asset impairment charges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23"/>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expense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Loss before income tax</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50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MYRIAD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9"/>
        </w:trPr>
        <w:tc>
          <w:tcPr>
            <w:tcW w:w="8340" w:type="dxa"/>
            <w:vAlign w:val="bottom"/>
          </w:tcPr>
          <w:p>
            <w:pPr>
              <w:ind w:left="220"/>
              <w:spacing w:after="0"/>
              <w:rPr>
                <w:sz w:val="20"/>
                <w:szCs w:val="20"/>
                <w:color w:val="auto"/>
              </w:rPr>
            </w:pPr>
            <w:r>
              <w:rPr>
                <w:rFonts w:ascii="Arial" w:cs="Arial" w:eastAsia="Arial" w:hAnsi="Arial"/>
                <w:sz w:val="18"/>
                <w:szCs w:val="18"/>
                <w:color w:val="auto"/>
              </w:rPr>
              <w:t>Trade accounts receivable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8340" w:type="dxa"/>
            <w:vAlign w:val="bottom"/>
          </w:tcPr>
          <w:p>
            <w:pPr>
              <w:ind w:left="220"/>
              <w:spacing w:after="0"/>
              <w:rPr>
                <w:sz w:val="20"/>
                <w:szCs w:val="20"/>
                <w:color w:val="auto"/>
              </w:rPr>
            </w:pPr>
            <w:r>
              <w:rPr>
                <w:rFonts w:ascii="Arial" w:cs="Arial" w:eastAsia="Arial" w:hAnsi="Arial"/>
                <w:sz w:val="18"/>
                <w:szCs w:val="18"/>
                <w:color w:val="auto"/>
              </w:rPr>
              <w:t>Prepaid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3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83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0"/>
        </w:trPr>
        <w:tc>
          <w:tcPr>
            <w:tcW w:w="83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40" w:type="dxa"/>
            <w:vAlign w:val="bottom"/>
          </w:tcPr>
          <w:p>
            <w:pPr>
              <w:ind w:left="180"/>
              <w:spacing w:after="0" w:line="176" w:lineRule="exact"/>
              <w:rPr>
                <w:sz w:val="20"/>
                <w:szCs w:val="20"/>
                <w:color w:val="auto"/>
              </w:rPr>
            </w:pPr>
            <w:r>
              <w:rPr>
                <w:rFonts w:ascii="Arial" w:cs="Arial" w:eastAsia="Arial" w:hAnsi="Arial"/>
                <w:sz w:val="18"/>
                <w:szCs w:val="18"/>
                <w:color w:val="auto"/>
              </w:rPr>
              <w:t>Common stock, 93.5 and 91.3 shares outstanding at December 31, 2025 and December 31, 2024,</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0" w:type="dxa"/>
            <w:vAlign w:val="bottom"/>
          </w:tcPr>
          <w:p>
            <w:pPr>
              <w:spacing w:after="0"/>
              <w:rPr>
                <w:sz w:val="1"/>
                <w:szCs w:val="1"/>
                <w:color w:val="auto"/>
              </w:rPr>
            </w:pPr>
          </w:p>
        </w:tc>
      </w:tr>
      <w:tr>
        <w:trPr>
          <w:trHeight w:val="230"/>
        </w:trPr>
        <w:tc>
          <w:tcPr>
            <w:tcW w:w="83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89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MYRIAD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rPr>
              <w:t>Effect of foreign exchange rates on cash, cash equivalents, and</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the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133"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Safe Harbor Statement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including</w:t>
      </w:r>
    </w:p>
    <w:p>
      <w:pPr>
        <w:spacing w:after="0" w:line="15" w:lineRule="exact"/>
        <w:rPr>
          <w:sz w:val="20"/>
          <w:szCs w:val="20"/>
          <w:color w:val="auto"/>
        </w:rPr>
      </w:pPr>
    </w:p>
    <w:p>
      <w:pPr>
        <w:jc w:val="both"/>
        <w:ind w:firstLine="8"/>
        <w:spacing w:after="0" w:line="253" w:lineRule="auto"/>
        <w:tabs>
          <w:tab w:leader="none" w:pos="2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full-year 2026 financial guidance, (ii) the company's continued progress in prenatal testing and expectation that prenatal testing growth will reaccelerate in the coming quarters, (iii) the company's intention to launch, and the expected timing thereof, three significant new tests, including an alpha phase launch of Precise MRD, full commercial launches of its AI-enabled Prolaris prostate cancer test and the multiple prenatal screen test, FirstGene, and (iv) the expected benefits of the CONNECTOR study.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recent changes in the company's senior management team and the successful implementation of the company's strategic plan;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is not able to secure additional financing to fund its business, if needed, in a timely manner or on favorable terms, if it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and other cybersecurity incidents;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Part I, Item 1A of the company’s Annual Report on Form 10-K filed with the SEC on February 28, 2025, as well as any updates to those risk factors filed from time to time in the company’s subsequent Annual Reports on Form 10-K, Quarterly Reports on Form 10-Q or Current Reports on Form 8-K. The company is not under any obligation, and it expressly disclaims any obligation, to update or alter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9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Investor Contact</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Matt Scalo</w:t>
      </w:r>
    </w:p>
    <w:p>
      <w:pPr>
        <w:spacing w:after="0" w:line="11" w:lineRule="exact"/>
        <w:rPr>
          <w:sz w:val="20"/>
          <w:szCs w:val="20"/>
          <w:color w:val="auto"/>
        </w:rPr>
      </w:pPr>
    </w:p>
    <w:p>
      <w:pPr>
        <w:ind w:right="7799" w:firstLine="6"/>
        <w:spacing w:after="0" w:line="296" w:lineRule="auto"/>
        <w:tabs>
          <w:tab w:leader="none" w:pos="564"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584-3532 </w:t>
      </w:r>
      <w:r>
        <w:rPr>
          <w:rFonts w:ascii="Arial" w:cs="Arial" w:eastAsia="Arial" w:hAnsi="Arial"/>
          <w:sz w:val="21"/>
          <w:szCs w:val="21"/>
          <w:u w:val="single" w:color="auto"/>
          <w:color w:val="auto"/>
        </w:rPr>
        <w:t>matt.scalo@myriad.com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Kate Schraml</w:t>
      </w:r>
    </w:p>
    <w:p>
      <w:pPr>
        <w:spacing w:after="0" w:line="19" w:lineRule="exact"/>
        <w:rPr>
          <w:sz w:val="20"/>
          <w:szCs w:val="20"/>
          <w:color w:val="auto"/>
        </w:rPr>
      </w:pPr>
    </w:p>
    <w:p>
      <w:pPr>
        <w:ind w:right="8479" w:firstLine="6"/>
        <w:spacing w:after="0" w:line="310" w:lineRule="auto"/>
        <w:tabs>
          <w:tab w:leader="none" w:pos="564"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875-4493 </w:t>
      </w:r>
      <w:r>
        <w:rPr>
          <w:rFonts w:ascii="Arial" w:cs="Arial" w:eastAsia="Arial" w:hAnsi="Arial"/>
          <w:sz w:val="21"/>
          <w:szCs w:val="21"/>
          <w:u w:val="single" w:color="auto"/>
          <w:color w:val="auto"/>
        </w:rPr>
        <w:t>PR@myriad.com</w:t>
      </w:r>
    </w:p>
    <w:p>
      <w:pPr>
        <w:spacing w:after="0" w:line="200" w:lineRule="exact"/>
        <w:rPr>
          <w:sz w:val="20"/>
          <w:szCs w:val="20"/>
          <w:color w:val="auto"/>
        </w:rPr>
      </w:pPr>
    </w:p>
    <w:p>
      <w:pPr>
        <w:spacing w:after="0" w:line="329"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119"/>
          </w:cols>
          <w:pgMar w:left="340" w:top="921" w:right="1440"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Statement regarding use of non-GAAP financial measures</w:t>
      </w:r>
    </w:p>
    <w:p>
      <w:pPr>
        <w:spacing w:after="0" w:line="177"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In this press release, the company’s financial results and financial guidance are provided in accordance with accounting principles generally accepted in the United States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each schedule.</w:t>
      </w:r>
    </w:p>
    <w:p>
      <w:pPr>
        <w:spacing w:after="0" w:line="209"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The company encourages investors to carefully consider its results under GAAP, as well as its supplemental non-GAAP information and the reconciliation between these presentations, if available, to more fully understand its business. Non-GAAP financial results are reported in addition to, and not as a substitute for, or superior to, financial measures calculated in accordance with GAAP.</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company does not forecast GAAP gross margin or GAAP net income (loss) because it cannot predict certain elements that are included in reported GAAP results. Please see above under “Financial Guidance” for a full explanation.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9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7" w:lineRule="exact"/>
        <w:rPr>
          <w:sz w:val="20"/>
          <w:szCs w:val="20"/>
          <w:color w:val="auto"/>
        </w:rPr>
      </w:pPr>
    </w:p>
    <w:p>
      <w:pPr>
        <w:ind w:right="5340"/>
        <w:spacing w:after="0" w:line="266" w:lineRule="auto"/>
        <w:rPr>
          <w:sz w:val="20"/>
          <w:szCs w:val="20"/>
          <w:color w:val="auto"/>
        </w:rPr>
      </w:pPr>
      <w:r>
        <w:rPr>
          <w:rFonts w:ascii="Arial" w:cs="Arial" w:eastAsia="Arial" w:hAnsi="Arial"/>
          <w:sz w:val="18"/>
          <w:szCs w:val="18"/>
          <w:b w:val="1"/>
          <w:bCs w:val="1"/>
          <w:color w:val="auto"/>
        </w:rPr>
        <w:t xml:space="preserve">for the Three and Twelve Months Ended December 31, 2025 and 2024 </w:t>
      </w:r>
      <w:r>
        <w:rPr>
          <w:rFonts w:ascii="Arial" w:cs="Arial" w:eastAsia="Arial" w:hAnsi="Arial"/>
          <w:sz w:val="18"/>
          <w:szCs w:val="18"/>
          <w:i w:val="1"/>
          <w:iCs w:val="1"/>
          <w:color w:val="auto"/>
        </w:rPr>
        <w:t>(unaudited data in millions,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22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Twelve months ended</w:t>
            </w:r>
          </w:p>
        </w:tc>
      </w:tr>
      <w:tr>
        <w:trPr>
          <w:trHeight w:val="243"/>
        </w:trPr>
        <w:tc>
          <w:tcPr>
            <w:tcW w:w="6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21"/>
                <w:szCs w:val="21"/>
                <w:color w:val="auto"/>
              </w:rPr>
            </w:pPr>
          </w:p>
        </w:tc>
        <w:tc>
          <w:tcPr>
            <w:tcW w:w="22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Expenses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963.8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708.9</w:t>
            </w:r>
          </w:p>
        </w:tc>
      </w:tr>
      <w:tr>
        <w:trPr>
          <w:trHeight w:val="229"/>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Acquisition - amortization of intangible assets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6200" w:type="dxa"/>
            <w:vAlign w:val="bottom"/>
          </w:tcPr>
          <w:p>
            <w:pPr>
              <w:ind w:left="140"/>
              <w:spacing w:after="0" w:line="230" w:lineRule="exact"/>
              <w:rPr>
                <w:sz w:val="20"/>
                <w:szCs w:val="20"/>
                <w:color w:val="auto"/>
              </w:rPr>
            </w:pPr>
            <w:r>
              <w:rPr>
                <w:rFonts w:ascii="Arial" w:cs="Arial" w:eastAsia="Arial" w:hAnsi="Arial"/>
                <w:sz w:val="18"/>
                <w:szCs w:val="18"/>
                <w:color w:val="auto"/>
              </w:rPr>
              <w:t>Goodwill and long-lived asset impairment</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6200" w:type="dxa"/>
            <w:vAlign w:val="bottom"/>
          </w:tcPr>
          <w:p>
            <w:pPr>
              <w:ind w:left="140"/>
              <w:spacing w:after="0" w:line="230" w:lineRule="exact"/>
              <w:rPr>
                <w:sz w:val="20"/>
                <w:szCs w:val="20"/>
                <w:color w:val="auto"/>
              </w:rPr>
            </w:pPr>
            <w:r>
              <w:rPr>
                <w:rFonts w:ascii="Arial" w:cs="Arial" w:eastAsia="Arial" w:hAnsi="Arial"/>
                <w:sz w:val="18"/>
                <w:szCs w:val="18"/>
                <w:color w:val="auto"/>
              </w:rPr>
              <w:t>Real estate optimization</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Transformation initiatives</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6200" w:type="dxa"/>
            <w:vAlign w:val="bottom"/>
          </w:tcPr>
          <w:p>
            <w:pPr>
              <w:ind w:left="140"/>
              <w:spacing w:after="0" w:line="230" w:lineRule="exact"/>
              <w:rPr>
                <w:sz w:val="20"/>
                <w:szCs w:val="20"/>
                <w:color w:val="auto"/>
              </w:rPr>
            </w:pPr>
            <w:r>
              <w:rPr>
                <w:rFonts w:ascii="Arial" w:cs="Arial" w:eastAsia="Arial" w:hAnsi="Arial"/>
                <w:sz w:val="18"/>
                <w:szCs w:val="18"/>
                <w:color w:val="auto"/>
              </w:rPr>
              <w:t>Strategic realignment</w:t>
            </w:r>
            <w:r>
              <w:rPr>
                <w:rFonts w:ascii="Arial" w:cs="Arial" w:eastAsia="Arial" w:hAnsi="Arial"/>
                <w:sz w:val="23"/>
                <w:szCs w:val="23"/>
                <w:color w:val="auto"/>
                <w:vertAlign w:val="superscript"/>
              </w:rPr>
              <w:t>(6)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Legal settlements</w:t>
            </w:r>
            <w:r>
              <w:rPr>
                <w:rFonts w:ascii="Arial" w:cs="Arial" w:eastAsia="Arial" w:hAnsi="Arial"/>
                <w:sz w:val="23"/>
                <w:szCs w:val="23"/>
                <w:color w:val="auto"/>
                <w:vertAlign w:val="superscript"/>
              </w:rPr>
              <w:t>(7)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6200" w:type="dxa"/>
            <w:vAlign w:val="bottom"/>
          </w:tcPr>
          <w:p>
            <w:pPr>
              <w:ind w:left="140"/>
              <w:spacing w:after="0" w:line="230" w:lineRule="exact"/>
              <w:rPr>
                <w:sz w:val="20"/>
                <w:szCs w:val="20"/>
                <w:color w:val="auto"/>
              </w:rPr>
            </w:pPr>
            <w:r>
              <w:rPr>
                <w:rFonts w:ascii="Arial" w:cs="Arial" w:eastAsia="Arial" w:hAnsi="Arial"/>
                <w:sz w:val="18"/>
                <w:szCs w:val="18"/>
                <w:color w:val="auto"/>
              </w:rPr>
              <w:t>Other adjustments</w:t>
            </w:r>
            <w:r>
              <w:rPr>
                <w:rFonts w:ascii="Arial" w:cs="Arial" w:eastAsia="Arial" w:hAnsi="Arial"/>
                <w:sz w:val="23"/>
                <w:szCs w:val="23"/>
                <w:color w:val="auto"/>
                <w:vertAlign w:val="superscript"/>
              </w:rPr>
              <w:t>(8)</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500" w:hanging="474"/>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recurring amortization charges resulting from the acquisition of intangible assets.</w:t>
      </w:r>
    </w:p>
    <w:p>
      <w:pPr>
        <w:spacing w:after="0" w:line="41" w:lineRule="exact"/>
        <w:rPr>
          <w:rFonts w:ascii="Arial" w:cs="Arial" w:eastAsia="Arial" w:hAnsi="Arial"/>
          <w:sz w:val="14"/>
          <w:szCs w:val="14"/>
          <w:color w:val="auto"/>
        </w:rPr>
      </w:pPr>
    </w:p>
    <w:p>
      <w:pPr>
        <w:jc w:val="both"/>
        <w:ind w:left="500" w:right="20" w:hanging="474"/>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Expense related to goodwill and long-lived asset impairment. For the twelve months ended December 31, 2025, consists of $319.4 million of impairment expense primarily associated with our Mental Health and Women's Health reporting units and asset groups. For the three months ended December 31, 2024, consists of $43.0 million of impairment expense for a GeneSight developed technology intangible asset. For the twelve months ended December 31, 2024, consists of $43.0 million of impairment expense for a GeneSight developed technology intangible asset and $13.8 million primarily related to the sale of the EndoPredict business to Eurobio Scientific.</w:t>
      </w:r>
    </w:p>
    <w:p>
      <w:pPr>
        <w:spacing w:after="0" w:line="126" w:lineRule="exact"/>
        <w:rPr>
          <w:rFonts w:ascii="Arial" w:cs="Arial" w:eastAsia="Arial" w:hAnsi="Arial"/>
          <w:sz w:val="14"/>
          <w:szCs w:val="14"/>
          <w:color w:val="auto"/>
        </w:rPr>
      </w:pPr>
    </w:p>
    <w:p>
      <w:pPr>
        <w:ind w:left="500" w:hanging="474"/>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Consists of the non-cash equity-based compensation provided to Myriad Genetics employees and directors.</w:t>
      </w:r>
    </w:p>
    <w:p>
      <w:pPr>
        <w:spacing w:after="0" w:line="40" w:lineRule="exact"/>
        <w:rPr>
          <w:rFonts w:ascii="Arial" w:cs="Arial" w:eastAsia="Arial" w:hAnsi="Arial"/>
          <w:sz w:val="14"/>
          <w:szCs w:val="14"/>
          <w:color w:val="auto"/>
        </w:rPr>
      </w:pPr>
    </w:p>
    <w:p>
      <w:pPr>
        <w:jc w:val="both"/>
        <w:ind w:left="500" w:right="20" w:hanging="474"/>
        <w:spacing w:after="0" w:line="229"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related to real estate initiatives. For the twelve months ended December 31, 2025, consists of additional rent as a result of the build-out of our new laboratories in Salt Lake City, Utah and South San Francisco, California, while maintaining our previous facilities in those locations. For the three and twelve months ended December 31, 2024, includes additional rent as a result of the build-out of our new laboratories in Salt Lake City, Utah and South San Francisco, California, while maintaining our previous facilities in those locations, costs associated with the voluntary termination of a lease, testing and set-up costs for equipment in our new facilities, and impairment in connection with the ceased use of one of our facilities.</w:t>
      </w:r>
    </w:p>
    <w:p>
      <w:pPr>
        <w:spacing w:after="0" w:line="2" w:lineRule="exact"/>
        <w:rPr>
          <w:rFonts w:ascii="Arial" w:cs="Arial" w:eastAsia="Arial" w:hAnsi="Arial"/>
          <w:sz w:val="14"/>
          <w:szCs w:val="14"/>
          <w:color w:val="auto"/>
        </w:rPr>
      </w:pPr>
    </w:p>
    <w:p>
      <w:pPr>
        <w:ind w:left="500" w:hanging="474"/>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related to transformation initiatives including consulting and professional fees for the twelve months ended December 31, 2024.</w:t>
      </w:r>
    </w:p>
    <w:p>
      <w:pPr>
        <w:spacing w:after="0" w:line="53" w:lineRule="exact"/>
        <w:rPr>
          <w:rFonts w:ascii="Arial" w:cs="Arial" w:eastAsia="Arial" w:hAnsi="Arial"/>
          <w:sz w:val="14"/>
          <w:szCs w:val="14"/>
          <w:color w:val="auto"/>
        </w:rPr>
      </w:pPr>
    </w:p>
    <w:p>
      <w:pPr>
        <w:ind w:left="500" w:hanging="474"/>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related to strategic realignment of the company including severance and consulting fees for the three and twelve months ended December 31, 2025.</w:t>
      </w:r>
    </w:p>
    <w:p>
      <w:pPr>
        <w:spacing w:after="0" w:line="55" w:lineRule="exact"/>
        <w:rPr>
          <w:rFonts w:ascii="Arial" w:cs="Arial" w:eastAsia="Arial" w:hAnsi="Arial"/>
          <w:sz w:val="14"/>
          <w:szCs w:val="14"/>
          <w:color w:val="auto"/>
        </w:rPr>
      </w:pPr>
    </w:p>
    <w:p>
      <w:pPr>
        <w:ind w:left="500" w:right="20" w:hanging="474"/>
        <w:spacing w:after="0" w:line="252"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related to one-time legal expenses. For the three and twelve months ended December 31, 2024, primarily includes reversal of $21.3 million related to the contingent settlement for the Ravgen litigation that is no longer considered probable.</w:t>
      </w:r>
    </w:p>
    <w:p>
      <w:pPr>
        <w:jc w:val="both"/>
        <w:ind w:left="500" w:right="20" w:hanging="474"/>
        <w:spacing w:after="0" w:line="234"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one-time non-recurring adjustments for the three and twelve months ended December 31, 2025. For the twelve months ended December 31, 2024, primarily includes a gain recognized on acquisition, changes in the fair value of contingent consideration related to acquisitions from prior years, the reclassifications of cumulative translation adjustments to income upon liquidation of an investment in a foreign entity, and costs incurred in connection with executive personnel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1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22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Twelve months ended</w:t>
            </w:r>
          </w:p>
        </w:tc>
      </w:tr>
      <w:tr>
        <w:trPr>
          <w:trHeight w:val="243"/>
        </w:trPr>
        <w:tc>
          <w:tcPr>
            <w:tcW w:w="6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21"/>
                <w:szCs w:val="21"/>
                <w:color w:val="auto"/>
              </w:rPr>
            </w:pPr>
          </w:p>
        </w:tc>
        <w:tc>
          <w:tcPr>
            <w:tcW w:w="22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r>
      <w:tr>
        <w:trPr>
          <w:trHeight w:val="209"/>
        </w:trPr>
        <w:tc>
          <w:tcPr>
            <w:tcW w:w="620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(365.9)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29"/>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Acquisition - amortization of intangible assets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6200" w:type="dxa"/>
            <w:vAlign w:val="bottom"/>
          </w:tcPr>
          <w:p>
            <w:pPr>
              <w:ind w:left="140"/>
              <w:spacing w:after="0" w:line="230" w:lineRule="exact"/>
              <w:rPr>
                <w:sz w:val="20"/>
                <w:szCs w:val="20"/>
                <w:color w:val="auto"/>
              </w:rPr>
            </w:pPr>
            <w:r>
              <w:rPr>
                <w:rFonts w:ascii="Arial" w:cs="Arial" w:eastAsia="Arial" w:hAnsi="Arial"/>
                <w:sz w:val="18"/>
                <w:szCs w:val="18"/>
                <w:color w:val="auto"/>
              </w:rPr>
              <w:t>Goodwill and long-lived asset impairment</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29"/>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6200" w:type="dxa"/>
            <w:vAlign w:val="bottom"/>
          </w:tcPr>
          <w:p>
            <w:pPr>
              <w:ind w:left="140"/>
              <w:spacing w:after="0" w:line="230" w:lineRule="exact"/>
              <w:rPr>
                <w:sz w:val="20"/>
                <w:szCs w:val="20"/>
                <w:color w:val="auto"/>
              </w:rPr>
            </w:pPr>
            <w:r>
              <w:rPr>
                <w:rFonts w:ascii="Arial" w:cs="Arial" w:eastAsia="Arial" w:hAnsi="Arial"/>
                <w:sz w:val="18"/>
                <w:szCs w:val="18"/>
                <w:color w:val="auto"/>
              </w:rPr>
              <w:t>Real estate optimization</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Transformation initiatives</w:t>
            </w:r>
            <w:r>
              <w:rPr>
                <w:rFonts w:ascii="Arial" w:cs="Arial" w:eastAsia="Arial" w:hAnsi="Arial"/>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6200" w:type="dxa"/>
            <w:vAlign w:val="bottom"/>
          </w:tcPr>
          <w:p>
            <w:pPr>
              <w:ind w:left="140"/>
              <w:spacing w:after="0" w:line="230" w:lineRule="exact"/>
              <w:rPr>
                <w:sz w:val="20"/>
                <w:szCs w:val="20"/>
                <w:color w:val="auto"/>
              </w:rPr>
            </w:pPr>
            <w:r>
              <w:rPr>
                <w:rFonts w:ascii="Arial" w:cs="Arial" w:eastAsia="Arial" w:hAnsi="Arial"/>
                <w:sz w:val="18"/>
                <w:szCs w:val="18"/>
                <w:color w:val="auto"/>
              </w:rPr>
              <w:t>Strategic realignment</w:t>
            </w:r>
            <w:r>
              <w:rPr>
                <w:rFonts w:ascii="Arial" w:cs="Arial" w:eastAsia="Arial" w:hAnsi="Arial"/>
                <w:sz w:val="23"/>
                <w:szCs w:val="23"/>
                <w:color w:val="auto"/>
                <w:vertAlign w:val="superscript"/>
              </w:rPr>
              <w:t>(7)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Legal settlements</w:t>
            </w:r>
            <w:r>
              <w:rPr>
                <w:rFonts w:ascii="Arial" w:cs="Arial" w:eastAsia="Arial" w:hAnsi="Arial"/>
                <w:sz w:val="23"/>
                <w:szCs w:val="23"/>
                <w:color w:val="auto"/>
                <w:vertAlign w:val="superscript"/>
              </w:rPr>
              <w:t>(8)</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6200" w:type="dxa"/>
            <w:vAlign w:val="bottom"/>
          </w:tcPr>
          <w:p>
            <w:pPr>
              <w:ind w:left="140"/>
              <w:spacing w:after="0" w:line="230" w:lineRule="exact"/>
              <w:rPr>
                <w:sz w:val="20"/>
                <w:szCs w:val="20"/>
                <w:color w:val="auto"/>
              </w:rPr>
            </w:pPr>
            <w:r>
              <w:rPr>
                <w:rFonts w:ascii="Arial" w:cs="Arial" w:eastAsia="Arial" w:hAnsi="Arial"/>
                <w:sz w:val="18"/>
                <w:szCs w:val="18"/>
                <w:color w:val="auto"/>
              </w:rPr>
              <w:t>Other adjustments</w:t>
            </w:r>
            <w:r>
              <w:rPr>
                <w:rFonts w:ascii="Arial" w:cs="Arial" w:eastAsia="Arial" w:hAnsi="Arial"/>
                <w:sz w:val="23"/>
                <w:szCs w:val="23"/>
                <w:color w:val="auto"/>
                <w:vertAlign w:val="superscript"/>
              </w:rPr>
              <w:t>(9)</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Uncertain tax benefit</w:t>
            </w:r>
            <w:r>
              <w:rPr>
                <w:rFonts w:ascii="Arial" w:cs="Arial" w:eastAsia="Arial" w:hAnsi="Arial"/>
                <w:sz w:val="23"/>
                <w:szCs w:val="23"/>
                <w:color w:val="auto"/>
                <w:vertAlign w:val="superscript"/>
              </w:rPr>
              <w:t>(10)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Tax adjustments</w:t>
            </w:r>
            <w:r>
              <w:rPr>
                <w:rFonts w:ascii="Arial" w:cs="Arial" w:eastAsia="Arial" w:hAnsi="Arial"/>
                <w:sz w:val="23"/>
                <w:szCs w:val="23"/>
                <w:color w:val="auto"/>
                <w:vertAlign w:val="superscript"/>
              </w:rPr>
              <w:t>(11)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Share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9"/>
        </w:trPr>
        <w:tc>
          <w:tcPr>
            <w:tcW w:w="62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r>
    </w:tbl>
    <w:p>
      <w:pPr>
        <w:spacing w:after="0" w:line="62" w:lineRule="exact"/>
        <w:rPr>
          <w:sz w:val="20"/>
          <w:szCs w:val="20"/>
          <w:color w:val="auto"/>
        </w:rPr>
      </w:pPr>
    </w:p>
    <w:p>
      <w:pPr>
        <w:ind w:left="500" w:hanging="474"/>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 determine Adjusted Earnings Per Share, or adjusted EPS.</w:t>
      </w:r>
    </w:p>
    <w:p>
      <w:pPr>
        <w:spacing w:after="0" w:line="68" w:lineRule="exact"/>
        <w:rPr>
          <w:rFonts w:ascii="Arial" w:cs="Arial" w:eastAsia="Arial" w:hAnsi="Arial"/>
          <w:sz w:val="14"/>
          <w:szCs w:val="14"/>
          <w:color w:val="auto"/>
        </w:rPr>
      </w:pPr>
    </w:p>
    <w:p>
      <w:pPr>
        <w:ind w:left="500" w:hanging="474"/>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recurring amortization charges resulting from the acquisition of intangible assets.</w:t>
      </w:r>
    </w:p>
    <w:p>
      <w:pPr>
        <w:spacing w:after="0" w:line="68" w:lineRule="exact"/>
        <w:rPr>
          <w:rFonts w:ascii="Arial" w:cs="Arial" w:eastAsia="Arial" w:hAnsi="Arial"/>
          <w:sz w:val="14"/>
          <w:szCs w:val="14"/>
          <w:color w:val="auto"/>
        </w:rPr>
      </w:pPr>
    </w:p>
    <w:p>
      <w:pPr>
        <w:jc w:val="both"/>
        <w:ind w:left="500" w:right="20" w:hanging="474"/>
        <w:spacing w:after="0" w:line="269"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 related to goodwill and long-lived asset impairment. For the twelve months ended December 31, 2025, consists of $319.4 million of impairment expense primarily associated with our Mental Health and Women's Health reporting units and asset groups. For the three months ended December 31, 2024, consists of $43.0 million of impairment expense for a GeneSight developed technology intangible asset. For the twelve months ended December 31, 2024, consists of $43.0 million of impairment expense for a GeneSight developed technology intangible asset and $13.8 million primarily related to the sale of the EndoPredict business to Eurobio Scientific.</w:t>
      </w:r>
    </w:p>
    <w:p>
      <w:pPr>
        <w:spacing w:after="0" w:line="196" w:lineRule="exact"/>
        <w:rPr>
          <w:rFonts w:ascii="Arial" w:cs="Arial" w:eastAsia="Arial" w:hAnsi="Arial"/>
          <w:sz w:val="14"/>
          <w:szCs w:val="14"/>
          <w:color w:val="auto"/>
        </w:rPr>
      </w:pPr>
    </w:p>
    <w:p>
      <w:pPr>
        <w:ind w:left="500" w:hanging="474"/>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the non-cash equity-based compensation provided to Myriad Genetics employees and directors.</w:t>
      </w:r>
    </w:p>
    <w:p>
      <w:pPr>
        <w:spacing w:after="0" w:line="68" w:lineRule="exact"/>
        <w:rPr>
          <w:rFonts w:ascii="Arial" w:cs="Arial" w:eastAsia="Arial" w:hAnsi="Arial"/>
          <w:sz w:val="14"/>
          <w:szCs w:val="14"/>
          <w:color w:val="auto"/>
        </w:rPr>
      </w:pPr>
    </w:p>
    <w:p>
      <w:pPr>
        <w:jc w:val="both"/>
        <w:ind w:left="500" w:right="20" w:hanging="474"/>
        <w:spacing w:after="0" w:line="267"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related to real estate initiatives. For the twelve months ended December 31, 2025, consists of additional rent as a result of the build-out of our new laboratories in Salt Lake City, Utah and South San Francisco, California, while maintaining our previous facilities in those locations. For the three and twelve months ended December 31, 2024, includes additional rent as a result of the build-out of our new laboratories in Salt Lake City, Utah and South San Francisco, California, while maintaining our previous facilities in those locations, costs associated with the voluntary termination of a lease, testing and set-up costs for equipment in our new facilities, and impairment in connection with the ceased use of one of our facilities.</w:t>
      </w:r>
    </w:p>
    <w:p>
      <w:pPr>
        <w:spacing w:after="0" w:line="22" w:lineRule="exact"/>
        <w:rPr>
          <w:rFonts w:ascii="Arial" w:cs="Arial" w:eastAsia="Arial" w:hAnsi="Arial"/>
          <w:sz w:val="14"/>
          <w:szCs w:val="14"/>
          <w:color w:val="auto"/>
        </w:rPr>
      </w:pPr>
    </w:p>
    <w:p>
      <w:pPr>
        <w:ind w:left="500" w:hanging="474"/>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related to transformation initiatives including consulting and professional fees for the twelve months ended December 31, 2024.</w:t>
      </w:r>
    </w:p>
    <w:p>
      <w:pPr>
        <w:spacing w:after="0" w:line="68" w:lineRule="exact"/>
        <w:rPr>
          <w:rFonts w:ascii="Arial" w:cs="Arial" w:eastAsia="Arial" w:hAnsi="Arial"/>
          <w:sz w:val="14"/>
          <w:szCs w:val="14"/>
          <w:color w:val="auto"/>
        </w:rPr>
      </w:pPr>
    </w:p>
    <w:p>
      <w:pPr>
        <w:ind w:left="500" w:hanging="474"/>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related to strategic realignment of the company including severance and consulting fees for the three and twelve months ended December 31, 2025.</w:t>
      </w:r>
    </w:p>
    <w:p>
      <w:pPr>
        <w:spacing w:after="0" w:line="68" w:lineRule="exact"/>
        <w:rPr>
          <w:rFonts w:ascii="Arial" w:cs="Arial" w:eastAsia="Arial" w:hAnsi="Arial"/>
          <w:sz w:val="14"/>
          <w:szCs w:val="14"/>
          <w:color w:val="auto"/>
        </w:rPr>
      </w:pPr>
    </w:p>
    <w:p>
      <w:pPr>
        <w:ind w:left="500" w:right="20" w:hanging="474"/>
        <w:spacing w:after="0" w:line="291"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related to one-time legal expenses. For the three and twelve months ended December 31, 2024, primarily includes reversal of $21.3 million related to the contingent settlement for the Ravgen litigation that is no longer considered probable.</w:t>
      </w:r>
    </w:p>
    <w:p>
      <w:pPr>
        <w:spacing w:after="0" w:line="14" w:lineRule="exact"/>
        <w:rPr>
          <w:rFonts w:ascii="Arial" w:cs="Arial" w:eastAsia="Arial" w:hAnsi="Arial"/>
          <w:sz w:val="14"/>
          <w:szCs w:val="14"/>
          <w:color w:val="auto"/>
        </w:rPr>
      </w:pPr>
    </w:p>
    <w:p>
      <w:pPr>
        <w:jc w:val="both"/>
        <w:ind w:left="500" w:right="20" w:hanging="474"/>
        <w:spacing w:after="0" w:line="275"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one-time non-recurring adjustments for the three and twelve months ended December 31, 2025. For the twelve months ended December 31, 2024, primarily includes a gain recognized on acquisition, changes in the fair value of contingent consideration related to acquisitions from prior years, the reclassifications of cumulative translation adjustments to income upon liquidation of an investment in a foreign entity, and costs incurred in connection with executive personnel changes.</w:t>
      </w:r>
    </w:p>
    <w:p>
      <w:pPr>
        <w:spacing w:after="0" w:line="13" w:lineRule="exact"/>
        <w:rPr>
          <w:rFonts w:ascii="Arial" w:cs="Arial" w:eastAsia="Arial" w:hAnsi="Arial"/>
          <w:sz w:val="14"/>
          <w:szCs w:val="14"/>
          <w:color w:val="auto"/>
        </w:rPr>
      </w:pPr>
    </w:p>
    <w:p>
      <w:pPr>
        <w:jc w:val="both"/>
        <w:ind w:left="500" w:right="20" w:hanging="474"/>
        <w:spacing w:after="0" w:line="275"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the release of unrecognized tax benefits and the recognition of valuation allowances for the three and twelve months ended December 31, 2025. The unrecognized tax benefits released were primarily related to tax years under Joint Committee on Taxation review, which upon conclusion of the review were remeasured or released.</w:t>
      </w:r>
    </w:p>
    <w:p>
      <w:pPr>
        <w:spacing w:after="0" w:line="13" w:lineRule="exact"/>
        <w:rPr>
          <w:rFonts w:ascii="Arial" w:cs="Arial" w:eastAsia="Arial" w:hAnsi="Arial"/>
          <w:sz w:val="14"/>
          <w:szCs w:val="14"/>
          <w:color w:val="auto"/>
        </w:rPr>
      </w:pPr>
    </w:p>
    <w:p>
      <w:pPr>
        <w:jc w:val="both"/>
        <w:ind w:left="500" w:right="20" w:hanging="474"/>
        <w:spacing w:after="0" w:line="269"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Tax expense or benefit due to non-GAAP adjustments, differences between stock compensation recorded for book purposes as compared to the allowable tax deductions, and valuation allowance recognized against federal and state deferred tax assets in the United States. As of December 31, 2025, a valuation allowance of $103.6 million was not recognized for non-GAAP purposes given our historical and forecasted positive earnings performance. As of December 31, 2024, a valuation allowance of $64 million was not recognized for non-GAAP purposes given the company's historical and forecasted positive earnings performance.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90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3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Twelve months ended</w:t>
            </w:r>
          </w:p>
        </w:tc>
      </w:tr>
      <w:tr>
        <w:trPr>
          <w:trHeight w:val="243"/>
        </w:trPr>
        <w:tc>
          <w:tcPr>
            <w:tcW w:w="6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1"/>
                <w:szCs w:val="21"/>
                <w:color w:val="auto"/>
              </w:rPr>
            </w:pPr>
          </w:p>
        </w:tc>
        <w:tc>
          <w:tcPr>
            <w:tcW w:w="23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29"/>
        </w:trPr>
        <w:tc>
          <w:tcPr>
            <w:tcW w:w="6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Acquisition - amortization of intangible assets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6120" w:type="dxa"/>
            <w:vAlign w:val="bottom"/>
          </w:tcPr>
          <w:p>
            <w:pPr>
              <w:ind w:left="140"/>
              <w:spacing w:after="0" w:line="230" w:lineRule="exact"/>
              <w:rPr>
                <w:sz w:val="20"/>
                <w:szCs w:val="20"/>
                <w:color w:val="auto"/>
              </w:rPr>
            </w:pPr>
            <w:r>
              <w:rPr>
                <w:rFonts w:ascii="Arial" w:cs="Arial" w:eastAsia="Arial" w:hAnsi="Arial"/>
                <w:sz w:val="18"/>
                <w:szCs w:val="18"/>
                <w:color w:val="auto"/>
              </w:rPr>
              <w:t>Depreciation expense</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6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Goodwill and long-lived asset impairment</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29"/>
        </w:trPr>
        <w:tc>
          <w:tcPr>
            <w:tcW w:w="6120" w:type="dxa"/>
            <w:vAlign w:val="bottom"/>
          </w:tcPr>
          <w:p>
            <w:pPr>
              <w:ind w:left="140"/>
              <w:spacing w:after="0" w:line="23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6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Real estate optimization</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120" w:type="dxa"/>
            <w:vAlign w:val="bottom"/>
          </w:tcPr>
          <w:p>
            <w:pPr>
              <w:ind w:left="140"/>
              <w:spacing w:after="0" w:line="230" w:lineRule="exact"/>
              <w:rPr>
                <w:sz w:val="20"/>
                <w:szCs w:val="20"/>
                <w:color w:val="auto"/>
              </w:rPr>
            </w:pPr>
            <w:r>
              <w:rPr>
                <w:rFonts w:ascii="Arial" w:cs="Arial" w:eastAsia="Arial" w:hAnsi="Arial"/>
                <w:sz w:val="18"/>
                <w:szCs w:val="18"/>
                <w:color w:val="auto"/>
              </w:rPr>
              <w:t>Transformation initiatives</w:t>
            </w:r>
            <w:r>
              <w:rPr>
                <w:rFonts w:ascii="Arial" w:cs="Arial" w:eastAsia="Arial" w:hAnsi="Arial"/>
                <w:sz w:val="23"/>
                <w:szCs w:val="23"/>
                <w:color w:val="auto"/>
                <w:vertAlign w:val="superscript"/>
              </w:rPr>
              <w:t>(6)</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6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Strategic realignment</w:t>
            </w:r>
            <w:r>
              <w:rPr>
                <w:rFonts w:ascii="Arial" w:cs="Arial" w:eastAsia="Arial" w:hAnsi="Arial"/>
                <w:sz w:val="23"/>
                <w:szCs w:val="23"/>
                <w:color w:val="auto"/>
                <w:vertAlign w:val="superscript"/>
              </w:rPr>
              <w:t>(7)</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tcPr>
          <w:p>
            <w:pPr>
              <w:ind w:left="140"/>
              <w:spacing w:after="0" w:line="230" w:lineRule="exact"/>
              <w:rPr>
                <w:sz w:val="20"/>
                <w:szCs w:val="20"/>
                <w:color w:val="auto"/>
              </w:rPr>
            </w:pPr>
            <w:r>
              <w:rPr>
                <w:rFonts w:ascii="Arial" w:cs="Arial" w:eastAsia="Arial" w:hAnsi="Arial"/>
                <w:sz w:val="18"/>
                <w:szCs w:val="18"/>
                <w:color w:val="auto"/>
              </w:rPr>
              <w:t>Legal settlements</w:t>
            </w:r>
            <w:r>
              <w:rPr>
                <w:rFonts w:ascii="Arial" w:cs="Arial" w:eastAsia="Arial" w:hAnsi="Arial"/>
                <w:sz w:val="23"/>
                <w:szCs w:val="23"/>
                <w:color w:val="auto"/>
                <w:vertAlign w:val="superscript"/>
              </w:rPr>
              <w:t>(8)</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6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Interest expense, net of interest income</w:t>
            </w:r>
            <w:r>
              <w:rPr>
                <w:rFonts w:ascii="Arial" w:cs="Arial" w:eastAsia="Arial" w:hAnsi="Arial"/>
                <w:sz w:val="23"/>
                <w:szCs w:val="23"/>
                <w:color w:val="auto"/>
                <w:vertAlign w:val="superscript"/>
              </w:rPr>
              <w:t>(9)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120" w:type="dxa"/>
            <w:vAlign w:val="bottom"/>
          </w:tcPr>
          <w:p>
            <w:pPr>
              <w:ind w:left="140"/>
              <w:spacing w:after="0" w:line="230" w:lineRule="exact"/>
              <w:rPr>
                <w:sz w:val="20"/>
                <w:szCs w:val="20"/>
                <w:color w:val="auto"/>
              </w:rPr>
            </w:pPr>
            <w:r>
              <w:rPr>
                <w:rFonts w:ascii="Arial" w:cs="Arial" w:eastAsia="Arial" w:hAnsi="Arial"/>
                <w:sz w:val="18"/>
                <w:szCs w:val="18"/>
                <w:color w:val="auto"/>
              </w:rPr>
              <w:t>Other adjustments</w:t>
            </w:r>
            <w:r>
              <w:rPr>
                <w:rFonts w:ascii="Arial" w:cs="Arial" w:eastAsia="Arial" w:hAnsi="Arial"/>
                <w:sz w:val="23"/>
                <w:szCs w:val="23"/>
                <w:color w:val="auto"/>
                <w:vertAlign w:val="superscript"/>
              </w:rPr>
              <w:t>(10)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Uncertain tax benefits</w:t>
            </w:r>
            <w:r>
              <w:rPr>
                <w:rFonts w:ascii="Arial" w:cs="Arial" w:eastAsia="Arial" w:hAnsi="Arial"/>
                <w:sz w:val="23"/>
                <w:szCs w:val="23"/>
                <w:color w:val="auto"/>
                <w:vertAlign w:val="superscript"/>
              </w:rPr>
              <w:t>(11)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Income tax (benefit) expense</w:t>
            </w:r>
            <w:r>
              <w:rPr>
                <w:rFonts w:ascii="Arial" w:cs="Arial" w:eastAsia="Arial" w:hAnsi="Arial"/>
                <w:sz w:val="23"/>
                <w:szCs w:val="23"/>
                <w:color w:val="auto"/>
                <w:vertAlign w:val="superscript"/>
              </w:rPr>
              <w:t>(12)</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480" w:hanging="454"/>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recurring amortization charges resulting from the acquisition of intangible assets.</w:t>
      </w:r>
    </w:p>
    <w:p>
      <w:pPr>
        <w:spacing w:after="0" w:line="41" w:lineRule="exact"/>
        <w:rPr>
          <w:rFonts w:ascii="Arial" w:cs="Arial" w:eastAsia="Arial" w:hAnsi="Arial"/>
          <w:sz w:val="14"/>
          <w:szCs w:val="14"/>
          <w:color w:val="auto"/>
        </w:rPr>
      </w:pPr>
    </w:p>
    <w:p>
      <w:pPr>
        <w:ind w:left="480" w:right="280" w:hanging="454"/>
        <w:spacing w:after="0" w:line="252"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Depreciation expense excludes depreciation included in real estate optimization of $0.3 million and $1.6 million for the three and twelve months ended December 31, 2024, respectively.</w:t>
      </w:r>
    </w:p>
    <w:p>
      <w:pPr>
        <w:jc w:val="both"/>
        <w:ind w:left="480" w:right="20" w:hanging="454"/>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Expense related to goodwill and long-lived asset impairment. For the twelve months ended December 31, 2025, consists of $319.4 million of impairment expense primarily associated with our Mental Health and Women's Health reporting units and asset groups. For the three months ended December 31, 2024, consists of $43.0 million of impairment expense for a GeneSight developed technology intangible asset. For the twelve months ended December 31, 2024, consists of $43.0 million of impairment expense for a GeneSight developed technology intangible asset and $13.8 million primarily related to the sale of the EndoPredict business to Eurobio Scientific.</w:t>
      </w:r>
    </w:p>
    <w:p>
      <w:pPr>
        <w:spacing w:after="0" w:line="125" w:lineRule="exact"/>
        <w:rPr>
          <w:rFonts w:ascii="Arial" w:cs="Arial" w:eastAsia="Arial" w:hAnsi="Arial"/>
          <w:sz w:val="14"/>
          <w:szCs w:val="14"/>
          <w:color w:val="auto"/>
        </w:rPr>
      </w:pPr>
    </w:p>
    <w:p>
      <w:pPr>
        <w:ind w:left="480" w:hanging="454"/>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the non-cash equity-based compensation provided to Myriad Genetics employees and directors.</w:t>
      </w:r>
    </w:p>
    <w:p>
      <w:pPr>
        <w:spacing w:after="0" w:line="40" w:lineRule="exact"/>
        <w:rPr>
          <w:rFonts w:ascii="Arial" w:cs="Arial" w:eastAsia="Arial" w:hAnsi="Arial"/>
          <w:sz w:val="14"/>
          <w:szCs w:val="14"/>
          <w:color w:val="auto"/>
        </w:rPr>
      </w:pPr>
    </w:p>
    <w:p>
      <w:pPr>
        <w:jc w:val="both"/>
        <w:ind w:left="480" w:right="20" w:hanging="454"/>
        <w:spacing w:after="0" w:line="229"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Costs related to real estate initiatives. For the twelve months ended December 31, 2025, consists of additional rent as a result of the build-out of our new laboratories in Salt Lake City, Utah and South San Francisco, California, while maintaining our previous facilities in those locations. For the three and twelve months ended December 31, 2024, includes additional rent as a result of the build-out of our new laboratories in Salt Lake City, Utah and South San Francisco, California, while maintaining our previous facilities in those locations, costs associated with the voluntary termination of a lease, testing and set-up costs for equipment in our new facilities, and impairment in connection with the ceased use of one of our facilities.</w:t>
      </w:r>
    </w:p>
    <w:p>
      <w:pPr>
        <w:spacing w:after="0" w:line="2" w:lineRule="exact"/>
        <w:rPr>
          <w:rFonts w:ascii="Arial" w:cs="Arial" w:eastAsia="Arial" w:hAnsi="Arial"/>
          <w:sz w:val="14"/>
          <w:szCs w:val="14"/>
          <w:color w:val="auto"/>
        </w:rPr>
      </w:pPr>
    </w:p>
    <w:p>
      <w:pPr>
        <w:ind w:left="480" w:hanging="454"/>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Costs related to transformation initiatives including consulting and professional fees for the twelve months ended December 31, 2024.</w:t>
      </w:r>
    </w:p>
    <w:p>
      <w:pPr>
        <w:spacing w:after="0" w:line="53" w:lineRule="exact"/>
        <w:rPr>
          <w:rFonts w:ascii="Arial" w:cs="Arial" w:eastAsia="Arial" w:hAnsi="Arial"/>
          <w:sz w:val="14"/>
          <w:szCs w:val="14"/>
          <w:color w:val="auto"/>
        </w:rPr>
      </w:pPr>
    </w:p>
    <w:p>
      <w:pPr>
        <w:ind w:left="480" w:hanging="454"/>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Costs related to strategic realignment of the company including severance and consulting fees for the three and twelve months ended December 31, 2025.</w:t>
      </w:r>
    </w:p>
    <w:p>
      <w:pPr>
        <w:spacing w:after="0" w:line="55" w:lineRule="exact"/>
        <w:rPr>
          <w:rFonts w:ascii="Arial" w:cs="Arial" w:eastAsia="Arial" w:hAnsi="Arial"/>
          <w:sz w:val="14"/>
          <w:szCs w:val="14"/>
          <w:color w:val="auto"/>
        </w:rPr>
      </w:pPr>
    </w:p>
    <w:p>
      <w:pPr>
        <w:ind w:left="480" w:right="20" w:hanging="454"/>
        <w:spacing w:after="0" w:line="252"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Costs related to one-time legal expenses. For the three and twelve months ended December 31, 2024, primarily includes reversal of $21.3 million related to the contingent settlement for the Ravgen litigation that is no longer considered probable.</w:t>
      </w:r>
    </w:p>
    <w:p>
      <w:pPr>
        <w:ind w:left="480" w:hanging="454"/>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Derived from interest expense and interest income from the Condensed Consolidated Statements of Operations.</w:t>
      </w:r>
    </w:p>
    <w:p>
      <w:pPr>
        <w:spacing w:after="0" w:line="40" w:lineRule="exact"/>
        <w:rPr>
          <w:rFonts w:ascii="Arial" w:cs="Arial" w:eastAsia="Arial" w:hAnsi="Arial"/>
          <w:sz w:val="14"/>
          <w:szCs w:val="14"/>
          <w:color w:val="auto"/>
        </w:rPr>
      </w:pPr>
    </w:p>
    <w:p>
      <w:pPr>
        <w:ind w:left="480" w:right="20" w:hanging="454"/>
        <w:spacing w:after="0" w:line="252"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one-time non-recurring expenses. For purposes of adjusted EBITDA, this includes Other adjustments described in the Adjusted Net Income table above as well as the amounts reported as Other income (expense) in the Condensed Consolidated Statement of Operations.</w:t>
      </w:r>
    </w:p>
    <w:p>
      <w:pPr>
        <w:ind w:left="480" w:right="80" w:hanging="454"/>
        <w:spacing w:after="0" w:line="234"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the release of unrecognized tax benefits and the recognition of valuation allowances for the three and twelve months ended December 31, 2025. The unrecognized tax benefits released were primarily related to tax years under Joint Committee on Taxation review, which upon conclusion of the review were remeasured or released.</w:t>
      </w:r>
    </w:p>
    <w:p>
      <w:pPr>
        <w:spacing w:after="0" w:line="13" w:lineRule="exact"/>
        <w:rPr>
          <w:rFonts w:ascii="Arial" w:cs="Arial" w:eastAsia="Arial" w:hAnsi="Arial"/>
          <w:sz w:val="14"/>
          <w:szCs w:val="14"/>
          <w:color w:val="auto"/>
        </w:rPr>
      </w:pPr>
    </w:p>
    <w:p>
      <w:pPr>
        <w:ind w:left="480" w:right="260" w:hanging="454"/>
        <w:spacing w:after="0" w:line="264"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Derived from income tax (benefit) expense from the Condensed Consolidated Statement of Operations, net of the adjustment for unrecognized tax benefits described above in Note 11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90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22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Twelve months ended</w:t>
            </w:r>
          </w:p>
        </w:tc>
      </w:tr>
      <w:tr>
        <w:trPr>
          <w:trHeight w:val="243"/>
        </w:trPr>
        <w:tc>
          <w:tcPr>
            <w:tcW w:w="6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20" w:type="dxa"/>
            <w:vAlign w:val="bottom"/>
          </w:tcPr>
          <w:p>
            <w:pPr>
              <w:spacing w:after="0"/>
              <w:rPr>
                <w:sz w:val="21"/>
                <w:szCs w:val="21"/>
                <w:color w:val="auto"/>
              </w:rPr>
            </w:pPr>
          </w:p>
        </w:tc>
        <w:tc>
          <w:tcPr>
            <w:tcW w:w="22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and free cash flow</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Real estate optimization</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6160" w:type="dxa"/>
            <w:vAlign w:val="bottom"/>
          </w:tcPr>
          <w:p>
            <w:pPr>
              <w:ind w:left="140"/>
              <w:spacing w:after="0" w:line="230" w:lineRule="exact"/>
              <w:rPr>
                <w:sz w:val="20"/>
                <w:szCs w:val="20"/>
                <w:color w:val="auto"/>
              </w:rPr>
            </w:pPr>
            <w:r>
              <w:rPr>
                <w:rFonts w:ascii="Arial" w:cs="Arial" w:eastAsia="Arial" w:hAnsi="Arial"/>
                <w:sz w:val="18"/>
                <w:szCs w:val="18"/>
                <w:color w:val="auto"/>
              </w:rPr>
              <w:t>Transformation initiatives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6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Strategic realignment</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Pr>
          <w:p>
            <w:pPr>
              <w:ind w:left="140"/>
              <w:spacing w:after="0" w:line="230" w:lineRule="exact"/>
              <w:rPr>
                <w:sz w:val="20"/>
                <w:szCs w:val="20"/>
                <w:color w:val="auto"/>
              </w:rPr>
            </w:pPr>
            <w:r>
              <w:rPr>
                <w:rFonts w:ascii="Arial" w:cs="Arial" w:eastAsia="Arial" w:hAnsi="Arial"/>
                <w:sz w:val="18"/>
                <w:szCs w:val="18"/>
                <w:color w:val="auto"/>
              </w:rPr>
              <w:t>Legal settlements</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6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Contingent consideration payment</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160" w:type="dxa"/>
            <w:vAlign w:val="bottom"/>
          </w:tcPr>
          <w:p>
            <w:pPr>
              <w:ind w:left="140"/>
              <w:spacing w:after="0" w:line="230" w:lineRule="exact"/>
              <w:rPr>
                <w:sz w:val="20"/>
                <w:szCs w:val="20"/>
                <w:color w:val="auto"/>
              </w:rPr>
            </w:pPr>
            <w:r>
              <w:rPr>
                <w:rFonts w:ascii="Arial" w:cs="Arial" w:eastAsia="Arial" w:hAnsi="Arial"/>
                <w:sz w:val="18"/>
                <w:szCs w:val="18"/>
                <w:color w:val="auto"/>
              </w:rPr>
              <w:t>Other adjustments</w:t>
            </w:r>
            <w:r>
              <w:rPr>
                <w:rFonts w:ascii="Arial" w:cs="Arial" w:eastAsia="Arial" w:hAnsi="Arial"/>
                <w:sz w:val="23"/>
                <w:szCs w:val="23"/>
                <w:color w:val="auto"/>
                <w:vertAlign w:val="superscript"/>
              </w:rPr>
              <w:t>(6)</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cash flow</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6160" w:type="dxa"/>
            <w:vAlign w:val="bottom"/>
          </w:tcPr>
          <w:p>
            <w:pPr>
              <w:ind w:left="14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6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Capitalization of internal-use software costs </w:t>
            </w:r>
            <w:r>
              <w:rPr>
                <w:rFonts w:ascii="Arial" w:cs="Arial" w:eastAsia="Arial" w:hAnsi="Arial"/>
                <w:sz w:val="23"/>
                <w:szCs w:val="23"/>
                <w:color w:val="auto"/>
                <w:vertAlign w:val="superscript"/>
              </w:rPr>
              <w:t>(7)</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Adjusted free cash flow</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480" w:hanging="454"/>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cash flow effect of real estate optimizations, excluding non-cash items such as accelerated depreciation.</w:t>
      </w:r>
    </w:p>
    <w:p>
      <w:pPr>
        <w:spacing w:after="0" w:line="41" w:lineRule="exact"/>
        <w:rPr>
          <w:rFonts w:ascii="Arial" w:cs="Arial" w:eastAsia="Arial" w:hAnsi="Arial"/>
          <w:sz w:val="14"/>
          <w:szCs w:val="14"/>
          <w:color w:val="auto"/>
        </w:rPr>
      </w:pPr>
    </w:p>
    <w:p>
      <w:pPr>
        <w:ind w:left="480" w:hanging="454"/>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Transformation initiatives includes the cash paid for those costs in the related periods.</w:t>
      </w:r>
    </w:p>
    <w:p>
      <w:pPr>
        <w:spacing w:after="0" w:line="41" w:lineRule="exact"/>
        <w:rPr>
          <w:rFonts w:ascii="Arial" w:cs="Arial" w:eastAsia="Arial" w:hAnsi="Arial"/>
          <w:sz w:val="14"/>
          <w:szCs w:val="14"/>
          <w:color w:val="auto"/>
        </w:rPr>
      </w:pPr>
    </w:p>
    <w:p>
      <w:pPr>
        <w:ind w:left="480" w:hanging="454"/>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Strategic realignment includes the cash paid for those costs for the three and twelve months ended December 31, 2025.</w:t>
      </w:r>
    </w:p>
    <w:p>
      <w:pPr>
        <w:spacing w:after="0" w:line="41" w:lineRule="exact"/>
        <w:rPr>
          <w:rFonts w:ascii="Arial" w:cs="Arial" w:eastAsia="Arial" w:hAnsi="Arial"/>
          <w:sz w:val="14"/>
          <w:szCs w:val="14"/>
          <w:color w:val="auto"/>
        </w:rPr>
      </w:pPr>
    </w:p>
    <w:p>
      <w:pPr>
        <w:ind w:left="480" w:hanging="454"/>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cash flow effect of legal expense in the related period.</w:t>
      </w:r>
    </w:p>
    <w:p>
      <w:pPr>
        <w:spacing w:after="0" w:line="41" w:lineRule="exact"/>
        <w:rPr>
          <w:rFonts w:ascii="Arial" w:cs="Arial" w:eastAsia="Arial" w:hAnsi="Arial"/>
          <w:sz w:val="14"/>
          <w:szCs w:val="14"/>
          <w:color w:val="auto"/>
        </w:rPr>
      </w:pPr>
    </w:p>
    <w:p>
      <w:pPr>
        <w:ind w:left="480" w:hanging="454"/>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payment of contingent consideration related to the previous acquisition of Sividon Diagnostics GmbH.</w:t>
      </w:r>
    </w:p>
    <w:p>
      <w:pPr>
        <w:spacing w:after="0" w:line="41" w:lineRule="exact"/>
        <w:rPr>
          <w:rFonts w:ascii="Arial" w:cs="Arial" w:eastAsia="Arial" w:hAnsi="Arial"/>
          <w:sz w:val="14"/>
          <w:szCs w:val="14"/>
          <w:color w:val="auto"/>
        </w:rPr>
      </w:pPr>
    </w:p>
    <w:p>
      <w:pPr>
        <w:ind w:left="480" w:hanging="454"/>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cash flow effect of executive personnel changes and severance for the twelve months ended December 31, 2024.</w:t>
      </w:r>
    </w:p>
    <w:p>
      <w:pPr>
        <w:spacing w:after="0" w:line="41" w:lineRule="exact"/>
        <w:rPr>
          <w:rFonts w:ascii="Arial" w:cs="Arial" w:eastAsia="Arial" w:hAnsi="Arial"/>
          <w:sz w:val="14"/>
          <w:szCs w:val="14"/>
          <w:color w:val="auto"/>
        </w:rPr>
      </w:pPr>
    </w:p>
    <w:p>
      <w:pPr>
        <w:ind w:left="480" w:hanging="454"/>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Derived from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sectPr>
      <w:pgSz w:w="11900" w:h="16838" w:orient="portrait"/>
      <w:cols w:equalWidth="0" w:num="1">
        <w:col w:w="11240"/>
      </w:cols>
      <w:pgMar w:left="320" w:top="12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bullet"/>
      <w:start w:val="1"/>
    </w:lvl>
  </w:abstractNum>
  <w:abstractNum w:abstractNumId="3">
    <w:nsid w:val="3352255A"/>
    <w:multiLevelType w:val="hybridMultilevel"/>
    <w:lvl w:ilvl="0">
      <w:lvlJc w:val="left"/>
      <w:lvlText w:val="2"/>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decimal"/>
      <w:start w:val="801"/>
    </w:lvl>
  </w:abstractNum>
  <w:abstractNum w:abstractNumId="17">
    <w:nsid w:val="62BBD95A"/>
    <w:multiLevelType w:val="hybridMultilevel"/>
    <w:lvl w:ilvl="0">
      <w:lvlJc w:val="left"/>
      <w:lvlText w:val="(%1)"/>
      <w:numFmt w:val="decimal"/>
      <w:start w:val="224"/>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2026-02-23T15:15:48Z</dcterms:created>
  <dcterms:modified xsi:type="dcterms:W3CDTF">2026-02-23T15:15:48Z</dcterms:modified>
</cp:coreProperties>
</file>