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62855J104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8"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85"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8"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4,262,021 (See Item 4(a))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0"/>
                <w:szCs w:val="10"/>
                <w:color w:val="auto"/>
              </w:rPr>
            </w:pPr>
          </w:p>
        </w:tc>
        <w:tc>
          <w:tcPr>
            <w:tcW w:w="78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6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84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4,262,021 (See Item 4(a))</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4,262,021 (See Item 4(a))</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4.7%</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4,262,021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4,262,021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4,262,021 (See Item 4(a))</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4.7%</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4,262,021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4,262,021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4,262,021 (See Item 4(a))</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4.7%</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580" w:right="8080" w:hanging="465"/>
        <w:spacing w:after="0" w:line="501" w:lineRule="auto"/>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Myriad Genetics, Inc.</w:t>
      </w:r>
    </w:p>
    <w:p>
      <w:pPr>
        <w:ind w:left="1580" w:hanging="465"/>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322 North 2200 West</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Salt Lake City, Utah 84116</w:t>
      </w:r>
    </w:p>
    <w:p>
      <w:pPr>
        <w:spacing w:after="0" w:line="211"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65"/>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4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 ("Common Stock")</w:t>
      </w:r>
    </w:p>
    <w:p>
      <w:pPr>
        <w:spacing w:after="0" w:line="252" w:lineRule="exact"/>
        <w:rPr>
          <w:rFonts w:ascii="Times New Roman" w:cs="Times New Roman" w:eastAsia="Times New Roman" w:hAnsi="Times New Roman"/>
          <w:sz w:val="18"/>
          <w:szCs w:val="18"/>
          <w:color w:val="auto"/>
        </w:rPr>
      </w:pPr>
    </w:p>
    <w:p>
      <w:pPr>
        <w:ind w:left="1580" w:right="8480" w:hanging="465"/>
        <w:spacing w:after="0" w:line="639" w:lineRule="auto"/>
        <w:tabs>
          <w:tab w:leader="none" w:pos="1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62855J104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185" w:lineRule="exact"/>
        <w:rPr>
          <w:sz w:val="20"/>
          <w:szCs w:val="20"/>
          <w:color w:val="auto"/>
        </w:rPr>
      </w:pPr>
    </w:p>
    <w:p>
      <w:pPr>
        <w:ind w:firstLine="152"/>
        <w:spacing w:after="0" w:line="275" w:lineRule="auto"/>
        <w:rPr>
          <w:sz w:val="20"/>
          <w:szCs w:val="20"/>
          <w:color w:val="auto"/>
        </w:rPr>
      </w:pPr>
      <w:r>
        <w:rPr>
          <w:rFonts w:ascii="Times New Roman" w:cs="Times New Roman" w:eastAsia="Times New Roman" w:hAnsi="Times New Roman"/>
          <w:sz w:val="18"/>
          <w:szCs w:val="18"/>
          <w:color w:val="auto"/>
        </w:rPr>
        <w:t>After acquiring beneficial ownership of more than 5% of the outstanding Common Stock on March 12, 2024, the reporting persons ceased to be beneficial owners of more than 5% of the outstanding Common Stock by the date of this filing.</w:t>
      </w:r>
    </w:p>
    <w:p>
      <w:pPr>
        <w:spacing w:after="0" w:line="200" w:lineRule="exact"/>
        <w:rPr>
          <w:sz w:val="20"/>
          <w:szCs w:val="20"/>
          <w:color w:val="auto"/>
        </w:rPr>
      </w:pPr>
    </w:p>
    <w:p>
      <w:pPr>
        <w:spacing w:after="0" w:line="3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85" w:lineRule="exact"/>
        <w:rPr>
          <w:sz w:val="20"/>
          <w:szCs w:val="20"/>
          <w:color w:val="auto"/>
        </w:rPr>
      </w:pPr>
    </w:p>
    <w:p>
      <w:pPr>
        <w:ind w:left="300" w:hanging="248"/>
        <w:spacing w:after="0"/>
        <w:tabs>
          <w:tab w:leader="none" w:pos="30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86" w:lineRule="auto"/>
        <w:tabs>
          <w:tab w:leader="none" w:pos="758"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March 15, 2024, by and among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15,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Myriad Genetics,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15,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2"/>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2"/>
      <w:numFmt w:val="bullet"/>
      <w:start w:val="1"/>
    </w:lvl>
    <w:lvl w:ilvl="1">
      <w:lvlJc w:val="left"/>
      <w:lvlText w:val="(%2)"/>
      <w:numFmt w:val="lowerLetter"/>
      <w:start w:val="2"/>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lvl w:ilvl="1">
      <w:lvlJc w:val="left"/>
      <w:lvlText w:val="(%2)"/>
      <w:numFmt w:val="lowerLetter"/>
      <w:start w:val="2"/>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2024-03-18T15:48:53Z</dcterms:created>
  <dcterms:modified xsi:type="dcterms:W3CDTF">2024-03-18T15:48:53Z</dcterms:modified>
</cp:coreProperties>
</file>