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4, 2026</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MYRIAD GENETICS,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63" w:lineRule="exact"/>
        <w:rPr>
          <w:sz w:val="24"/>
          <w:szCs w:val="24"/>
          <w:color w:val="auto"/>
        </w:rPr>
      </w:pPr>
    </w:p>
    <w:tbl>
      <w:tblPr>
        <w:tblLayout w:type="fixed"/>
        <w:tblInd w:w="840" w:type="dxa"/>
        <w:tblCellMar>
          <w:top w:w="0" w:type="dxa"/>
          <w:left w:w="0" w:type="dxa"/>
          <w:bottom w:w="0" w:type="dxa"/>
          <w:right w:w="0" w:type="dxa"/>
        </w:tblCellMar>
      </w:tblPr>
      <w:tr>
        <w:trPr>
          <w:trHeight w:val="227"/>
        </w:trPr>
        <w:tc>
          <w:tcPr>
            <w:tcW w:w="200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0-26642</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8"/>
                <w:szCs w:val="18"/>
                <w:b w:val="1"/>
                <w:bCs w:val="1"/>
                <w:color w:val="auto"/>
              </w:rPr>
              <w:t>87-0494517</w:t>
            </w:r>
          </w:p>
        </w:tc>
      </w:tr>
      <w:tr>
        <w:trPr>
          <w:trHeight w:val="148"/>
        </w:trPr>
        <w:tc>
          <w:tcPr>
            <w:tcW w:w="200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7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80" w:type="dxa"/>
            <w:vAlign w:val="bottom"/>
          </w:tcPr>
          <w:p>
            <w:pPr>
              <w:jc w:val="center"/>
              <w:ind w:left="2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7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322 North 2200 West</w:t>
            </w:r>
          </w:p>
        </w:tc>
        <w:tc>
          <w:tcPr>
            <w:tcW w:w="1480" w:type="dxa"/>
            <w:vAlign w:val="bottom"/>
          </w:tcPr>
          <w:p>
            <w:pPr>
              <w:spacing w:after="0"/>
              <w:rPr>
                <w:sz w:val="24"/>
                <w:szCs w:val="24"/>
                <w:color w:val="auto"/>
              </w:rPr>
            </w:pPr>
          </w:p>
        </w:tc>
      </w:tr>
      <w:tr>
        <w:trPr>
          <w:trHeight w:val="214"/>
        </w:trPr>
        <w:tc>
          <w:tcPr>
            <w:tcW w:w="2000" w:type="dxa"/>
            <w:vAlign w:val="bottom"/>
          </w:tcPr>
          <w:p>
            <w:pPr>
              <w:spacing w:after="0"/>
              <w:rPr>
                <w:sz w:val="18"/>
                <w:szCs w:val="18"/>
                <w:color w:val="auto"/>
              </w:rPr>
            </w:pP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Salt Lake City, Utah 84116</w:t>
            </w:r>
          </w:p>
        </w:tc>
        <w:tc>
          <w:tcPr>
            <w:tcW w:w="1480" w:type="dxa"/>
            <w:vAlign w:val="bottom"/>
          </w:tcPr>
          <w:p>
            <w:pPr>
              <w:spacing w:after="0"/>
              <w:rPr>
                <w:sz w:val="18"/>
                <w:szCs w:val="18"/>
                <w:color w:val="auto"/>
              </w:rPr>
            </w:pPr>
          </w:p>
        </w:tc>
      </w:tr>
      <w:tr>
        <w:trPr>
          <w:trHeight w:val="190"/>
        </w:trPr>
        <w:tc>
          <w:tcPr>
            <w:tcW w:w="2000" w:type="dxa"/>
            <w:vAlign w:val="bottom"/>
          </w:tcPr>
          <w:p>
            <w:pPr>
              <w:spacing w:after="0"/>
              <w:rPr>
                <w:sz w:val="16"/>
                <w:szCs w:val="16"/>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80" w:type="dxa"/>
            <w:vAlign w:val="bottom"/>
          </w:tcPr>
          <w:p>
            <w:pPr>
              <w:spacing w:after="0"/>
              <w:rPr>
                <w:sz w:val="16"/>
                <w:szCs w:val="16"/>
                <w:color w:val="auto"/>
              </w:rPr>
            </w:pPr>
          </w:p>
        </w:tc>
      </w:tr>
      <w:tr>
        <w:trPr>
          <w:trHeight w:val="320"/>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(801) 584-3600</w:t>
            </w:r>
          </w:p>
        </w:tc>
        <w:tc>
          <w:tcPr>
            <w:tcW w:w="1480" w:type="dxa"/>
            <w:vAlign w:val="bottom"/>
          </w:tcPr>
          <w:p>
            <w:pPr>
              <w:spacing w:after="0"/>
              <w:rPr>
                <w:sz w:val="24"/>
                <w:szCs w:val="24"/>
                <w:color w:val="auto"/>
              </w:rPr>
            </w:pPr>
          </w:p>
        </w:tc>
      </w:tr>
      <w:tr>
        <w:trPr>
          <w:trHeight w:val="299"/>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480" w:type="dxa"/>
            <w:vAlign w:val="bottom"/>
          </w:tcPr>
          <w:p>
            <w:pPr>
              <w:spacing w:after="0"/>
              <w:rPr>
                <w:sz w:val="24"/>
                <w:szCs w:val="24"/>
                <w:color w:val="auto"/>
              </w:rPr>
            </w:pPr>
          </w:p>
        </w:tc>
      </w:tr>
      <w:tr>
        <w:trPr>
          <w:trHeight w:val="190"/>
        </w:trPr>
        <w:tc>
          <w:tcPr>
            <w:tcW w:w="2000" w:type="dxa"/>
            <w:vAlign w:val="bottom"/>
          </w:tcPr>
          <w:p>
            <w:pPr>
              <w:spacing w:after="0"/>
              <w:rPr>
                <w:sz w:val="16"/>
                <w:szCs w:val="16"/>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80" w:type="dxa"/>
            <w:vAlign w:val="bottom"/>
          </w:tcPr>
          <w:p>
            <w:pPr>
              <w:spacing w:after="0"/>
              <w:rPr>
                <w:sz w:val="16"/>
                <w:szCs w:val="16"/>
                <w:color w:val="auto"/>
              </w:rPr>
            </w:pPr>
          </w:p>
        </w:tc>
      </w:tr>
    </w:tbl>
    <w:p>
      <w:pPr>
        <w:spacing w:after="0" w:line="23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right="2520" w:firstLine="26"/>
        <w:spacing w:after="0" w:line="528"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7"/>
        </w:trPr>
        <w:tc>
          <w:tcPr>
            <w:tcW w:w="4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6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Trading</w:t>
            </w:r>
          </w:p>
        </w:tc>
        <w:tc>
          <w:tcPr>
            <w:tcW w:w="4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4420" w:type="dxa"/>
            <w:vAlign w:val="bottom"/>
            <w:gridSpan w:val="2"/>
            <w:vMerge w:val="continue"/>
          </w:tcPr>
          <w:p>
            <w:pPr>
              <w:spacing w:after="0"/>
              <w:rPr>
                <w:sz w:val="17"/>
                <w:szCs w:val="17"/>
                <w:color w:val="auto"/>
              </w:rPr>
            </w:pPr>
          </w:p>
        </w:tc>
        <w:tc>
          <w:tcPr>
            <w:tcW w:w="2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$0.01 par value</w:t>
            </w:r>
          </w:p>
        </w:tc>
        <w:tc>
          <w:tcPr>
            <w:tcW w:w="280" w:type="dxa"/>
            <w:vAlign w:val="bottom"/>
          </w:tcPr>
          <w:p>
            <w:pPr>
              <w:spacing w:after="0"/>
              <w:rPr>
                <w:sz w:val="14"/>
                <w:szCs w:val="14"/>
                <w:color w:val="auto"/>
              </w:rPr>
            </w:pPr>
          </w:p>
        </w:tc>
        <w:tc>
          <w:tcPr>
            <w:tcW w:w="2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MYGN</w:t>
            </w:r>
          </w:p>
        </w:tc>
        <w:tc>
          <w:tcPr>
            <w:tcW w:w="280" w:type="dxa"/>
            <w:vAlign w:val="bottom"/>
          </w:tcPr>
          <w:p>
            <w:pPr>
              <w:spacing w:after="0"/>
              <w:rPr>
                <w:sz w:val="14"/>
                <w:szCs w:val="14"/>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Nasdaq Global Select Market</w:t>
            </w:r>
          </w:p>
        </w:tc>
        <w:tc>
          <w:tcPr>
            <w:tcW w:w="0" w:type="dxa"/>
            <w:vAlign w:val="bottom"/>
          </w:tcPr>
          <w:p>
            <w:pPr>
              <w:spacing w:after="0"/>
              <w:rPr>
                <w:sz w:val="1"/>
                <w:szCs w:val="1"/>
                <w:color w:val="auto"/>
              </w:rPr>
            </w:pPr>
          </w:p>
        </w:tc>
      </w:tr>
    </w:tbl>
    <w:p>
      <w:pPr>
        <w:spacing w:after="0" w:line="20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ind w:right="180"/>
        <w:spacing w:after="0" w:line="318"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reported below in Item 5.07, Myriad Genetics, Inc. (the “Company”) held its 2026 Annual Meeting of Stockholders (the “Annual Meeting”), at which the Company's stockholders approved an amendment to the Company's Amended and Restated 2012 Employee Stock Purchase Plan (the "Purchase Plan"), to increase the number of shares authorized for issuance under the Purchase Plan by an additional 4,000,000 shares. A summary of the material terms of the Purchase Plan is set forth in the Company's definitive proxy statement for the Annual Meeting, which was filed with the Securities and Exchange Commission on April 14, 2026 (the “Proxy Statement”). A copy of the Purchase Plan is attached as Exhibit 10.1 to this Current Report on Form 8-K and is incorporated herein by reference.</w:t>
      </w:r>
    </w:p>
    <w:p>
      <w:pPr>
        <w:spacing w:after="0" w:line="21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at the Annual Meeting, the Company's stockholders approved the Company's 2026 Employee, Director and Consultant Equity Incentive Plan (the “2026 Plan”). The 2026 Plan provides for the issuance of 6,400,000 shares of Company common stock plus 2,063,567 shares of Company common stock that remained available for grant under the Company's 2017 Employee, Director and Consultant Equity Incentive Plan, as amended (the “2017 Plan”), as of the date of the Annual Meeting, and were rolled over and became available for issuance under the 2026 Plan, for a total of 8,463,567 shares. The share reserve under the 2026 Plan may also be increased by shares underlying awards granted under the 2017 Plan that are forfeited, expire, or are cancelled without the delivery of shares on or after the date of the Annual Meeting, up to a maximum of 8,659,575 shares. No future awards will be granted under the 2017 Plan.</w:t>
      </w:r>
    </w:p>
    <w:p>
      <w:pPr>
        <w:spacing w:after="0" w:line="21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summary of the material terms of the 2026 Plan is set forth in the Proxy Statement. A copy of the 2026 Plan is attached as Exhibit 10.2 to this Current Report on Form 8-K and is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5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June 4, 2026, the Company held its Annual Meeting. Of the 94,443,029 shares of Company common stock outstanding as of the record date of April 8, 2026, a quorum of 77,758,631 shares, or approximately 82.33% of the outstanding shares of Company common stock, was present via webcast or represented by proxy.</w:t>
      </w:r>
    </w:p>
    <w:p>
      <w:pPr>
        <w:spacing w:after="0" w:line="210" w:lineRule="exact"/>
        <w:rPr>
          <w:sz w:val="20"/>
          <w:szCs w:val="20"/>
          <w:color w:val="auto"/>
        </w:rPr>
      </w:pPr>
    </w:p>
    <w:p>
      <w:pPr>
        <w:jc w:val="both"/>
        <w:ind w:right="20" w:firstLine="324"/>
        <w:spacing w:after="0" w:line="313" w:lineRule="auto"/>
        <w:rPr>
          <w:sz w:val="20"/>
          <w:szCs w:val="20"/>
          <w:color w:val="auto"/>
        </w:rPr>
      </w:pPr>
      <w:r>
        <w:rPr>
          <w:rFonts w:ascii="Times New Roman" w:cs="Times New Roman" w:eastAsia="Times New Roman" w:hAnsi="Times New Roman"/>
          <w:sz w:val="18"/>
          <w:szCs w:val="18"/>
          <w:color w:val="auto"/>
        </w:rPr>
        <w:t>The following is a brief description of each matter submitted to a vote at the Annual Meeting, as well as the number of votes cast for and against and the number of abstentions and broker non-votes with respect to each matter.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Proposal No. 1: Election of Directors</w:t>
            </w: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504"/>
        </w:trPr>
        <w:tc>
          <w:tcPr>
            <w:tcW w:w="4360" w:type="dxa"/>
            <w:vAlign w:val="bottom"/>
          </w:tcPr>
          <w:p>
            <w:pPr>
              <w:spacing w:after="0"/>
              <w:rPr>
                <w:sz w:val="24"/>
                <w:szCs w:val="24"/>
                <w:color w:val="auto"/>
              </w:rPr>
            </w:pPr>
          </w:p>
        </w:tc>
        <w:tc>
          <w:tcPr>
            <w:tcW w:w="18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18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38"/>
        </w:trPr>
        <w:tc>
          <w:tcPr>
            <w:tcW w:w="4360" w:type="dxa"/>
            <w:vAlign w:val="bottom"/>
          </w:tcPr>
          <w:p>
            <w:pPr>
              <w:spacing w:after="0"/>
              <w:rPr>
                <w:sz w:val="20"/>
                <w:szCs w:val="20"/>
                <w:color w:val="auto"/>
              </w:rPr>
            </w:pPr>
          </w:p>
        </w:tc>
        <w:tc>
          <w:tcPr>
            <w:tcW w:w="18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8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Abstained</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71"/>
        </w:trPr>
        <w:tc>
          <w:tcPr>
            <w:tcW w:w="4360" w:type="dxa"/>
            <w:vAlign w:val="bottom"/>
            <w:tcBorders>
              <w:top w:val="single" w:sz="8" w:color="80B8E6"/>
              <w:bottom w:val="single" w:sz="8" w:color="80B8E6"/>
            </w:tcBorders>
            <w:shd w:val="clear" w:color="auto" w:fill="80B8E6"/>
          </w:tcPr>
          <w:p>
            <w:pPr>
              <w:ind w:left="20"/>
              <w:spacing w:after="0"/>
              <w:rPr>
                <w:sz w:val="20"/>
                <w:szCs w:val="20"/>
                <w:color w:val="auto"/>
              </w:rPr>
            </w:pPr>
            <w:r>
              <w:rPr>
                <w:rFonts w:ascii="Times New Roman" w:cs="Times New Roman" w:eastAsia="Times New Roman" w:hAnsi="Times New Roman"/>
                <w:sz w:val="18"/>
                <w:szCs w:val="18"/>
                <w:color w:val="auto"/>
              </w:rPr>
              <w:t>Paul M. Bisaro</w:t>
            </w:r>
          </w:p>
        </w:tc>
        <w:tc>
          <w:tcPr>
            <w:tcW w:w="1380" w:type="dxa"/>
            <w:vAlign w:val="bottom"/>
            <w:tcBorders>
              <w:top w:val="single" w:sz="8" w:color="auto"/>
              <w:bottom w:val="single" w:sz="8" w:color="80B8E6"/>
            </w:tcBorders>
            <w:shd w:val="clear" w:color="auto" w:fill="80B8E6"/>
          </w:tcPr>
          <w:p>
            <w:pPr>
              <w:jc w:val="center"/>
              <w:spacing w:after="0"/>
              <w:rPr>
                <w:sz w:val="20"/>
                <w:szCs w:val="20"/>
                <w:color w:val="auto"/>
              </w:rPr>
            </w:pPr>
            <w:r>
              <w:rPr>
                <w:rFonts w:ascii="Times New Roman" w:cs="Times New Roman" w:eastAsia="Times New Roman" w:hAnsi="Times New Roman"/>
                <w:sz w:val="18"/>
                <w:szCs w:val="18"/>
                <w:color w:val="auto"/>
                <w:w w:val="98"/>
              </w:rPr>
              <w:t>61,842,900</w:t>
            </w:r>
          </w:p>
        </w:tc>
        <w:tc>
          <w:tcPr>
            <w:tcW w:w="460" w:type="dxa"/>
            <w:vAlign w:val="bottom"/>
            <w:tcBorders>
              <w:top w:val="single" w:sz="8" w:color="80B8E6"/>
              <w:bottom w:val="single" w:sz="8" w:color="80B8E6"/>
            </w:tcBorders>
            <w:shd w:val="clear" w:color="auto" w:fill="80B8E6"/>
          </w:tcPr>
          <w:p>
            <w:pPr>
              <w:spacing w:after="0"/>
              <w:rPr>
                <w:sz w:val="23"/>
                <w:szCs w:val="23"/>
                <w:color w:val="auto"/>
              </w:rPr>
            </w:pPr>
          </w:p>
        </w:tc>
        <w:tc>
          <w:tcPr>
            <w:tcW w:w="1360" w:type="dxa"/>
            <w:vAlign w:val="bottom"/>
            <w:tcBorders>
              <w:top w:val="single" w:sz="8" w:color="auto"/>
              <w:bottom w:val="single" w:sz="8" w:color="80B8E6"/>
            </w:tcBorders>
            <w:shd w:val="clear" w:color="auto" w:fill="80B8E6"/>
          </w:tcPr>
          <w:p>
            <w:pPr>
              <w:jc w:val="center"/>
              <w:spacing w:after="0"/>
              <w:rPr>
                <w:sz w:val="20"/>
                <w:szCs w:val="20"/>
                <w:color w:val="auto"/>
              </w:rPr>
            </w:pPr>
            <w:r>
              <w:rPr>
                <w:rFonts w:ascii="Times New Roman" w:cs="Times New Roman" w:eastAsia="Times New Roman" w:hAnsi="Times New Roman"/>
                <w:sz w:val="18"/>
                <w:szCs w:val="18"/>
                <w:color w:val="auto"/>
              </w:rPr>
              <w:t>637,156</w:t>
            </w:r>
          </w:p>
        </w:tc>
        <w:tc>
          <w:tcPr>
            <w:tcW w:w="460" w:type="dxa"/>
            <w:vAlign w:val="bottom"/>
            <w:tcBorders>
              <w:top w:val="single" w:sz="8" w:color="80B8E6"/>
              <w:bottom w:val="single" w:sz="8" w:color="80B8E6"/>
            </w:tcBorders>
            <w:shd w:val="clear" w:color="auto" w:fill="80B8E6"/>
          </w:tcPr>
          <w:p>
            <w:pPr>
              <w:spacing w:after="0"/>
              <w:rPr>
                <w:sz w:val="23"/>
                <w:szCs w:val="23"/>
                <w:color w:val="auto"/>
              </w:rPr>
            </w:pPr>
          </w:p>
        </w:tc>
        <w:tc>
          <w:tcPr>
            <w:tcW w:w="1240" w:type="dxa"/>
            <w:vAlign w:val="bottom"/>
            <w:tcBorders>
              <w:top w:val="single" w:sz="8" w:color="auto"/>
              <w:bottom w:val="single" w:sz="8" w:color="80B8E6"/>
            </w:tcBorders>
            <w:shd w:val="clear" w:color="auto" w:fill="80B8E6"/>
          </w:tcPr>
          <w:p>
            <w:pPr>
              <w:jc w:val="center"/>
              <w:spacing w:after="0"/>
              <w:rPr>
                <w:sz w:val="20"/>
                <w:szCs w:val="20"/>
                <w:color w:val="auto"/>
              </w:rPr>
            </w:pPr>
            <w:r>
              <w:rPr>
                <w:rFonts w:ascii="Times New Roman" w:cs="Times New Roman" w:eastAsia="Times New Roman" w:hAnsi="Times New Roman"/>
                <w:sz w:val="18"/>
                <w:szCs w:val="18"/>
                <w:color w:val="auto"/>
                <w:w w:val="96"/>
              </w:rPr>
              <w:t>23,264</w:t>
            </w:r>
          </w:p>
        </w:tc>
        <w:tc>
          <w:tcPr>
            <w:tcW w:w="460" w:type="dxa"/>
            <w:vAlign w:val="bottom"/>
            <w:tcBorders>
              <w:top w:val="single" w:sz="8" w:color="80B8E6"/>
              <w:bottom w:val="single" w:sz="8" w:color="80B8E6"/>
            </w:tcBorders>
            <w:shd w:val="clear" w:color="auto" w:fill="80B8E6"/>
          </w:tcPr>
          <w:p>
            <w:pPr>
              <w:spacing w:after="0"/>
              <w:rPr>
                <w:sz w:val="23"/>
                <w:szCs w:val="23"/>
                <w:color w:val="auto"/>
              </w:rPr>
            </w:pPr>
          </w:p>
        </w:tc>
        <w:tc>
          <w:tcPr>
            <w:tcW w:w="1400" w:type="dxa"/>
            <w:vAlign w:val="bottom"/>
            <w:tcBorders>
              <w:top w:val="single" w:sz="8" w:color="auto"/>
              <w:bottom w:val="single" w:sz="8" w:color="80B8E6"/>
            </w:tcBorders>
            <w:shd w:val="clear" w:color="auto" w:fill="80B8E6"/>
          </w:tcPr>
          <w:p>
            <w:pPr>
              <w:jc w:val="center"/>
              <w:spacing w:after="0"/>
              <w:rPr>
                <w:sz w:val="20"/>
                <w:szCs w:val="20"/>
                <w:color w:val="auto"/>
              </w:rPr>
            </w:pPr>
            <w:r>
              <w:rPr>
                <w:rFonts w:ascii="Times New Roman" w:cs="Times New Roman" w:eastAsia="Times New Roman" w:hAnsi="Times New Roman"/>
                <w:sz w:val="18"/>
                <w:szCs w:val="18"/>
                <w:color w:val="auto"/>
                <w:w w:val="98"/>
              </w:rPr>
              <w:t>15,255,311</w:t>
            </w:r>
          </w:p>
        </w:tc>
      </w:tr>
      <w:tr>
        <w:trPr>
          <w:trHeight w:val="27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Rashmi Kumar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60,399,633</w:t>
            </w:r>
          </w:p>
        </w:tc>
        <w:tc>
          <w:tcPr>
            <w:tcW w:w="46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2,071,375</w:t>
            </w:r>
          </w:p>
        </w:tc>
        <w:tc>
          <w:tcPr>
            <w:tcW w:w="460" w:type="dxa"/>
            <w:vAlign w:val="bottom"/>
          </w:tcPr>
          <w:p>
            <w:pPr>
              <w:spacing w:after="0"/>
              <w:rPr>
                <w:sz w:val="23"/>
                <w:szCs w:val="2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32,312</w:t>
            </w:r>
          </w:p>
        </w:tc>
        <w:tc>
          <w:tcPr>
            <w:tcW w:w="460" w:type="dxa"/>
            <w:vAlign w:val="bottom"/>
          </w:tcPr>
          <w:p>
            <w:pPr>
              <w:spacing w:after="0"/>
              <w:rPr>
                <w:sz w:val="23"/>
                <w:szCs w:val="2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15,255,311</w:t>
            </w:r>
          </w:p>
        </w:tc>
      </w:tr>
      <w:tr>
        <w:trPr>
          <w:trHeight w:val="27"/>
        </w:trPr>
        <w:tc>
          <w:tcPr>
            <w:tcW w:w="4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4360" w:type="dxa"/>
            <w:vAlign w:val="bottom"/>
            <w:shd w:val="clear" w:color="auto" w:fill="80B8E6"/>
          </w:tcPr>
          <w:p>
            <w:pPr>
              <w:ind w:left="20"/>
              <w:spacing w:after="0"/>
              <w:rPr>
                <w:sz w:val="20"/>
                <w:szCs w:val="20"/>
                <w:color w:val="auto"/>
              </w:rPr>
            </w:pPr>
            <w:r>
              <w:rPr>
                <w:rFonts w:ascii="Times New Roman" w:cs="Times New Roman" w:eastAsia="Times New Roman" w:hAnsi="Times New Roman"/>
                <w:sz w:val="18"/>
                <w:szCs w:val="18"/>
                <w:color w:val="auto"/>
              </w:rPr>
              <w:t>Lee N. Newcomer, M.D</w:t>
            </w:r>
          </w:p>
        </w:tc>
        <w:tc>
          <w:tcPr>
            <w:tcW w:w="1380" w:type="dxa"/>
            <w:vAlign w:val="bottom"/>
            <w:shd w:val="clear" w:color="auto" w:fill="80B8E6"/>
          </w:tcPr>
          <w:p>
            <w:pPr>
              <w:jc w:val="center"/>
              <w:spacing w:after="0"/>
              <w:rPr>
                <w:sz w:val="20"/>
                <w:szCs w:val="20"/>
                <w:color w:val="auto"/>
              </w:rPr>
            </w:pPr>
            <w:r>
              <w:rPr>
                <w:rFonts w:ascii="Times New Roman" w:cs="Times New Roman" w:eastAsia="Times New Roman" w:hAnsi="Times New Roman"/>
                <w:sz w:val="18"/>
                <w:szCs w:val="18"/>
                <w:color w:val="auto"/>
                <w:w w:val="98"/>
              </w:rPr>
              <w:t>61,576,936</w:t>
            </w:r>
          </w:p>
        </w:tc>
        <w:tc>
          <w:tcPr>
            <w:tcW w:w="460" w:type="dxa"/>
            <w:vAlign w:val="bottom"/>
            <w:shd w:val="clear" w:color="auto" w:fill="80B8E6"/>
          </w:tcPr>
          <w:p>
            <w:pPr>
              <w:spacing w:after="0"/>
              <w:rPr>
                <w:sz w:val="22"/>
                <w:szCs w:val="22"/>
                <w:color w:val="auto"/>
              </w:rPr>
            </w:pPr>
          </w:p>
        </w:tc>
        <w:tc>
          <w:tcPr>
            <w:tcW w:w="1360" w:type="dxa"/>
            <w:vAlign w:val="bottom"/>
            <w:shd w:val="clear" w:color="auto" w:fill="80B8E6"/>
          </w:tcPr>
          <w:p>
            <w:pPr>
              <w:jc w:val="center"/>
              <w:spacing w:after="0"/>
              <w:rPr>
                <w:sz w:val="20"/>
                <w:szCs w:val="20"/>
                <w:color w:val="auto"/>
              </w:rPr>
            </w:pPr>
            <w:r>
              <w:rPr>
                <w:rFonts w:ascii="Times New Roman" w:cs="Times New Roman" w:eastAsia="Times New Roman" w:hAnsi="Times New Roman"/>
                <w:sz w:val="18"/>
                <w:szCs w:val="18"/>
                <w:color w:val="auto"/>
              </w:rPr>
              <w:t>894,837</w:t>
            </w:r>
          </w:p>
        </w:tc>
        <w:tc>
          <w:tcPr>
            <w:tcW w:w="460" w:type="dxa"/>
            <w:vAlign w:val="bottom"/>
            <w:shd w:val="clear" w:color="auto" w:fill="80B8E6"/>
          </w:tcPr>
          <w:p>
            <w:pPr>
              <w:spacing w:after="0"/>
              <w:rPr>
                <w:sz w:val="22"/>
                <w:szCs w:val="22"/>
                <w:color w:val="auto"/>
              </w:rPr>
            </w:pPr>
          </w:p>
        </w:tc>
        <w:tc>
          <w:tcPr>
            <w:tcW w:w="1240" w:type="dxa"/>
            <w:vAlign w:val="bottom"/>
            <w:shd w:val="clear" w:color="auto" w:fill="80B8E6"/>
          </w:tcPr>
          <w:p>
            <w:pPr>
              <w:jc w:val="center"/>
              <w:spacing w:after="0"/>
              <w:rPr>
                <w:sz w:val="20"/>
                <w:szCs w:val="20"/>
                <w:color w:val="auto"/>
              </w:rPr>
            </w:pPr>
            <w:r>
              <w:rPr>
                <w:rFonts w:ascii="Times New Roman" w:cs="Times New Roman" w:eastAsia="Times New Roman" w:hAnsi="Times New Roman"/>
                <w:sz w:val="18"/>
                <w:szCs w:val="18"/>
                <w:color w:val="auto"/>
                <w:w w:val="96"/>
              </w:rPr>
              <w:t>31,547</w:t>
            </w:r>
          </w:p>
        </w:tc>
        <w:tc>
          <w:tcPr>
            <w:tcW w:w="460" w:type="dxa"/>
            <w:vAlign w:val="bottom"/>
            <w:shd w:val="clear" w:color="auto" w:fill="80B8E6"/>
          </w:tcPr>
          <w:p>
            <w:pPr>
              <w:spacing w:after="0"/>
              <w:rPr>
                <w:sz w:val="22"/>
                <w:szCs w:val="22"/>
                <w:color w:val="auto"/>
              </w:rPr>
            </w:pPr>
          </w:p>
        </w:tc>
        <w:tc>
          <w:tcPr>
            <w:tcW w:w="1400" w:type="dxa"/>
            <w:vAlign w:val="bottom"/>
            <w:shd w:val="clear" w:color="auto" w:fill="80B8E6"/>
          </w:tcPr>
          <w:p>
            <w:pPr>
              <w:jc w:val="center"/>
              <w:spacing w:after="0"/>
              <w:rPr>
                <w:sz w:val="20"/>
                <w:szCs w:val="20"/>
                <w:color w:val="auto"/>
              </w:rPr>
            </w:pPr>
            <w:r>
              <w:rPr>
                <w:rFonts w:ascii="Times New Roman" w:cs="Times New Roman" w:eastAsia="Times New Roman" w:hAnsi="Times New Roman"/>
                <w:sz w:val="18"/>
                <w:szCs w:val="18"/>
                <w:color w:val="auto"/>
                <w:w w:val="98"/>
              </w:rPr>
              <w:t>15,255,311</w:t>
            </w:r>
          </w:p>
        </w:tc>
      </w:tr>
      <w:tr>
        <w:trPr>
          <w:trHeight w:val="40"/>
        </w:trPr>
        <w:tc>
          <w:tcPr>
            <w:tcW w:w="4360" w:type="dxa"/>
            <w:vAlign w:val="bottom"/>
            <w:shd w:val="clear" w:color="auto" w:fill="80B8E6"/>
          </w:tcPr>
          <w:p>
            <w:pPr>
              <w:spacing w:after="0"/>
              <w:rPr>
                <w:sz w:val="3"/>
                <w:szCs w:val="3"/>
                <w:color w:val="auto"/>
              </w:rPr>
            </w:pPr>
          </w:p>
        </w:tc>
        <w:tc>
          <w:tcPr>
            <w:tcW w:w="1380" w:type="dxa"/>
            <w:vAlign w:val="bottom"/>
            <w:shd w:val="clear" w:color="auto" w:fill="80B8E6"/>
          </w:tcPr>
          <w:p>
            <w:pPr>
              <w:spacing w:after="0"/>
              <w:rPr>
                <w:sz w:val="3"/>
                <w:szCs w:val="3"/>
                <w:color w:val="auto"/>
              </w:rPr>
            </w:pPr>
          </w:p>
        </w:tc>
        <w:tc>
          <w:tcPr>
            <w:tcW w:w="460" w:type="dxa"/>
            <w:vAlign w:val="bottom"/>
            <w:shd w:val="clear" w:color="auto" w:fill="80B8E6"/>
          </w:tcPr>
          <w:p>
            <w:pPr>
              <w:spacing w:after="0"/>
              <w:rPr>
                <w:sz w:val="3"/>
                <w:szCs w:val="3"/>
                <w:color w:val="auto"/>
              </w:rPr>
            </w:pPr>
          </w:p>
        </w:tc>
        <w:tc>
          <w:tcPr>
            <w:tcW w:w="1360" w:type="dxa"/>
            <w:vAlign w:val="bottom"/>
            <w:shd w:val="clear" w:color="auto" w:fill="80B8E6"/>
          </w:tcPr>
          <w:p>
            <w:pPr>
              <w:spacing w:after="0"/>
              <w:rPr>
                <w:sz w:val="3"/>
                <w:szCs w:val="3"/>
                <w:color w:val="auto"/>
              </w:rPr>
            </w:pPr>
          </w:p>
        </w:tc>
        <w:tc>
          <w:tcPr>
            <w:tcW w:w="460" w:type="dxa"/>
            <w:vAlign w:val="bottom"/>
            <w:shd w:val="clear" w:color="auto" w:fill="80B8E6"/>
          </w:tcPr>
          <w:p>
            <w:pPr>
              <w:spacing w:after="0"/>
              <w:rPr>
                <w:sz w:val="3"/>
                <w:szCs w:val="3"/>
                <w:color w:val="auto"/>
              </w:rPr>
            </w:pPr>
          </w:p>
        </w:tc>
        <w:tc>
          <w:tcPr>
            <w:tcW w:w="1240" w:type="dxa"/>
            <w:vAlign w:val="bottom"/>
            <w:shd w:val="clear" w:color="auto" w:fill="80B8E6"/>
          </w:tcPr>
          <w:p>
            <w:pPr>
              <w:spacing w:after="0"/>
              <w:rPr>
                <w:sz w:val="3"/>
                <w:szCs w:val="3"/>
                <w:color w:val="auto"/>
              </w:rPr>
            </w:pPr>
          </w:p>
        </w:tc>
        <w:tc>
          <w:tcPr>
            <w:tcW w:w="460" w:type="dxa"/>
            <w:vAlign w:val="bottom"/>
            <w:shd w:val="clear" w:color="auto" w:fill="80B8E6"/>
          </w:tcPr>
          <w:p>
            <w:pPr>
              <w:spacing w:after="0"/>
              <w:rPr>
                <w:sz w:val="3"/>
                <w:szCs w:val="3"/>
                <w:color w:val="auto"/>
              </w:rPr>
            </w:pPr>
          </w:p>
        </w:tc>
        <w:tc>
          <w:tcPr>
            <w:tcW w:w="1400" w:type="dxa"/>
            <w:vAlign w:val="bottom"/>
            <w:shd w:val="clear" w:color="auto" w:fill="80B8E6"/>
          </w:tcPr>
          <w:p>
            <w:pPr>
              <w:spacing w:after="0"/>
              <w:rPr>
                <w:sz w:val="3"/>
                <w:szCs w:val="3"/>
                <w:color w:val="auto"/>
              </w:rPr>
            </w:pPr>
          </w:p>
        </w:tc>
      </w:tr>
    </w:tbl>
    <w:p>
      <w:pPr>
        <w:spacing w:after="0" w:line="31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Each of Paul M. Bisaro, Rashmi Kumar, and Lee N. Newcomer, M.D. was elected to serve as a Class III director of the Company for a term expiring at the 2029 Annual Meeting of Stockholders, and until his or her successor is duly elected and qualified or until his or her earlier death, resignation, retirement or removal.</w:t>
      </w:r>
    </w:p>
    <w:p>
      <w:pPr>
        <w:spacing w:after="0" w:line="188"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8"/>
          <w:szCs w:val="18"/>
          <w:i w:val="1"/>
          <w:iCs w:val="1"/>
          <w:color w:val="auto"/>
        </w:rPr>
        <w:t>Proposal No. 2: Ratification of the Selection of Ernst &amp; Young LLP as Our Independent Registered Public Accounting Firm for the Year Ending December 31, 2026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2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2"/>
              </w:rPr>
              <w:t>Votes</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w:t>
            </w:r>
          </w:p>
        </w:tc>
      </w:tr>
      <w:tr>
        <w:trPr>
          <w:trHeight w:val="238"/>
        </w:trPr>
        <w:tc>
          <w:tcPr>
            <w:tcW w:w="2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Abstained</w:t>
            </w:r>
          </w:p>
        </w:tc>
      </w:tr>
      <w:tr>
        <w:trPr>
          <w:trHeight w:val="250"/>
        </w:trPr>
        <w:tc>
          <w:tcPr>
            <w:tcW w:w="1880" w:type="dxa"/>
            <w:vAlign w:val="bottom"/>
            <w:tcBorders>
              <w:top w:val="single" w:sz="8" w:color="auto"/>
            </w:tcBorders>
            <w:shd w:val="clear" w:color="auto" w:fill="80B8E6"/>
          </w:tcPr>
          <w:p>
            <w:pPr>
              <w:jc w:val="center"/>
              <w:spacing w:after="0"/>
              <w:rPr>
                <w:sz w:val="20"/>
                <w:szCs w:val="20"/>
                <w:color w:val="auto"/>
              </w:rPr>
            </w:pPr>
            <w:r>
              <w:rPr>
                <w:rFonts w:ascii="Times New Roman" w:cs="Times New Roman" w:eastAsia="Times New Roman" w:hAnsi="Times New Roman"/>
                <w:sz w:val="18"/>
                <w:szCs w:val="18"/>
                <w:color w:val="auto"/>
                <w:w w:val="98"/>
              </w:rPr>
              <w:t>76,302,595</w:t>
            </w:r>
          </w:p>
        </w:tc>
        <w:tc>
          <w:tcPr>
            <w:tcW w:w="160" w:type="dxa"/>
            <w:vAlign w:val="bottom"/>
            <w:tcBorders>
              <w:top w:val="single" w:sz="8" w:color="80B8E6"/>
            </w:tcBorders>
            <w:shd w:val="clear" w:color="auto" w:fill="80B8E6"/>
          </w:tcPr>
          <w:p>
            <w:pPr>
              <w:spacing w:after="0"/>
              <w:rPr>
                <w:sz w:val="21"/>
                <w:szCs w:val="21"/>
                <w:color w:val="auto"/>
              </w:rPr>
            </w:pPr>
          </w:p>
        </w:tc>
        <w:tc>
          <w:tcPr>
            <w:tcW w:w="1880" w:type="dxa"/>
            <w:vAlign w:val="bottom"/>
            <w:tcBorders>
              <w:top w:val="single" w:sz="8" w:color="auto"/>
            </w:tcBorders>
            <w:shd w:val="clear" w:color="auto" w:fill="80B8E6"/>
          </w:tcPr>
          <w:p>
            <w:pPr>
              <w:jc w:val="center"/>
              <w:spacing w:after="0"/>
              <w:rPr>
                <w:sz w:val="20"/>
                <w:szCs w:val="20"/>
                <w:color w:val="auto"/>
              </w:rPr>
            </w:pPr>
            <w:r>
              <w:rPr>
                <w:rFonts w:ascii="Times New Roman" w:cs="Times New Roman" w:eastAsia="Times New Roman" w:hAnsi="Times New Roman"/>
                <w:sz w:val="18"/>
                <w:szCs w:val="18"/>
                <w:color w:val="auto"/>
                <w:w w:val="99"/>
              </w:rPr>
              <w:t>1,391,172</w:t>
            </w:r>
          </w:p>
        </w:tc>
        <w:tc>
          <w:tcPr>
            <w:tcW w:w="160" w:type="dxa"/>
            <w:vAlign w:val="bottom"/>
            <w:tcBorders>
              <w:top w:val="single" w:sz="8" w:color="80B8E6"/>
            </w:tcBorders>
            <w:shd w:val="clear" w:color="auto" w:fill="80B8E6"/>
          </w:tcPr>
          <w:p>
            <w:pPr>
              <w:spacing w:after="0"/>
              <w:rPr>
                <w:sz w:val="21"/>
                <w:szCs w:val="21"/>
                <w:color w:val="auto"/>
              </w:rPr>
            </w:pPr>
          </w:p>
        </w:tc>
        <w:tc>
          <w:tcPr>
            <w:tcW w:w="1900" w:type="dxa"/>
            <w:vAlign w:val="bottom"/>
            <w:tcBorders>
              <w:top w:val="single" w:sz="8" w:color="auto"/>
            </w:tcBorders>
            <w:shd w:val="clear" w:color="auto" w:fill="80B8E6"/>
          </w:tcPr>
          <w:p>
            <w:pPr>
              <w:jc w:val="center"/>
              <w:spacing w:after="0"/>
              <w:rPr>
                <w:sz w:val="20"/>
                <w:szCs w:val="20"/>
                <w:color w:val="auto"/>
              </w:rPr>
            </w:pPr>
            <w:r>
              <w:rPr>
                <w:rFonts w:ascii="Times New Roman" w:cs="Times New Roman" w:eastAsia="Times New Roman" w:hAnsi="Times New Roman"/>
                <w:sz w:val="18"/>
                <w:szCs w:val="18"/>
                <w:color w:val="auto"/>
              </w:rPr>
              <w:t>64,864</w:t>
            </w:r>
          </w:p>
        </w:tc>
      </w:tr>
      <w:tr>
        <w:trPr>
          <w:trHeight w:val="40"/>
        </w:trPr>
        <w:tc>
          <w:tcPr>
            <w:tcW w:w="1880" w:type="dxa"/>
            <w:vAlign w:val="bottom"/>
            <w:shd w:val="clear" w:color="auto" w:fill="80B8E6"/>
          </w:tcPr>
          <w:p>
            <w:pPr>
              <w:spacing w:after="0"/>
              <w:rPr>
                <w:sz w:val="3"/>
                <w:szCs w:val="3"/>
                <w:color w:val="auto"/>
              </w:rPr>
            </w:pPr>
          </w:p>
        </w:tc>
        <w:tc>
          <w:tcPr>
            <w:tcW w:w="160" w:type="dxa"/>
            <w:vAlign w:val="bottom"/>
            <w:shd w:val="clear" w:color="auto" w:fill="80B8E6"/>
          </w:tcPr>
          <w:p>
            <w:pPr>
              <w:spacing w:after="0"/>
              <w:rPr>
                <w:sz w:val="3"/>
                <w:szCs w:val="3"/>
                <w:color w:val="auto"/>
              </w:rPr>
            </w:pPr>
          </w:p>
        </w:tc>
        <w:tc>
          <w:tcPr>
            <w:tcW w:w="1880" w:type="dxa"/>
            <w:vAlign w:val="bottom"/>
            <w:shd w:val="clear" w:color="auto" w:fill="80B8E6"/>
          </w:tcPr>
          <w:p>
            <w:pPr>
              <w:spacing w:after="0"/>
              <w:rPr>
                <w:sz w:val="3"/>
                <w:szCs w:val="3"/>
                <w:color w:val="auto"/>
              </w:rPr>
            </w:pPr>
          </w:p>
        </w:tc>
        <w:tc>
          <w:tcPr>
            <w:tcW w:w="160" w:type="dxa"/>
            <w:vAlign w:val="bottom"/>
            <w:shd w:val="clear" w:color="auto" w:fill="80B8E6"/>
          </w:tcPr>
          <w:p>
            <w:pPr>
              <w:spacing w:after="0"/>
              <w:rPr>
                <w:sz w:val="3"/>
                <w:szCs w:val="3"/>
                <w:color w:val="auto"/>
              </w:rPr>
            </w:pPr>
          </w:p>
        </w:tc>
        <w:tc>
          <w:tcPr>
            <w:tcW w:w="1900" w:type="dxa"/>
            <w:vAlign w:val="bottom"/>
            <w:shd w:val="clear" w:color="auto" w:fill="80B8E6"/>
          </w:tcPr>
          <w:p>
            <w:pPr>
              <w:spacing w:after="0"/>
              <w:rPr>
                <w:sz w:val="3"/>
                <w:szCs w:val="3"/>
                <w:color w:val="auto"/>
              </w:rPr>
            </w:pPr>
          </w:p>
        </w:tc>
      </w:tr>
    </w:tbl>
    <w:p>
      <w:pPr>
        <w:spacing w:after="0" w:line="319" w:lineRule="exact"/>
        <w:rPr>
          <w:sz w:val="20"/>
          <w:szCs w:val="20"/>
          <w:color w:val="auto"/>
        </w:rPr>
      </w:pPr>
    </w:p>
    <w:p>
      <w:pPr>
        <w:ind w:right="160"/>
        <w:spacing w:after="0" w:line="313" w:lineRule="auto"/>
        <w:rPr>
          <w:sz w:val="20"/>
          <w:szCs w:val="20"/>
          <w:color w:val="auto"/>
        </w:rPr>
      </w:pPr>
      <w:r>
        <w:rPr>
          <w:rFonts w:ascii="Times New Roman" w:cs="Times New Roman" w:eastAsia="Times New Roman" w:hAnsi="Times New Roman"/>
          <w:sz w:val="18"/>
          <w:szCs w:val="18"/>
          <w:color w:val="auto"/>
        </w:rPr>
        <w:t>The ratification of the selection of Ernst &amp; Young LLP as the Company's independent registered public accounting firm for the year ending December 31, 2026 was approved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Proposal No. 3: Approval, on an Advisory Basis, of the Compensation of Our Named Executive Officers, as Disclosed in the Proxy Statement</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2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2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38"/>
        </w:trPr>
        <w:tc>
          <w:tcPr>
            <w:tcW w:w="2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Abstained</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50"/>
        </w:trPr>
        <w:tc>
          <w:tcPr>
            <w:tcW w:w="2380" w:type="dxa"/>
            <w:vAlign w:val="bottom"/>
            <w:tcBorders>
              <w:top w:val="single" w:sz="8" w:color="auto"/>
            </w:tcBorders>
            <w:shd w:val="clear" w:color="auto" w:fill="80B8E6"/>
          </w:tcPr>
          <w:p>
            <w:pPr>
              <w:jc w:val="center"/>
              <w:spacing w:after="0"/>
              <w:rPr>
                <w:sz w:val="20"/>
                <w:szCs w:val="20"/>
                <w:color w:val="auto"/>
              </w:rPr>
            </w:pPr>
            <w:r>
              <w:rPr>
                <w:rFonts w:ascii="Times New Roman" w:cs="Times New Roman" w:eastAsia="Times New Roman" w:hAnsi="Times New Roman"/>
                <w:sz w:val="18"/>
                <w:szCs w:val="18"/>
                <w:color w:val="auto"/>
              </w:rPr>
              <w:t>59,356,710</w:t>
            </w:r>
          </w:p>
        </w:tc>
        <w:tc>
          <w:tcPr>
            <w:tcW w:w="300" w:type="dxa"/>
            <w:vAlign w:val="bottom"/>
            <w:tcBorders>
              <w:top w:val="single" w:sz="8" w:color="80B8E6"/>
            </w:tcBorders>
            <w:shd w:val="clear" w:color="auto" w:fill="80B8E6"/>
          </w:tcPr>
          <w:p>
            <w:pPr>
              <w:spacing w:after="0"/>
              <w:rPr>
                <w:sz w:val="21"/>
                <w:szCs w:val="21"/>
                <w:color w:val="auto"/>
              </w:rPr>
            </w:pPr>
          </w:p>
        </w:tc>
        <w:tc>
          <w:tcPr>
            <w:tcW w:w="1860" w:type="dxa"/>
            <w:vAlign w:val="bottom"/>
            <w:tcBorders>
              <w:top w:val="single" w:sz="8" w:color="auto"/>
            </w:tcBorders>
            <w:shd w:val="clear" w:color="auto" w:fill="80B8E6"/>
          </w:tcPr>
          <w:p>
            <w:pPr>
              <w:jc w:val="center"/>
              <w:spacing w:after="0"/>
              <w:rPr>
                <w:sz w:val="20"/>
                <w:szCs w:val="20"/>
                <w:color w:val="auto"/>
              </w:rPr>
            </w:pPr>
            <w:r>
              <w:rPr>
                <w:rFonts w:ascii="Times New Roman" w:cs="Times New Roman" w:eastAsia="Times New Roman" w:hAnsi="Times New Roman"/>
                <w:sz w:val="18"/>
                <w:szCs w:val="18"/>
                <w:color w:val="auto"/>
                <w:w w:val="99"/>
              </w:rPr>
              <w:t>3,098,966</w:t>
            </w:r>
          </w:p>
        </w:tc>
        <w:tc>
          <w:tcPr>
            <w:tcW w:w="320" w:type="dxa"/>
            <w:vAlign w:val="bottom"/>
            <w:tcBorders>
              <w:top w:val="single" w:sz="8" w:color="80B8E6"/>
            </w:tcBorders>
            <w:shd w:val="clear" w:color="auto" w:fill="80B8E6"/>
          </w:tcPr>
          <w:p>
            <w:pPr>
              <w:spacing w:after="0"/>
              <w:rPr>
                <w:sz w:val="21"/>
                <w:szCs w:val="21"/>
                <w:color w:val="auto"/>
              </w:rPr>
            </w:pPr>
          </w:p>
        </w:tc>
        <w:tc>
          <w:tcPr>
            <w:tcW w:w="1880" w:type="dxa"/>
            <w:vAlign w:val="bottom"/>
            <w:tcBorders>
              <w:top w:val="single" w:sz="8" w:color="auto"/>
            </w:tcBorders>
            <w:shd w:val="clear" w:color="auto" w:fill="80B8E6"/>
          </w:tcPr>
          <w:p>
            <w:pPr>
              <w:jc w:val="center"/>
              <w:spacing w:after="0"/>
              <w:rPr>
                <w:sz w:val="20"/>
                <w:szCs w:val="20"/>
                <w:color w:val="auto"/>
              </w:rPr>
            </w:pPr>
            <w:r>
              <w:rPr>
                <w:rFonts w:ascii="Times New Roman" w:cs="Times New Roman" w:eastAsia="Times New Roman" w:hAnsi="Times New Roman"/>
                <w:sz w:val="18"/>
                <w:szCs w:val="18"/>
                <w:color w:val="auto"/>
              </w:rPr>
              <w:t>47,644</w:t>
            </w:r>
          </w:p>
        </w:tc>
        <w:tc>
          <w:tcPr>
            <w:tcW w:w="320" w:type="dxa"/>
            <w:vAlign w:val="bottom"/>
            <w:tcBorders>
              <w:top w:val="single" w:sz="8" w:color="80B8E6"/>
            </w:tcBorders>
            <w:shd w:val="clear" w:color="auto" w:fill="80B8E6"/>
          </w:tcPr>
          <w:p>
            <w:pPr>
              <w:spacing w:after="0"/>
              <w:rPr>
                <w:sz w:val="21"/>
                <w:szCs w:val="21"/>
                <w:color w:val="auto"/>
              </w:rPr>
            </w:pPr>
          </w:p>
        </w:tc>
        <w:tc>
          <w:tcPr>
            <w:tcW w:w="1880" w:type="dxa"/>
            <w:vAlign w:val="bottom"/>
            <w:tcBorders>
              <w:top w:val="single" w:sz="8" w:color="auto"/>
            </w:tcBorders>
            <w:shd w:val="clear" w:color="auto" w:fill="80B8E6"/>
          </w:tcPr>
          <w:p>
            <w:pPr>
              <w:jc w:val="center"/>
              <w:spacing w:after="0"/>
              <w:rPr>
                <w:sz w:val="20"/>
                <w:szCs w:val="20"/>
                <w:color w:val="auto"/>
              </w:rPr>
            </w:pPr>
            <w:r>
              <w:rPr>
                <w:rFonts w:ascii="Times New Roman" w:cs="Times New Roman" w:eastAsia="Times New Roman" w:hAnsi="Times New Roman"/>
                <w:sz w:val="18"/>
                <w:szCs w:val="18"/>
                <w:color w:val="auto"/>
                <w:w w:val="98"/>
              </w:rPr>
              <w:t>15,255,311</w:t>
            </w:r>
          </w:p>
        </w:tc>
      </w:tr>
      <w:tr>
        <w:trPr>
          <w:trHeight w:val="41"/>
        </w:trPr>
        <w:tc>
          <w:tcPr>
            <w:tcW w:w="2380" w:type="dxa"/>
            <w:vAlign w:val="bottom"/>
            <w:shd w:val="clear" w:color="auto" w:fill="80B8E6"/>
          </w:tcPr>
          <w:p>
            <w:pPr>
              <w:spacing w:after="0"/>
              <w:rPr>
                <w:sz w:val="3"/>
                <w:szCs w:val="3"/>
                <w:color w:val="auto"/>
              </w:rPr>
            </w:pPr>
          </w:p>
        </w:tc>
        <w:tc>
          <w:tcPr>
            <w:tcW w:w="300" w:type="dxa"/>
            <w:vAlign w:val="bottom"/>
            <w:shd w:val="clear" w:color="auto" w:fill="80B8E6"/>
          </w:tcPr>
          <w:p>
            <w:pPr>
              <w:spacing w:after="0"/>
              <w:rPr>
                <w:sz w:val="3"/>
                <w:szCs w:val="3"/>
                <w:color w:val="auto"/>
              </w:rPr>
            </w:pPr>
          </w:p>
        </w:tc>
        <w:tc>
          <w:tcPr>
            <w:tcW w:w="1860" w:type="dxa"/>
            <w:vAlign w:val="bottom"/>
            <w:shd w:val="clear" w:color="auto" w:fill="80B8E6"/>
          </w:tcPr>
          <w:p>
            <w:pPr>
              <w:spacing w:after="0"/>
              <w:rPr>
                <w:sz w:val="3"/>
                <w:szCs w:val="3"/>
                <w:color w:val="auto"/>
              </w:rPr>
            </w:pPr>
          </w:p>
        </w:tc>
        <w:tc>
          <w:tcPr>
            <w:tcW w:w="320" w:type="dxa"/>
            <w:vAlign w:val="bottom"/>
            <w:shd w:val="clear" w:color="auto" w:fill="80B8E6"/>
          </w:tcPr>
          <w:p>
            <w:pPr>
              <w:spacing w:after="0"/>
              <w:rPr>
                <w:sz w:val="3"/>
                <w:szCs w:val="3"/>
                <w:color w:val="auto"/>
              </w:rPr>
            </w:pPr>
          </w:p>
        </w:tc>
        <w:tc>
          <w:tcPr>
            <w:tcW w:w="1880" w:type="dxa"/>
            <w:vAlign w:val="bottom"/>
            <w:shd w:val="clear" w:color="auto" w:fill="80B8E6"/>
          </w:tcPr>
          <w:p>
            <w:pPr>
              <w:spacing w:after="0"/>
              <w:rPr>
                <w:sz w:val="3"/>
                <w:szCs w:val="3"/>
                <w:color w:val="auto"/>
              </w:rPr>
            </w:pPr>
          </w:p>
        </w:tc>
        <w:tc>
          <w:tcPr>
            <w:tcW w:w="320" w:type="dxa"/>
            <w:vAlign w:val="bottom"/>
            <w:shd w:val="clear" w:color="auto" w:fill="80B8E6"/>
          </w:tcPr>
          <w:p>
            <w:pPr>
              <w:spacing w:after="0"/>
              <w:rPr>
                <w:sz w:val="3"/>
                <w:szCs w:val="3"/>
                <w:color w:val="auto"/>
              </w:rPr>
            </w:pPr>
          </w:p>
        </w:tc>
        <w:tc>
          <w:tcPr>
            <w:tcW w:w="1880" w:type="dxa"/>
            <w:vAlign w:val="bottom"/>
            <w:shd w:val="clear" w:color="auto" w:fill="80B8E6"/>
          </w:tcPr>
          <w:p>
            <w:pPr>
              <w:spacing w:after="0"/>
              <w:rPr>
                <w:sz w:val="3"/>
                <w:szCs w:val="3"/>
                <w:color w:val="auto"/>
              </w:rPr>
            </w:pPr>
          </w:p>
        </w:tc>
      </w:tr>
    </w:tbl>
    <w:p>
      <w:pPr>
        <w:spacing w:after="0" w:line="319" w:lineRule="exact"/>
        <w:rPr>
          <w:sz w:val="20"/>
          <w:szCs w:val="20"/>
          <w:color w:val="auto"/>
        </w:rPr>
      </w:pPr>
    </w:p>
    <w:p>
      <w:pPr>
        <w:ind w:right="720"/>
        <w:spacing w:after="0" w:line="313" w:lineRule="auto"/>
        <w:rPr>
          <w:sz w:val="20"/>
          <w:szCs w:val="20"/>
          <w:color w:val="auto"/>
        </w:rPr>
      </w:pPr>
      <w:r>
        <w:rPr>
          <w:rFonts w:ascii="Times New Roman" w:cs="Times New Roman" w:eastAsia="Times New Roman" w:hAnsi="Times New Roman"/>
          <w:sz w:val="18"/>
          <w:szCs w:val="18"/>
          <w:color w:val="auto"/>
        </w:rPr>
        <w:t>The advisory vote to approve the compensation of the Company's named executive officers, as disclosed in the proxy statement, was approved by stockholders.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No. 4: Approval of the Proposed Amendment to the Amended and Restated 2012 Employee Stock Purchase Plan</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2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2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38"/>
        </w:trPr>
        <w:tc>
          <w:tcPr>
            <w:tcW w:w="2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Abstained</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50"/>
        </w:trPr>
        <w:tc>
          <w:tcPr>
            <w:tcW w:w="2380" w:type="dxa"/>
            <w:vAlign w:val="bottom"/>
            <w:tcBorders>
              <w:top w:val="single" w:sz="8" w:color="auto"/>
            </w:tcBorders>
            <w:shd w:val="clear" w:color="auto" w:fill="80B8E6"/>
          </w:tcPr>
          <w:p>
            <w:pPr>
              <w:jc w:val="center"/>
              <w:spacing w:after="0"/>
              <w:rPr>
                <w:sz w:val="20"/>
                <w:szCs w:val="20"/>
                <w:color w:val="auto"/>
              </w:rPr>
            </w:pPr>
            <w:r>
              <w:rPr>
                <w:rFonts w:ascii="Times New Roman" w:cs="Times New Roman" w:eastAsia="Times New Roman" w:hAnsi="Times New Roman"/>
                <w:sz w:val="18"/>
                <w:szCs w:val="18"/>
                <w:color w:val="auto"/>
              </w:rPr>
              <w:t>61,812,338</w:t>
            </w:r>
          </w:p>
        </w:tc>
        <w:tc>
          <w:tcPr>
            <w:tcW w:w="300" w:type="dxa"/>
            <w:vAlign w:val="bottom"/>
            <w:tcBorders>
              <w:top w:val="single" w:sz="8" w:color="80B8E6"/>
            </w:tcBorders>
            <w:shd w:val="clear" w:color="auto" w:fill="80B8E6"/>
          </w:tcPr>
          <w:p>
            <w:pPr>
              <w:spacing w:after="0"/>
              <w:rPr>
                <w:sz w:val="21"/>
                <w:szCs w:val="21"/>
                <w:color w:val="auto"/>
              </w:rPr>
            </w:pPr>
          </w:p>
        </w:tc>
        <w:tc>
          <w:tcPr>
            <w:tcW w:w="1860" w:type="dxa"/>
            <w:vAlign w:val="bottom"/>
            <w:tcBorders>
              <w:top w:val="single" w:sz="8" w:color="auto"/>
            </w:tcBorders>
            <w:shd w:val="clear" w:color="auto" w:fill="80B8E6"/>
          </w:tcPr>
          <w:p>
            <w:pPr>
              <w:jc w:val="center"/>
              <w:spacing w:after="0"/>
              <w:rPr>
                <w:sz w:val="20"/>
                <w:szCs w:val="20"/>
                <w:color w:val="auto"/>
              </w:rPr>
            </w:pPr>
            <w:r>
              <w:rPr>
                <w:rFonts w:ascii="Times New Roman" w:cs="Times New Roman" w:eastAsia="Times New Roman" w:hAnsi="Times New Roman"/>
                <w:sz w:val="18"/>
                <w:szCs w:val="18"/>
                <w:color w:val="auto"/>
                <w:w w:val="99"/>
              </w:rPr>
              <w:t>650,741</w:t>
            </w:r>
          </w:p>
        </w:tc>
        <w:tc>
          <w:tcPr>
            <w:tcW w:w="320" w:type="dxa"/>
            <w:vAlign w:val="bottom"/>
            <w:tcBorders>
              <w:top w:val="single" w:sz="8" w:color="80B8E6"/>
            </w:tcBorders>
            <w:shd w:val="clear" w:color="auto" w:fill="80B8E6"/>
          </w:tcPr>
          <w:p>
            <w:pPr>
              <w:spacing w:after="0"/>
              <w:rPr>
                <w:sz w:val="21"/>
                <w:szCs w:val="21"/>
                <w:color w:val="auto"/>
              </w:rPr>
            </w:pPr>
          </w:p>
        </w:tc>
        <w:tc>
          <w:tcPr>
            <w:tcW w:w="1880" w:type="dxa"/>
            <w:vAlign w:val="bottom"/>
            <w:tcBorders>
              <w:top w:val="single" w:sz="8" w:color="auto"/>
            </w:tcBorders>
            <w:shd w:val="clear" w:color="auto" w:fill="80B8E6"/>
          </w:tcPr>
          <w:p>
            <w:pPr>
              <w:jc w:val="center"/>
              <w:spacing w:after="0"/>
              <w:rPr>
                <w:sz w:val="20"/>
                <w:szCs w:val="20"/>
                <w:color w:val="auto"/>
              </w:rPr>
            </w:pPr>
            <w:r>
              <w:rPr>
                <w:rFonts w:ascii="Times New Roman" w:cs="Times New Roman" w:eastAsia="Times New Roman" w:hAnsi="Times New Roman"/>
                <w:sz w:val="18"/>
                <w:szCs w:val="18"/>
                <w:color w:val="auto"/>
              </w:rPr>
              <w:t>40,241</w:t>
            </w:r>
          </w:p>
        </w:tc>
        <w:tc>
          <w:tcPr>
            <w:tcW w:w="320" w:type="dxa"/>
            <w:vAlign w:val="bottom"/>
            <w:tcBorders>
              <w:top w:val="single" w:sz="8" w:color="80B8E6"/>
            </w:tcBorders>
            <w:shd w:val="clear" w:color="auto" w:fill="80B8E6"/>
          </w:tcPr>
          <w:p>
            <w:pPr>
              <w:spacing w:after="0"/>
              <w:rPr>
                <w:sz w:val="21"/>
                <w:szCs w:val="21"/>
                <w:color w:val="auto"/>
              </w:rPr>
            </w:pPr>
          </w:p>
        </w:tc>
        <w:tc>
          <w:tcPr>
            <w:tcW w:w="1880" w:type="dxa"/>
            <w:vAlign w:val="bottom"/>
            <w:tcBorders>
              <w:top w:val="single" w:sz="8" w:color="auto"/>
            </w:tcBorders>
            <w:shd w:val="clear" w:color="auto" w:fill="80B8E6"/>
          </w:tcPr>
          <w:p>
            <w:pPr>
              <w:jc w:val="center"/>
              <w:spacing w:after="0"/>
              <w:rPr>
                <w:sz w:val="20"/>
                <w:szCs w:val="20"/>
                <w:color w:val="auto"/>
              </w:rPr>
            </w:pPr>
            <w:r>
              <w:rPr>
                <w:rFonts w:ascii="Times New Roman" w:cs="Times New Roman" w:eastAsia="Times New Roman" w:hAnsi="Times New Roman"/>
                <w:sz w:val="18"/>
                <w:szCs w:val="18"/>
                <w:color w:val="auto"/>
                <w:w w:val="98"/>
              </w:rPr>
              <w:t>15,255,311</w:t>
            </w:r>
          </w:p>
        </w:tc>
      </w:tr>
      <w:tr>
        <w:trPr>
          <w:trHeight w:val="40"/>
        </w:trPr>
        <w:tc>
          <w:tcPr>
            <w:tcW w:w="2380" w:type="dxa"/>
            <w:vAlign w:val="bottom"/>
            <w:shd w:val="clear" w:color="auto" w:fill="80B8E6"/>
          </w:tcPr>
          <w:p>
            <w:pPr>
              <w:spacing w:after="0"/>
              <w:rPr>
                <w:sz w:val="3"/>
                <w:szCs w:val="3"/>
                <w:color w:val="auto"/>
              </w:rPr>
            </w:pPr>
          </w:p>
        </w:tc>
        <w:tc>
          <w:tcPr>
            <w:tcW w:w="300" w:type="dxa"/>
            <w:vAlign w:val="bottom"/>
            <w:shd w:val="clear" w:color="auto" w:fill="80B8E6"/>
          </w:tcPr>
          <w:p>
            <w:pPr>
              <w:spacing w:after="0"/>
              <w:rPr>
                <w:sz w:val="3"/>
                <w:szCs w:val="3"/>
                <w:color w:val="auto"/>
              </w:rPr>
            </w:pPr>
          </w:p>
        </w:tc>
        <w:tc>
          <w:tcPr>
            <w:tcW w:w="1860" w:type="dxa"/>
            <w:vAlign w:val="bottom"/>
            <w:shd w:val="clear" w:color="auto" w:fill="80B8E6"/>
          </w:tcPr>
          <w:p>
            <w:pPr>
              <w:spacing w:after="0"/>
              <w:rPr>
                <w:sz w:val="3"/>
                <w:szCs w:val="3"/>
                <w:color w:val="auto"/>
              </w:rPr>
            </w:pPr>
          </w:p>
        </w:tc>
        <w:tc>
          <w:tcPr>
            <w:tcW w:w="320" w:type="dxa"/>
            <w:vAlign w:val="bottom"/>
            <w:shd w:val="clear" w:color="auto" w:fill="80B8E6"/>
          </w:tcPr>
          <w:p>
            <w:pPr>
              <w:spacing w:after="0"/>
              <w:rPr>
                <w:sz w:val="3"/>
                <w:szCs w:val="3"/>
                <w:color w:val="auto"/>
              </w:rPr>
            </w:pPr>
          </w:p>
        </w:tc>
        <w:tc>
          <w:tcPr>
            <w:tcW w:w="1880" w:type="dxa"/>
            <w:vAlign w:val="bottom"/>
            <w:shd w:val="clear" w:color="auto" w:fill="80B8E6"/>
          </w:tcPr>
          <w:p>
            <w:pPr>
              <w:spacing w:after="0"/>
              <w:rPr>
                <w:sz w:val="3"/>
                <w:szCs w:val="3"/>
                <w:color w:val="auto"/>
              </w:rPr>
            </w:pPr>
          </w:p>
        </w:tc>
        <w:tc>
          <w:tcPr>
            <w:tcW w:w="320" w:type="dxa"/>
            <w:vAlign w:val="bottom"/>
            <w:shd w:val="clear" w:color="auto" w:fill="80B8E6"/>
          </w:tcPr>
          <w:p>
            <w:pPr>
              <w:spacing w:after="0"/>
              <w:rPr>
                <w:sz w:val="3"/>
                <w:szCs w:val="3"/>
                <w:color w:val="auto"/>
              </w:rPr>
            </w:pPr>
          </w:p>
        </w:tc>
        <w:tc>
          <w:tcPr>
            <w:tcW w:w="1880" w:type="dxa"/>
            <w:vAlign w:val="bottom"/>
            <w:shd w:val="clear" w:color="auto" w:fill="80B8E6"/>
          </w:tcPr>
          <w:p>
            <w:pPr>
              <w:spacing w:after="0"/>
              <w:rPr>
                <w:sz w:val="3"/>
                <w:szCs w:val="3"/>
                <w:color w:val="auto"/>
              </w:rPr>
            </w:pPr>
          </w:p>
        </w:tc>
      </w:tr>
    </w:tbl>
    <w:p>
      <w:pPr>
        <w:spacing w:after="0" w:line="319"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The stockholders voted to approve the proposed amendment to the Purchase Plan to increase the aggregate number of shares of common stock available for issuance under the Purchase Plan by an additional 4,000,000 shares.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No. 5: Approval of the Proposed 2026 Employee, Director and Consultant Equity Incentive Plan</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2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2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38"/>
        </w:trPr>
        <w:tc>
          <w:tcPr>
            <w:tcW w:w="2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Abstained</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50"/>
        </w:trPr>
        <w:tc>
          <w:tcPr>
            <w:tcW w:w="2380" w:type="dxa"/>
            <w:vAlign w:val="bottom"/>
            <w:tcBorders>
              <w:top w:val="single" w:sz="8" w:color="auto"/>
            </w:tcBorders>
            <w:shd w:val="clear" w:color="auto" w:fill="80B8E6"/>
          </w:tcPr>
          <w:p>
            <w:pPr>
              <w:jc w:val="center"/>
              <w:spacing w:after="0"/>
              <w:rPr>
                <w:sz w:val="20"/>
                <w:szCs w:val="20"/>
                <w:color w:val="auto"/>
              </w:rPr>
            </w:pPr>
            <w:r>
              <w:rPr>
                <w:rFonts w:ascii="Times New Roman" w:cs="Times New Roman" w:eastAsia="Times New Roman" w:hAnsi="Times New Roman"/>
                <w:sz w:val="18"/>
                <w:szCs w:val="18"/>
                <w:color w:val="auto"/>
              </w:rPr>
              <w:t>59,389,193</w:t>
            </w:r>
          </w:p>
        </w:tc>
        <w:tc>
          <w:tcPr>
            <w:tcW w:w="300" w:type="dxa"/>
            <w:vAlign w:val="bottom"/>
            <w:tcBorders>
              <w:top w:val="single" w:sz="8" w:color="80B8E6"/>
            </w:tcBorders>
            <w:shd w:val="clear" w:color="auto" w:fill="80B8E6"/>
          </w:tcPr>
          <w:p>
            <w:pPr>
              <w:spacing w:after="0"/>
              <w:rPr>
                <w:sz w:val="21"/>
                <w:szCs w:val="21"/>
                <w:color w:val="auto"/>
              </w:rPr>
            </w:pPr>
          </w:p>
        </w:tc>
        <w:tc>
          <w:tcPr>
            <w:tcW w:w="1860" w:type="dxa"/>
            <w:vAlign w:val="bottom"/>
            <w:tcBorders>
              <w:top w:val="single" w:sz="8" w:color="auto"/>
            </w:tcBorders>
            <w:shd w:val="clear" w:color="auto" w:fill="80B8E6"/>
          </w:tcPr>
          <w:p>
            <w:pPr>
              <w:jc w:val="center"/>
              <w:spacing w:after="0"/>
              <w:rPr>
                <w:sz w:val="20"/>
                <w:szCs w:val="20"/>
                <w:color w:val="auto"/>
              </w:rPr>
            </w:pPr>
            <w:r>
              <w:rPr>
                <w:rFonts w:ascii="Times New Roman" w:cs="Times New Roman" w:eastAsia="Times New Roman" w:hAnsi="Times New Roman"/>
                <w:sz w:val="18"/>
                <w:szCs w:val="18"/>
                <w:color w:val="auto"/>
                <w:w w:val="99"/>
              </w:rPr>
              <w:t>3,066,087</w:t>
            </w:r>
          </w:p>
        </w:tc>
        <w:tc>
          <w:tcPr>
            <w:tcW w:w="320" w:type="dxa"/>
            <w:vAlign w:val="bottom"/>
            <w:tcBorders>
              <w:top w:val="single" w:sz="8" w:color="80B8E6"/>
            </w:tcBorders>
            <w:shd w:val="clear" w:color="auto" w:fill="80B8E6"/>
          </w:tcPr>
          <w:p>
            <w:pPr>
              <w:spacing w:after="0"/>
              <w:rPr>
                <w:sz w:val="21"/>
                <w:szCs w:val="21"/>
                <w:color w:val="auto"/>
              </w:rPr>
            </w:pPr>
          </w:p>
        </w:tc>
        <w:tc>
          <w:tcPr>
            <w:tcW w:w="1880" w:type="dxa"/>
            <w:vAlign w:val="bottom"/>
            <w:tcBorders>
              <w:top w:val="single" w:sz="8" w:color="auto"/>
            </w:tcBorders>
            <w:shd w:val="clear" w:color="auto" w:fill="80B8E6"/>
          </w:tcPr>
          <w:p>
            <w:pPr>
              <w:jc w:val="center"/>
              <w:spacing w:after="0"/>
              <w:rPr>
                <w:sz w:val="20"/>
                <w:szCs w:val="20"/>
                <w:color w:val="auto"/>
              </w:rPr>
            </w:pPr>
            <w:r>
              <w:rPr>
                <w:rFonts w:ascii="Times New Roman" w:cs="Times New Roman" w:eastAsia="Times New Roman" w:hAnsi="Times New Roman"/>
                <w:sz w:val="18"/>
                <w:szCs w:val="18"/>
                <w:color w:val="auto"/>
              </w:rPr>
              <w:t>48,040</w:t>
            </w:r>
          </w:p>
        </w:tc>
        <w:tc>
          <w:tcPr>
            <w:tcW w:w="320" w:type="dxa"/>
            <w:vAlign w:val="bottom"/>
            <w:tcBorders>
              <w:top w:val="single" w:sz="8" w:color="80B8E6"/>
            </w:tcBorders>
            <w:shd w:val="clear" w:color="auto" w:fill="80B8E6"/>
          </w:tcPr>
          <w:p>
            <w:pPr>
              <w:spacing w:after="0"/>
              <w:rPr>
                <w:sz w:val="21"/>
                <w:szCs w:val="21"/>
                <w:color w:val="auto"/>
              </w:rPr>
            </w:pPr>
          </w:p>
        </w:tc>
        <w:tc>
          <w:tcPr>
            <w:tcW w:w="1880" w:type="dxa"/>
            <w:vAlign w:val="bottom"/>
            <w:tcBorders>
              <w:top w:val="single" w:sz="8" w:color="auto"/>
            </w:tcBorders>
            <w:shd w:val="clear" w:color="auto" w:fill="80B8E6"/>
          </w:tcPr>
          <w:p>
            <w:pPr>
              <w:jc w:val="center"/>
              <w:spacing w:after="0"/>
              <w:rPr>
                <w:sz w:val="20"/>
                <w:szCs w:val="20"/>
                <w:color w:val="auto"/>
              </w:rPr>
            </w:pPr>
            <w:r>
              <w:rPr>
                <w:rFonts w:ascii="Times New Roman" w:cs="Times New Roman" w:eastAsia="Times New Roman" w:hAnsi="Times New Roman"/>
                <w:sz w:val="18"/>
                <w:szCs w:val="18"/>
                <w:color w:val="auto"/>
                <w:w w:val="98"/>
              </w:rPr>
              <w:t>15,255,311</w:t>
            </w:r>
          </w:p>
        </w:tc>
      </w:tr>
      <w:tr>
        <w:trPr>
          <w:trHeight w:val="40"/>
        </w:trPr>
        <w:tc>
          <w:tcPr>
            <w:tcW w:w="2380" w:type="dxa"/>
            <w:vAlign w:val="bottom"/>
            <w:shd w:val="clear" w:color="auto" w:fill="80B8E6"/>
          </w:tcPr>
          <w:p>
            <w:pPr>
              <w:spacing w:after="0"/>
              <w:rPr>
                <w:sz w:val="3"/>
                <w:szCs w:val="3"/>
                <w:color w:val="auto"/>
              </w:rPr>
            </w:pPr>
          </w:p>
        </w:tc>
        <w:tc>
          <w:tcPr>
            <w:tcW w:w="300" w:type="dxa"/>
            <w:vAlign w:val="bottom"/>
            <w:shd w:val="clear" w:color="auto" w:fill="80B8E6"/>
          </w:tcPr>
          <w:p>
            <w:pPr>
              <w:spacing w:after="0"/>
              <w:rPr>
                <w:sz w:val="3"/>
                <w:szCs w:val="3"/>
                <w:color w:val="auto"/>
              </w:rPr>
            </w:pPr>
          </w:p>
        </w:tc>
        <w:tc>
          <w:tcPr>
            <w:tcW w:w="1860" w:type="dxa"/>
            <w:vAlign w:val="bottom"/>
            <w:shd w:val="clear" w:color="auto" w:fill="80B8E6"/>
          </w:tcPr>
          <w:p>
            <w:pPr>
              <w:spacing w:after="0"/>
              <w:rPr>
                <w:sz w:val="3"/>
                <w:szCs w:val="3"/>
                <w:color w:val="auto"/>
              </w:rPr>
            </w:pPr>
          </w:p>
        </w:tc>
        <w:tc>
          <w:tcPr>
            <w:tcW w:w="320" w:type="dxa"/>
            <w:vAlign w:val="bottom"/>
            <w:shd w:val="clear" w:color="auto" w:fill="80B8E6"/>
          </w:tcPr>
          <w:p>
            <w:pPr>
              <w:spacing w:after="0"/>
              <w:rPr>
                <w:sz w:val="3"/>
                <w:szCs w:val="3"/>
                <w:color w:val="auto"/>
              </w:rPr>
            </w:pPr>
          </w:p>
        </w:tc>
        <w:tc>
          <w:tcPr>
            <w:tcW w:w="1880" w:type="dxa"/>
            <w:vAlign w:val="bottom"/>
            <w:shd w:val="clear" w:color="auto" w:fill="80B8E6"/>
          </w:tcPr>
          <w:p>
            <w:pPr>
              <w:spacing w:after="0"/>
              <w:rPr>
                <w:sz w:val="3"/>
                <w:szCs w:val="3"/>
                <w:color w:val="auto"/>
              </w:rPr>
            </w:pPr>
          </w:p>
        </w:tc>
        <w:tc>
          <w:tcPr>
            <w:tcW w:w="320" w:type="dxa"/>
            <w:vAlign w:val="bottom"/>
            <w:shd w:val="clear" w:color="auto" w:fill="80B8E6"/>
          </w:tcPr>
          <w:p>
            <w:pPr>
              <w:spacing w:after="0"/>
              <w:rPr>
                <w:sz w:val="3"/>
                <w:szCs w:val="3"/>
                <w:color w:val="auto"/>
              </w:rPr>
            </w:pPr>
          </w:p>
        </w:tc>
        <w:tc>
          <w:tcPr>
            <w:tcW w:w="1880" w:type="dxa"/>
            <w:vAlign w:val="bottom"/>
            <w:shd w:val="clear" w:color="auto" w:fill="80B8E6"/>
          </w:tcPr>
          <w:p>
            <w:pPr>
              <w:spacing w:after="0"/>
              <w:rPr>
                <w:sz w:val="3"/>
                <w:szCs w:val="3"/>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voted to approve the 2026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3" w:name="page4"/>
    <w:bookmarkEnd w:id="3"/>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96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45"/>
        </w:trPr>
        <w:tc>
          <w:tcPr>
            <w:tcW w:w="1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FF"/>
              </w:rPr>
              <w:t>Amended and Restated 2012 Employee Stock Purchase Plan</w:t>
            </w:r>
            <w:r>
              <w:rPr>
                <w:rFonts w:ascii="Times New Roman" w:cs="Times New Roman" w:eastAsia="Times New Roman" w:hAnsi="Times New Roman"/>
                <w:sz w:val="18"/>
                <w:szCs w:val="18"/>
                <w:color w:val="000000"/>
              </w:rPr>
              <w:t>, as amended.</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2026 Employee, Director and Consultant Equity Incentive Plan</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60" w:type="dxa"/>
            <w:vAlign w:val="bottom"/>
            <w:gridSpan w:val="2"/>
            <w:shd w:val="clear" w:color="auto" w:fill="0000FF"/>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 w:name="page5"/>
    <w:bookmarkEnd w:id="4"/>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24" w:lineRule="exact"/>
        <w:rPr>
          <w:sz w:val="20"/>
          <w:szCs w:val="20"/>
          <w:color w:val="auto"/>
        </w:rPr>
      </w:pPr>
    </w:p>
    <w:p>
      <w:pPr>
        <w:ind w:left="20"/>
        <w:spacing w:after="0"/>
        <w:tabs>
          <w:tab w:leader="none" w:pos="6180" w:val="left"/>
          <w:tab w:leader="none" w:pos="6640" w:val="left"/>
        </w:tabs>
        <w:rPr>
          <w:sz w:val="20"/>
          <w:szCs w:val="20"/>
          <w:color w:val="auto"/>
        </w:rPr>
      </w:pPr>
      <w:r>
        <w:rPr>
          <w:rFonts w:ascii="Times New Roman" w:cs="Times New Roman" w:eastAsia="Times New Roman" w:hAnsi="Times New Roman"/>
          <w:sz w:val="18"/>
          <w:szCs w:val="18"/>
          <w:color w:val="auto"/>
        </w:rPr>
        <w:t>Date: June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Benjamin R.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34290</wp:posOffset>
            </wp:positionV>
            <wp:extent cx="29063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06395" cy="8255"/>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Benjamin R. Wheeler</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920"/>
          </w:cols>
          <w:pgMar w:left="320" w:top="887" w:right="6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16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b w:val="1"/>
          <w:bCs w:val="1"/>
          <w:color w:val="auto"/>
        </w:rPr>
        <w:t>MYRIAD GENETICS,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-121285</wp:posOffset>
            </wp:positionV>
            <wp:extent cx="2603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035" cy="137160"/>
                    </a:xfrm>
                    <a:prstGeom prst="rect">
                      <a:avLst/>
                    </a:prstGeom>
                    <a:noFill/>
                  </pic:spPr>
                </pic:pic>
              </a:graphicData>
            </a:graphic>
          </wp:anchor>
        </w:drawing>
      </w:r>
    </w:p>
    <w:p>
      <w:pPr>
        <w:spacing w:after="0" w:line="2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spacing w:after="0" w:line="2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0"/>
          <w:szCs w:val="20"/>
          <w:b w:val="1"/>
          <w:bCs w:val="1"/>
          <w:color w:val="auto"/>
        </w:rPr>
        <w:t>2012 EMPLOYEE STOCK PURCHASE PLAN</w:t>
      </w:r>
    </w:p>
    <w:p>
      <w:pPr>
        <w:spacing w:after="0" w:line="263" w:lineRule="exact"/>
        <w:rPr>
          <w:sz w:val="20"/>
          <w:szCs w:val="20"/>
          <w:color w:val="auto"/>
        </w:rPr>
      </w:pPr>
    </w:p>
    <w:p>
      <w:pPr>
        <w:spacing w:after="0" w:line="321" w:lineRule="auto"/>
        <w:rPr>
          <w:sz w:val="20"/>
          <w:szCs w:val="20"/>
          <w:color w:val="auto"/>
        </w:rPr>
      </w:pPr>
      <w:r>
        <w:rPr>
          <w:rFonts w:ascii="Arial" w:cs="Arial" w:eastAsia="Arial" w:hAnsi="Arial"/>
          <w:sz w:val="16"/>
          <w:szCs w:val="16"/>
          <w:color w:val="auto"/>
        </w:rPr>
        <w:t>The following constitute the provisions of the Amended and Restated 2012 Employee Stock Purchase Plan (the “Plan”) of Myriad Genetics, Inc. (the “Company”).</w:t>
      </w:r>
    </w:p>
    <w:p>
      <w:pPr>
        <w:spacing w:after="0" w:line="169" w:lineRule="exact"/>
        <w:rPr>
          <w:sz w:val="20"/>
          <w:szCs w:val="20"/>
          <w:color w:val="auto"/>
        </w:rPr>
      </w:pPr>
    </w:p>
    <w:p>
      <w:pPr>
        <w:jc w:val="both"/>
        <w:ind w:firstLine="8"/>
        <w:spacing w:after="0" w:line="289" w:lineRule="auto"/>
        <w:tabs>
          <w:tab w:leader="none" w:pos="193"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Purpose</w:t>
      </w:r>
      <w:r>
        <w:rPr>
          <w:rFonts w:ascii="Arial" w:cs="Arial" w:eastAsia="Arial" w:hAnsi="Arial"/>
          <w:sz w:val="16"/>
          <w:szCs w:val="16"/>
          <w:color w:val="auto"/>
        </w:rPr>
        <w:t>. The purpose of the Plan is to provide Employees of the Company and its Designated Subsidiaries with an opportunity to purchase Common Stock of the Company. It is the intention of the Company to have the Plan qualify as an “Employee Stock Purchase Plan” under Section 423 of the Code. The provisions of the Plan shall, accordingly, be construed so as to extend and limit participation in a manner consistent with the requirements of that section of the Code.</w:t>
      </w:r>
    </w:p>
    <w:p>
      <w:pPr>
        <w:spacing w:after="0" w:line="207" w:lineRule="exact"/>
        <w:rPr>
          <w:rFonts w:ascii="Arial" w:cs="Arial" w:eastAsia="Arial" w:hAnsi="Arial"/>
          <w:sz w:val="16"/>
          <w:szCs w:val="16"/>
          <w:color w:val="auto"/>
        </w:rPr>
      </w:pPr>
    </w:p>
    <w:p>
      <w:pPr>
        <w:ind w:left="180" w:hanging="172"/>
        <w:spacing w:after="0"/>
        <w:tabs>
          <w:tab w:leader="none" w:pos="18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262"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shall mean the Board of Directors of the Company, or a committee of the Board of Directors named by the Board to administer the Plan.</w:t>
      </w:r>
    </w:p>
    <w:p>
      <w:pPr>
        <w:spacing w:after="0" w:line="275" w:lineRule="exact"/>
        <w:rPr>
          <w:rFonts w:ascii="Arial" w:cs="Arial" w:eastAsia="Arial" w:hAnsi="Arial"/>
          <w:sz w:val="16"/>
          <w:szCs w:val="16"/>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shall mean the Internal Revenue Code of 1986, as amended, including any successor statute, regulation and guidance thereto.</w:t>
      </w:r>
    </w:p>
    <w:p>
      <w:pPr>
        <w:spacing w:after="0" w:line="275" w:lineRule="exact"/>
        <w:rPr>
          <w:rFonts w:ascii="Arial" w:cs="Arial" w:eastAsia="Arial" w:hAnsi="Arial"/>
          <w:sz w:val="16"/>
          <w:szCs w:val="16"/>
          <w:color w:val="auto"/>
        </w:rPr>
      </w:pPr>
    </w:p>
    <w:p>
      <w:pPr>
        <w:ind w:left="240" w:hanging="232"/>
        <w:spacing w:after="0"/>
        <w:tabs>
          <w:tab w:leader="none" w:pos="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shall mean the common stock, $.01 par value per share, of the Company.</w:t>
      </w:r>
    </w:p>
    <w:p>
      <w:pPr>
        <w:spacing w:after="0" w:line="261" w:lineRule="exact"/>
        <w:rPr>
          <w:rFonts w:ascii="Arial" w:cs="Arial" w:eastAsia="Arial" w:hAnsi="Arial"/>
          <w:sz w:val="16"/>
          <w:szCs w:val="16"/>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shall mean Myriad Genetics, Inc, a Delaware corporation.</w:t>
      </w:r>
    </w:p>
    <w:p>
      <w:pPr>
        <w:spacing w:after="0" w:line="275" w:lineRule="exact"/>
        <w:rPr>
          <w:rFonts w:ascii="Arial" w:cs="Arial" w:eastAsia="Arial" w:hAnsi="Arial"/>
          <w:sz w:val="16"/>
          <w:szCs w:val="16"/>
          <w:color w:val="auto"/>
        </w:rPr>
      </w:pPr>
    </w:p>
    <w:p>
      <w:pPr>
        <w:jc w:val="both"/>
        <w:ind w:firstLine="8"/>
        <w:spacing w:after="0" w:line="289" w:lineRule="auto"/>
        <w:tabs>
          <w:tab w:leader="none" w:pos="243"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Compensation</w:t>
      </w:r>
      <w:r>
        <w:rPr>
          <w:rFonts w:ascii="Arial" w:cs="Arial" w:eastAsia="Arial" w:hAnsi="Arial"/>
          <w:sz w:val="16"/>
          <w:szCs w:val="16"/>
          <w:color w:val="auto"/>
        </w:rPr>
        <w:t>” shall mean the regular rate of salary or wages received by the Employee from the Company or a Designated Subsidiary that is taxable income for federal income tax purposes or applicable tax law, including payments for overtime and shift premium, but excluding bonuses, commissions, incentive compensation, incentive payments, relocation, expense reimbursements, tuition, or other reimbursements and any other compensation received from the Company or a Designated Subsidiary.</w:t>
      </w:r>
    </w:p>
    <w:p>
      <w:pPr>
        <w:spacing w:after="0" w:line="193" w:lineRule="exact"/>
        <w:rPr>
          <w:rFonts w:ascii="Arial" w:cs="Arial" w:eastAsia="Arial" w:hAnsi="Arial"/>
          <w:sz w:val="16"/>
          <w:szCs w:val="16"/>
          <w:color w:val="auto"/>
        </w:rPr>
      </w:pPr>
    </w:p>
    <w:p>
      <w:pPr>
        <w:jc w:val="both"/>
        <w:ind w:firstLine="8"/>
        <w:spacing w:after="0" w:line="292" w:lineRule="auto"/>
        <w:tabs>
          <w:tab w:leader="none" w:pos="211"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Continuous Status as an Employee</w:t>
      </w:r>
      <w:r>
        <w:rPr>
          <w:rFonts w:ascii="Arial" w:cs="Arial" w:eastAsia="Arial" w:hAnsi="Arial"/>
          <w:sz w:val="16"/>
          <w:szCs w:val="16"/>
          <w:color w:val="auto"/>
        </w:rPr>
        <w:t>” shall mean the absence of any interruption or termination of service as an Employee. Continuous Status as an Employee shall not be considered interrupted in the case of a leave of absence agreed to in writing by the Company, provided that such leave is for a period of not more than 90 days or reemployment upon the expiration of such leave is guaranteed by contract or statute.</w:t>
      </w:r>
    </w:p>
    <w:p>
      <w:pPr>
        <w:spacing w:after="0" w:line="205" w:lineRule="exact"/>
        <w:rPr>
          <w:rFonts w:ascii="Arial" w:cs="Arial" w:eastAsia="Arial" w:hAnsi="Arial"/>
          <w:sz w:val="16"/>
          <w:szCs w:val="16"/>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Contributions</w:t>
      </w:r>
      <w:r>
        <w:rPr>
          <w:rFonts w:ascii="Arial" w:cs="Arial" w:eastAsia="Arial" w:hAnsi="Arial"/>
          <w:sz w:val="16"/>
          <w:szCs w:val="16"/>
          <w:color w:val="auto"/>
        </w:rPr>
        <w:t>” shall mean all amounts credited to the account of a participant pursuant to the Plan.</w:t>
      </w:r>
    </w:p>
    <w:p>
      <w:pPr>
        <w:spacing w:after="0" w:line="261" w:lineRule="exact"/>
        <w:rPr>
          <w:rFonts w:ascii="Arial" w:cs="Arial" w:eastAsia="Arial" w:hAnsi="Arial"/>
          <w:sz w:val="16"/>
          <w:szCs w:val="16"/>
          <w:color w:val="auto"/>
        </w:rPr>
      </w:pPr>
    </w:p>
    <w:p>
      <w:pPr>
        <w:ind w:right="20" w:firstLine="8"/>
        <w:spacing w:after="0" w:line="321" w:lineRule="auto"/>
        <w:tabs>
          <w:tab w:leader="none" w:pos="256"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Subsidiaries</w:t>
      </w:r>
      <w:r>
        <w:rPr>
          <w:rFonts w:ascii="Arial" w:cs="Arial" w:eastAsia="Arial" w:hAnsi="Arial"/>
          <w:sz w:val="16"/>
          <w:szCs w:val="16"/>
          <w:color w:val="auto"/>
        </w:rPr>
        <w:t>” shall mean the Subsidiaries which have been designated by the Board from time to time in its sole discretion as eligible to participate in the Plan.</w:t>
      </w:r>
    </w:p>
    <w:p>
      <w:pPr>
        <w:spacing w:after="0" w:line="182" w:lineRule="exact"/>
        <w:rPr>
          <w:rFonts w:ascii="Arial" w:cs="Arial" w:eastAsia="Arial" w:hAnsi="Arial"/>
          <w:sz w:val="16"/>
          <w:szCs w:val="16"/>
          <w:color w:val="auto"/>
        </w:rPr>
      </w:pPr>
    </w:p>
    <w:p>
      <w:pPr>
        <w:ind w:firstLine="8"/>
        <w:spacing w:after="0" w:line="304" w:lineRule="auto"/>
        <w:tabs>
          <w:tab w:leader="none" w:pos="202"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shall mean any person who is employed by the Company or one of its Designated Subsidiaries for tax purposes and who is customarily employed for at least 20 hours per week and more than five months in a calendar year by the Company or one of its Designated Subsidiaries.</w:t>
      </w:r>
    </w:p>
    <w:p>
      <w:pPr>
        <w:spacing w:after="0" w:line="195" w:lineRule="exact"/>
        <w:rPr>
          <w:rFonts w:ascii="Arial" w:cs="Arial" w:eastAsia="Arial" w:hAnsi="Arial"/>
          <w:sz w:val="16"/>
          <w:szCs w:val="16"/>
          <w:color w:val="auto"/>
        </w:rPr>
      </w:pPr>
    </w:p>
    <w:p>
      <w:pPr>
        <w:ind w:left="200" w:hanging="192"/>
        <w:spacing w:after="0"/>
        <w:tabs>
          <w:tab w:leader="none" w:pos="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Exercise Date</w:t>
      </w:r>
      <w:r>
        <w:rPr>
          <w:rFonts w:ascii="Arial" w:cs="Arial" w:eastAsia="Arial" w:hAnsi="Arial"/>
          <w:sz w:val="16"/>
          <w:szCs w:val="16"/>
          <w:color w:val="auto"/>
        </w:rPr>
        <w:t>” shall mean the last business day of each Offering Period of the Plan.</w:t>
      </w:r>
    </w:p>
    <w:p>
      <w:pPr>
        <w:spacing w:after="0" w:line="261" w:lineRule="exact"/>
        <w:rPr>
          <w:rFonts w:ascii="Arial" w:cs="Arial" w:eastAsia="Arial" w:hAnsi="Arial"/>
          <w:sz w:val="16"/>
          <w:szCs w:val="16"/>
          <w:color w:val="auto"/>
        </w:rPr>
      </w:pPr>
    </w:p>
    <w:p>
      <w:pPr>
        <w:ind w:firstLine="8"/>
        <w:spacing w:after="0" w:line="321" w:lineRule="auto"/>
        <w:tabs>
          <w:tab w:leader="none" w:pos="234"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Exercise Price</w:t>
      </w:r>
      <w:r>
        <w:rPr>
          <w:rFonts w:ascii="Arial" w:cs="Arial" w:eastAsia="Arial" w:hAnsi="Arial"/>
          <w:sz w:val="16"/>
          <w:szCs w:val="16"/>
          <w:color w:val="auto"/>
        </w:rPr>
        <w:t>” shall mean with respect to an Offering Period, an amount equal to 85% of the fair market value (as defined in paragraph 7(b)) of a share of Common Stock on the Offering Date or on the Exercise Date, whichever is lower.</w:t>
      </w:r>
    </w:p>
    <w:p>
      <w:pPr>
        <w:spacing w:after="0" w:line="182" w:lineRule="exact"/>
        <w:rPr>
          <w:rFonts w:ascii="Arial" w:cs="Arial" w:eastAsia="Arial" w:hAnsi="Arial"/>
          <w:sz w:val="16"/>
          <w:szCs w:val="16"/>
          <w:color w:val="auto"/>
        </w:rPr>
      </w:pPr>
    </w:p>
    <w:p>
      <w:pPr>
        <w:ind w:left="200" w:hanging="192"/>
        <w:spacing w:after="0"/>
        <w:tabs>
          <w:tab w:leader="none" w:pos="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Date</w:t>
      </w:r>
      <w:r>
        <w:rPr>
          <w:rFonts w:ascii="Arial" w:cs="Arial" w:eastAsia="Arial" w:hAnsi="Arial"/>
          <w:sz w:val="16"/>
          <w:szCs w:val="16"/>
          <w:color w:val="auto"/>
        </w:rPr>
        <w:t>” shall mean the first business day of each Offering Period of the Plan.</w:t>
      </w:r>
    </w:p>
    <w:p>
      <w:pPr>
        <w:spacing w:after="0" w:line="261" w:lineRule="exact"/>
        <w:rPr>
          <w:rFonts w:ascii="Arial" w:cs="Arial" w:eastAsia="Arial" w:hAnsi="Arial"/>
          <w:sz w:val="16"/>
          <w:szCs w:val="16"/>
          <w:color w:val="auto"/>
        </w:rPr>
      </w:pPr>
    </w:p>
    <w:p>
      <w:pPr>
        <w:ind w:firstLine="8"/>
        <w:spacing w:after="0" w:line="321" w:lineRule="auto"/>
        <w:tabs>
          <w:tab w:leader="none" w:pos="315"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Period</w:t>
      </w:r>
      <w:r>
        <w:rPr>
          <w:rFonts w:ascii="Arial" w:cs="Arial" w:eastAsia="Arial" w:hAnsi="Arial"/>
          <w:sz w:val="16"/>
          <w:szCs w:val="16"/>
          <w:color w:val="auto"/>
        </w:rPr>
        <w:t>” shall mean a period of six months as set forth in paragraph 4 of the Plan (or such other period as determined by the Board in accordance with this Plan).</w:t>
      </w:r>
    </w:p>
    <w:p>
      <w:pPr>
        <w:spacing w:after="0" w:line="169" w:lineRule="exact"/>
        <w:rPr>
          <w:rFonts w:ascii="Arial" w:cs="Arial" w:eastAsia="Arial" w:hAnsi="Arial"/>
          <w:sz w:val="16"/>
          <w:szCs w:val="16"/>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shall mean this Myriad Genetics, Inc. Amended and Restated 2012 Employee Stock Purchase Plan.</w:t>
      </w:r>
    </w:p>
    <w:p>
      <w:pPr>
        <w:spacing w:after="0" w:line="275" w:lineRule="exact"/>
        <w:rPr>
          <w:rFonts w:ascii="Arial" w:cs="Arial" w:eastAsia="Arial" w:hAnsi="Arial"/>
          <w:sz w:val="16"/>
          <w:szCs w:val="16"/>
          <w:color w:val="auto"/>
        </w:rPr>
      </w:pPr>
    </w:p>
    <w:p>
      <w:pPr>
        <w:ind w:right="20" w:firstLine="8"/>
        <w:spacing w:after="0" w:line="321" w:lineRule="auto"/>
        <w:tabs>
          <w:tab w:leader="none" w:pos="243"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shall mean a corporation, domestic or foreign, of which not less than 50% of the voting shares are held by the Company or a Subsidiary, whether or not such corporation now exists or is hereafter organized or acquired by the Company or a Subsidiary.</w:t>
      </w:r>
    </w:p>
    <w:p>
      <w:pPr>
        <w:sectPr>
          <w:pgSz w:w="11900" w:h="16838" w:orient="portrait"/>
          <w:cols w:equalWidth="0" w:num="1">
            <w:col w:w="11240"/>
          </w:cols>
          <w:pgMar w:left="320" w:top="3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383" w:right="339" w:bottom="1440" w:gutter="0" w:footer="0" w:header="0"/>
          <w:type w:val="continuous"/>
        </w:sectPr>
      </w:pPr>
    </w:p>
    <w:bookmarkStart w:id="6" w:name="page7"/>
    <w:bookmarkEnd w:id="6"/>
    <w:p>
      <w:pPr>
        <w:ind w:left="180" w:hanging="172"/>
        <w:spacing w:after="0"/>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w:t>
      </w:r>
    </w:p>
    <w:p>
      <w:pPr>
        <w:spacing w:after="0" w:line="275" w:lineRule="exact"/>
        <w:rPr>
          <w:sz w:val="20"/>
          <w:szCs w:val="20"/>
          <w:color w:val="auto"/>
        </w:rPr>
      </w:pPr>
    </w:p>
    <w:p>
      <w:pPr>
        <w:jc w:val="both"/>
        <w:ind w:firstLine="8"/>
        <w:spacing w:after="0" w:line="283" w:lineRule="auto"/>
        <w:tabs>
          <w:tab w:leader="none" w:pos="246"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person who has been continuously employed as an Employee for three months as of the Offering Date of a given Offering Period shall be eligible to participate in such Offering Period under the Plan and further, subject to the requirements of paragraph 5(a) and the limitations imposed by Section 423(b) of the Code. All Employees granted options under the Plan with respect to any Offering Period will have the same rights and privileges except for any differences that may be permitted pursuant to Section 423.</w:t>
      </w:r>
    </w:p>
    <w:p>
      <w:pPr>
        <w:spacing w:after="0" w:line="212" w:lineRule="exact"/>
        <w:rPr>
          <w:rFonts w:ascii="Arial" w:cs="Arial" w:eastAsia="Arial" w:hAnsi="Arial"/>
          <w:sz w:val="16"/>
          <w:szCs w:val="16"/>
          <w:color w:val="auto"/>
        </w:rPr>
      </w:pPr>
    </w:p>
    <w:p>
      <w:pPr>
        <w:jc w:val="both"/>
        <w:ind w:firstLine="8"/>
        <w:spacing w:after="0" w:line="280" w:lineRule="auto"/>
        <w:tabs>
          <w:tab w:leader="none" w:pos="245"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provisions of the Plan to the contrary notwithstanding, no Employee shall be granted an option under the Plan (i) if, immediately after the grant, such Employee (or any other person whose stock would be attributed to such Employee pursuant to Section 424(d) of the Code) would own stock and/or hold outstanding options to purchase stock possessing five percent (5%) or more of the total combined voting power or value of all classes of stock of the Company or of any Subsidiary of the Company, or (ii) which permits his or her rights to purchase stock under all employee stock purchase plans (described in Section 423 of the Code) of the Company and its Subsidiaries to accrue at a rate which exceeds $25,000 of fair market value of such stock as defined in paragraph 7(b) (determined at the time such option is granted) for each calendar year in which such option is outstanding at any time. This limitation shall be applied in accordance with Section 423(b)(8) of the Code. In addition, the maximum number of shares of Common Stock that may be purchased by any participant during an Offering Period shall be 5,000 shares of Common Stock. Any option granted under the Plan shall be deemed to be modified to the extent necessary to satisfy this paragraph 3(b).</w:t>
      </w:r>
    </w:p>
    <w:p>
      <w:pPr>
        <w:spacing w:after="0" w:line="201" w:lineRule="exact"/>
        <w:rPr>
          <w:sz w:val="20"/>
          <w:szCs w:val="20"/>
          <w:color w:val="auto"/>
        </w:rPr>
      </w:pPr>
    </w:p>
    <w:p>
      <w:pPr>
        <w:jc w:val="both"/>
        <w:ind w:firstLine="8"/>
        <w:spacing w:after="0" w:line="289" w:lineRule="auto"/>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w:t>
      </w:r>
      <w:r>
        <w:rPr>
          <w:rFonts w:ascii="Arial" w:cs="Arial" w:eastAsia="Arial" w:hAnsi="Arial"/>
          <w:sz w:val="16"/>
          <w:szCs w:val="16"/>
          <w:u w:val="single" w:color="auto"/>
          <w:color w:val="auto"/>
        </w:rPr>
        <w:t>ffering Periods</w:t>
      </w:r>
      <w:r>
        <w:rPr>
          <w:rFonts w:ascii="Arial" w:cs="Arial" w:eastAsia="Arial" w:hAnsi="Arial"/>
          <w:sz w:val="16"/>
          <w:szCs w:val="16"/>
          <w:color w:val="auto"/>
        </w:rPr>
        <w:t>. The Plan shall be implemented by a series of Offering Periods, with a new Offering Period commencing on December 1 and June 1 of each year or the first business day thereafter (or at such other time or times as may be determined by the Board). The dates and provisions of separate Offering Periods under the Plan need not be identical, provided that the terms of participation are the same within any particular Offering Period except for any differences that may be permitted pursuant to Section 423 of the Code.</w:t>
      </w:r>
    </w:p>
    <w:p>
      <w:pPr>
        <w:spacing w:after="0" w:line="207" w:lineRule="exact"/>
        <w:rPr>
          <w:rFonts w:ascii="Arial" w:cs="Arial" w:eastAsia="Arial" w:hAnsi="Arial"/>
          <w:sz w:val="16"/>
          <w:szCs w:val="16"/>
          <w:color w:val="auto"/>
        </w:rPr>
      </w:pPr>
    </w:p>
    <w:p>
      <w:pPr>
        <w:ind w:left="180" w:hanging="172"/>
        <w:spacing w:after="0"/>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Participation</w:t>
      </w:r>
      <w:r>
        <w:rPr>
          <w:rFonts w:ascii="Arial" w:cs="Arial" w:eastAsia="Arial" w:hAnsi="Arial"/>
          <w:sz w:val="16"/>
          <w:szCs w:val="16"/>
          <w:color w:val="auto"/>
        </w:rPr>
        <w:t>.</w:t>
      </w:r>
    </w:p>
    <w:p>
      <w:pPr>
        <w:spacing w:after="0" w:line="262" w:lineRule="exact"/>
        <w:rPr>
          <w:sz w:val="20"/>
          <w:szCs w:val="20"/>
          <w:color w:val="auto"/>
        </w:rPr>
      </w:pPr>
    </w:p>
    <w:p>
      <w:pPr>
        <w:jc w:val="both"/>
        <w:ind w:firstLine="8"/>
        <w:spacing w:after="0" w:line="289" w:lineRule="auto"/>
        <w:tabs>
          <w:tab w:leader="none" w:pos="243" w:val="left"/>
        </w:tabs>
        <w:numPr>
          <w:ilvl w:val="0"/>
          <w:numId w:val="7"/>
        </w:numPr>
        <w:rPr>
          <w:rFonts w:ascii="Arial" w:cs="Arial" w:eastAsia="Arial" w:hAnsi="Arial"/>
          <w:sz w:val="16"/>
          <w:szCs w:val="16"/>
          <w:color w:val="auto"/>
        </w:rPr>
      </w:pPr>
      <w:r>
        <w:rPr>
          <w:rFonts w:ascii="Arial" w:cs="Arial" w:eastAsia="Arial" w:hAnsi="Arial"/>
          <w:sz w:val="16"/>
          <w:szCs w:val="16"/>
          <w:color w:val="auto"/>
        </w:rPr>
        <w:t>An eligible Employee may become a participant in the Plan by completing an Enrollment Form provided by the Company and filing it with the Company or its designee prior to the applicable Offering Date, unless a later time for filing the Enrollment Form is set by the Board for all eligible Employees with respect to a given Offering Period. The Enrollment Form and its submission may be electronic as directed by the Company. The Enrollment Form shall set forth the percentage of the participant’s Compensation (which shall be not less than 1% and not more than 10%) to be paid as Contributions pursuant to the Plan.</w:t>
      </w:r>
    </w:p>
    <w:p>
      <w:pPr>
        <w:spacing w:after="0" w:line="207" w:lineRule="exact"/>
        <w:rPr>
          <w:rFonts w:ascii="Arial" w:cs="Arial" w:eastAsia="Arial" w:hAnsi="Arial"/>
          <w:sz w:val="16"/>
          <w:szCs w:val="16"/>
          <w:color w:val="auto"/>
        </w:rPr>
      </w:pPr>
    </w:p>
    <w:p>
      <w:pPr>
        <w:jc w:val="both"/>
        <w:ind w:firstLine="8"/>
        <w:spacing w:after="0" w:line="292" w:lineRule="auto"/>
        <w:tabs>
          <w:tab w:leader="none" w:pos="243" w:val="left"/>
        </w:tabs>
        <w:numPr>
          <w:ilvl w:val="0"/>
          <w:numId w:val="7"/>
        </w:numPr>
        <w:rPr>
          <w:rFonts w:ascii="Arial" w:cs="Arial" w:eastAsia="Arial" w:hAnsi="Arial"/>
          <w:sz w:val="16"/>
          <w:szCs w:val="16"/>
          <w:color w:val="auto"/>
        </w:rPr>
      </w:pPr>
      <w:r>
        <w:rPr>
          <w:rFonts w:ascii="Arial" w:cs="Arial" w:eastAsia="Arial" w:hAnsi="Arial"/>
          <w:sz w:val="16"/>
          <w:szCs w:val="16"/>
          <w:color w:val="auto"/>
        </w:rPr>
        <w:t>Payroll deductions shall commence with the first payroll following the Offering Date, unless a later time is set by the Board with respect to a given Offering Period, and shall end on the last payroll paid on or prior to the Exercise Date of the Offering Period to which the Enrollment Form is applicable, unless sooner terminated as provided in paragraph 10.</w:t>
      </w:r>
    </w:p>
    <w:p>
      <w:pPr>
        <w:spacing w:after="0" w:line="192"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Method of Payment of Contributions</w:t>
      </w:r>
      <w:r>
        <w:rPr>
          <w:rFonts w:ascii="Arial" w:cs="Arial" w:eastAsia="Arial" w:hAnsi="Arial"/>
          <w:sz w:val="16"/>
          <w:szCs w:val="16"/>
          <w:color w:val="auto"/>
        </w:rPr>
        <w:t>.</w:t>
      </w:r>
    </w:p>
    <w:p>
      <w:pPr>
        <w:spacing w:after="0" w:line="275" w:lineRule="exact"/>
        <w:rPr>
          <w:sz w:val="20"/>
          <w:szCs w:val="20"/>
          <w:color w:val="auto"/>
        </w:rPr>
      </w:pPr>
    </w:p>
    <w:p>
      <w:pPr>
        <w:jc w:val="both"/>
        <w:ind w:firstLine="8"/>
        <w:spacing w:after="0" w:line="282" w:lineRule="auto"/>
        <w:tabs>
          <w:tab w:leader="none" w:pos="245" w:val="left"/>
        </w:tabs>
        <w:numPr>
          <w:ilvl w:val="0"/>
          <w:numId w:val="9"/>
        </w:numPr>
        <w:rPr>
          <w:rFonts w:ascii="Arial" w:cs="Arial" w:eastAsia="Arial" w:hAnsi="Arial"/>
          <w:sz w:val="16"/>
          <w:szCs w:val="16"/>
          <w:color w:val="auto"/>
        </w:rPr>
      </w:pPr>
      <w:r>
        <w:rPr>
          <w:rFonts w:ascii="Arial" w:cs="Arial" w:eastAsia="Arial" w:hAnsi="Arial"/>
          <w:sz w:val="16"/>
          <w:szCs w:val="16"/>
          <w:color w:val="auto"/>
        </w:rPr>
        <w:t>Each participant shall elect to have payroll deductions made on each payroll during the Offering Period in an amount not less than 1% and not more than 10% of such participant’s Compensation on each such payroll (in whole percentage amounts); provided that the aggregate of such payroll deductions during the Offering Period shall not exceed 10% of the participant’s aggregate Compensation during said Offering Period (or such other percentage as the Board may establish from time to time before an Offering Date). All payroll deductions made by a participant shall be credited to his or her account under the Plan. A participant may not make any additional payments into such account.</w:t>
      </w:r>
    </w:p>
    <w:p>
      <w:pPr>
        <w:spacing w:after="0" w:line="215" w:lineRule="exact"/>
        <w:rPr>
          <w:rFonts w:ascii="Arial" w:cs="Arial" w:eastAsia="Arial" w:hAnsi="Arial"/>
          <w:sz w:val="16"/>
          <w:szCs w:val="16"/>
          <w:color w:val="auto"/>
        </w:rPr>
      </w:pPr>
    </w:p>
    <w:p>
      <w:pPr>
        <w:jc w:val="both"/>
        <w:ind w:firstLine="8"/>
        <w:spacing w:after="0" w:line="282" w:lineRule="auto"/>
        <w:tabs>
          <w:tab w:leader="none" w:pos="252" w:val="left"/>
        </w:tabs>
        <w:numPr>
          <w:ilvl w:val="0"/>
          <w:numId w:val="9"/>
        </w:numPr>
        <w:rPr>
          <w:rFonts w:ascii="Arial" w:cs="Arial" w:eastAsia="Arial" w:hAnsi="Arial"/>
          <w:sz w:val="16"/>
          <w:szCs w:val="16"/>
          <w:color w:val="auto"/>
        </w:rPr>
      </w:pPr>
      <w:r>
        <w:rPr>
          <w:rFonts w:ascii="Arial" w:cs="Arial" w:eastAsia="Arial" w:hAnsi="Arial"/>
          <w:sz w:val="16"/>
          <w:szCs w:val="16"/>
          <w:color w:val="auto"/>
        </w:rPr>
        <w:t>A participant may discontinue his or her participation in the Plan as provided in paragraph 10, or, on one occasion only during the Offering Period, may decrease, but may not increase, the rate of his or her Contributions during the Offering Period by completing and filing with the Company a new Enrollment Form authorizing a change in the deduction rate. The change in rate shall be effective as of the beginning of the next payroll period following the date of filing of the new Enrollment Form, if the Enrollment Form is completed at least ten business days prior to such date, and, if not, as of the beginning of the next succeeding payroll period.</w:t>
      </w:r>
    </w:p>
    <w:p>
      <w:pPr>
        <w:spacing w:after="0" w:line="215" w:lineRule="exact"/>
        <w:rPr>
          <w:rFonts w:ascii="Arial" w:cs="Arial" w:eastAsia="Arial" w:hAnsi="Arial"/>
          <w:sz w:val="16"/>
          <w:szCs w:val="16"/>
          <w:color w:val="auto"/>
        </w:rPr>
      </w:pPr>
    </w:p>
    <w:p>
      <w:pPr>
        <w:jc w:val="both"/>
        <w:ind w:firstLine="8"/>
        <w:spacing w:after="0" w:line="282" w:lineRule="auto"/>
        <w:tabs>
          <w:tab w:leader="none" w:pos="272" w:val="left"/>
        </w:tabs>
        <w:numPr>
          <w:ilvl w:val="0"/>
          <w:numId w:val="9"/>
        </w:numPr>
        <w:rPr>
          <w:rFonts w:ascii="Arial" w:cs="Arial" w:eastAsia="Arial" w:hAnsi="Arial"/>
          <w:sz w:val="16"/>
          <w:szCs w:val="16"/>
          <w:color w:val="auto"/>
        </w:rPr>
      </w:pPr>
      <w:r>
        <w:rPr>
          <w:rFonts w:ascii="Arial" w:cs="Arial" w:eastAsia="Arial" w:hAnsi="Arial"/>
          <w:sz w:val="16"/>
          <w:szCs w:val="16"/>
          <w:color w:val="auto"/>
        </w:rPr>
        <w:t>Notwithstanding the foregoing, to the extent necessary to comply with Section 423(b)(8) of the Code and paragraph 3(b), a participant’s payroll deductions may be decreased to 0% at such time during any Offering Period which is scheduled to end during the current calendar year that the aggregate of all payroll deductions accumulated with respect to such Offering Period and any other Offering Period ending within the same calendar year equals $21,250. Payroll deductions shall recommence at the rate provided in such participant’s Enrollment Form at the beginning of the first Offering Period which is scheduled to end in the following calendar year, unless terminated by the participant as provided in paragraph 10.</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773" w:right="339" w:bottom="1440" w:gutter="0" w:footer="0" w:header="0"/>
        </w:sectPr>
      </w:pPr>
    </w:p>
    <w:bookmarkStart w:id="7" w:name="page8"/>
    <w:bookmarkEnd w:id="7"/>
    <w:p>
      <w:pPr>
        <w:ind w:left="172" w:hanging="172"/>
        <w:spacing w:after="0"/>
        <w:tabs>
          <w:tab w:leader="none" w:pos="172"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Grant of Option</w:t>
      </w:r>
      <w:r>
        <w:rPr>
          <w:rFonts w:ascii="Arial" w:cs="Arial" w:eastAsia="Arial" w:hAnsi="Arial"/>
          <w:sz w:val="16"/>
          <w:szCs w:val="16"/>
          <w:color w:val="auto"/>
        </w:rPr>
        <w:t>.</w:t>
      </w:r>
    </w:p>
    <w:p>
      <w:pPr>
        <w:spacing w:after="0" w:line="275" w:lineRule="exact"/>
        <w:rPr>
          <w:sz w:val="20"/>
          <w:szCs w:val="20"/>
          <w:color w:val="auto"/>
        </w:rPr>
      </w:pPr>
    </w:p>
    <w:p>
      <w:pPr>
        <w:jc w:val="both"/>
        <w:ind w:left="-8" w:firstLine="8"/>
        <w:spacing w:after="0" w:line="282" w:lineRule="auto"/>
        <w:tabs>
          <w:tab w:leader="none" w:pos="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the Offering Date of each Offering Period, each eligible Employee participating in such Offering Period shall be granted an option to purchase on the Exercise Date of such Offering Period a number of shares of the Common Stock determined by dividing such Employee’s Contributions accumulated prior to such Exercise Date and retained in the participant’s account as of the Exercise Date by the applicable Exercise Price; provided however, that such purchase shall be subject to the limitations set forth in paragraphs 3(b) and 12. The fair market value of a share of the Common Stock shall be determined as provided in paragraph 7(b).</w:t>
      </w:r>
    </w:p>
    <w:p>
      <w:pPr>
        <w:spacing w:after="0" w:line="215" w:lineRule="exact"/>
        <w:rPr>
          <w:rFonts w:ascii="Arial" w:cs="Arial" w:eastAsia="Arial" w:hAnsi="Arial"/>
          <w:sz w:val="16"/>
          <w:szCs w:val="16"/>
          <w:color w:val="auto"/>
        </w:rPr>
      </w:pPr>
    </w:p>
    <w:p>
      <w:pPr>
        <w:jc w:val="both"/>
        <w:ind w:left="-8" w:firstLine="8"/>
        <w:spacing w:after="0" w:line="282" w:lineRule="auto"/>
        <w:tabs>
          <w:tab w:leader="none" w:pos="241"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fair market value of the Common Stock on a given date shall be (i) if the Common Stock is listed on a national securities exchange or traded in the over-the-counter market and sales prices are regularly reported for the Common Stock, the closing or last sale price of the Common Stock for such date (or, in the event that the Common Stock is not traded on such date, on the immediately preceding trading date), on the composite tape or other comparable reporting system; or (ii) if the Common Stock is not listed on a national securities exchange and such price is not regularly reported, the mean between the bid and asked prices per share of the Common Stock at the close of trading in the over-the-counter market.</w:t>
      </w:r>
    </w:p>
    <w:p>
      <w:pPr>
        <w:spacing w:after="0" w:line="215" w:lineRule="exact"/>
        <w:rPr>
          <w:sz w:val="20"/>
          <w:szCs w:val="20"/>
          <w:color w:val="auto"/>
        </w:rPr>
      </w:pPr>
    </w:p>
    <w:p>
      <w:pPr>
        <w:jc w:val="both"/>
        <w:ind w:left="-8" w:firstLine="8"/>
        <w:spacing w:after="0" w:line="282" w:lineRule="auto"/>
        <w:tabs>
          <w:tab w:leader="none" w:pos="199"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Exercise of Option</w:t>
      </w:r>
      <w:r>
        <w:rPr>
          <w:rFonts w:ascii="Arial" w:cs="Arial" w:eastAsia="Arial" w:hAnsi="Arial"/>
          <w:sz w:val="16"/>
          <w:szCs w:val="16"/>
          <w:color w:val="auto"/>
        </w:rPr>
        <w:t>. Unless a participant withdraws from the Plan as provided in paragraph 10, his or her option for the purchase of shares will be exercised automatically on the Exercise Date of the Offering Period, and the maximum number of full shares subject to the option will be purchased for him or her at the applicable Exercise Price with the accumulated Contributions in his or her account. If a fractional number of shares results, then such number shall be rounded down to the next whole number and any unapplied cash shall be carried forward to the next Exercise Date, unless the participant requests a cash payment. The shares purchased upon exercise of an option hereunder shall be deemed to be transferred to the participant on the Exercise Date. During a participant’s lifetime, a participant’s option to purchase shares hereunder is exercisable only by him or her.</w:t>
      </w:r>
    </w:p>
    <w:p>
      <w:pPr>
        <w:spacing w:after="0" w:line="201" w:lineRule="exact"/>
        <w:rPr>
          <w:rFonts w:ascii="Arial" w:cs="Arial" w:eastAsia="Arial" w:hAnsi="Arial"/>
          <w:sz w:val="16"/>
          <w:szCs w:val="16"/>
          <w:color w:val="auto"/>
        </w:rPr>
      </w:pPr>
    </w:p>
    <w:p>
      <w:pPr>
        <w:jc w:val="both"/>
        <w:ind w:left="-8" w:firstLine="8"/>
        <w:spacing w:after="0" w:line="282" w:lineRule="auto"/>
        <w:tabs>
          <w:tab w:leader="none" w:pos="172"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Delivery</w:t>
      </w:r>
      <w:r>
        <w:rPr>
          <w:rFonts w:ascii="Arial" w:cs="Arial" w:eastAsia="Arial" w:hAnsi="Arial"/>
          <w:sz w:val="16"/>
          <w:szCs w:val="16"/>
          <w:color w:val="auto"/>
        </w:rPr>
        <w:t>. Upon the written request of a participant, certificates representing the shares purchased upon exercise of an option will be issued as promptly as practicable after the Exercise Date of each Offering Period to participants who wish to hold their shares in certificate form, except that the Board may determine that such shares shall be held for each participant’s benefit by a broker designated by the Board. Any payroll deductions accumulated in a participant’s account which are not sufficient to purchase a full Share shall be retained in the participant’s account for the subsequent Offering Period, subject to earlier withdrawal by the participant as provided in paragraph 10 below. Any other amounts left over in a participant’s account after an Exercise Date shall be returned to the participant.</w:t>
      </w:r>
    </w:p>
    <w:p>
      <w:pPr>
        <w:spacing w:after="0" w:line="214" w:lineRule="exact"/>
        <w:rPr>
          <w:rFonts w:ascii="Arial" w:cs="Arial" w:eastAsia="Arial" w:hAnsi="Arial"/>
          <w:sz w:val="16"/>
          <w:szCs w:val="16"/>
          <w:color w:val="auto"/>
        </w:rPr>
      </w:pPr>
    </w:p>
    <w:p>
      <w:pPr>
        <w:ind w:left="272" w:hanging="272"/>
        <w:spacing w:after="0"/>
        <w:tabs>
          <w:tab w:leader="none" w:pos="272"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Withdrawal; Termination of Employment</w:t>
      </w:r>
      <w:r>
        <w:rPr>
          <w:rFonts w:ascii="Arial" w:cs="Arial" w:eastAsia="Arial" w:hAnsi="Arial"/>
          <w:sz w:val="16"/>
          <w:szCs w:val="16"/>
          <w:color w:val="auto"/>
        </w:rPr>
        <w:t>.</w:t>
      </w:r>
    </w:p>
    <w:p>
      <w:pPr>
        <w:spacing w:after="0" w:line="262" w:lineRule="exact"/>
        <w:rPr>
          <w:sz w:val="20"/>
          <w:szCs w:val="20"/>
          <w:color w:val="auto"/>
        </w:rPr>
      </w:pPr>
    </w:p>
    <w:p>
      <w:pPr>
        <w:jc w:val="both"/>
        <w:ind w:left="-8" w:firstLine="8"/>
        <w:spacing w:after="0" w:line="289" w:lineRule="auto"/>
        <w:tabs>
          <w:tab w:leader="none" w:pos="2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participant may withdraw all but not less than all the Contributions credited to his or her account under the Plan at any time prior to the Exercise Date of the Offering Period by giving written notice to the Company or its designee. All of the participant’s Contributions credited to his or her account will be paid to him or her as soon as practicable after receipt of his or her notice of withdrawal and his or her option for the current period will be automatically terminated, and no further Contributions for the purchase of shares will be made during the Offering Period.</w:t>
      </w:r>
    </w:p>
    <w:p>
      <w:pPr>
        <w:spacing w:after="0" w:line="207" w:lineRule="exact"/>
        <w:rPr>
          <w:rFonts w:ascii="Arial" w:cs="Arial" w:eastAsia="Arial" w:hAnsi="Arial"/>
          <w:sz w:val="16"/>
          <w:szCs w:val="16"/>
          <w:color w:val="auto"/>
        </w:rPr>
      </w:pPr>
    </w:p>
    <w:p>
      <w:pPr>
        <w:jc w:val="both"/>
        <w:ind w:left="-8" w:firstLine="8"/>
        <w:spacing w:after="0" w:line="292" w:lineRule="auto"/>
        <w:tabs>
          <w:tab w:leader="none" w:pos="259" w:val="left"/>
        </w:tabs>
        <w:numPr>
          <w:ilvl w:val="0"/>
          <w:numId w:val="13"/>
        </w:numPr>
        <w:rPr>
          <w:rFonts w:ascii="Arial" w:cs="Arial" w:eastAsia="Arial" w:hAnsi="Arial"/>
          <w:sz w:val="16"/>
          <w:szCs w:val="16"/>
          <w:color w:val="auto"/>
        </w:rPr>
      </w:pPr>
      <w:r>
        <w:rPr>
          <w:rFonts w:ascii="Arial" w:cs="Arial" w:eastAsia="Arial" w:hAnsi="Arial"/>
          <w:sz w:val="16"/>
          <w:szCs w:val="16"/>
          <w:color w:val="auto"/>
        </w:rPr>
        <w:t>Upon termination of the participant’s Continuous Status as an Employee prior to the Exercise Date of the Offering Period for any reason, including retirement or death, the Contributions credited to his or her account will be returned to him or her or, in the case of his or her death, to the person or persons entitled thereto under paragraph 14, and his or her option will be automatically terminated.</w:t>
      </w:r>
    </w:p>
    <w:p>
      <w:pPr>
        <w:spacing w:after="0" w:line="192" w:lineRule="exact"/>
        <w:rPr>
          <w:rFonts w:ascii="Arial" w:cs="Arial" w:eastAsia="Arial" w:hAnsi="Arial"/>
          <w:sz w:val="16"/>
          <w:szCs w:val="16"/>
          <w:color w:val="auto"/>
        </w:rPr>
      </w:pPr>
    </w:p>
    <w:p>
      <w:pPr>
        <w:jc w:val="both"/>
        <w:ind w:left="-8" w:firstLine="8"/>
        <w:spacing w:after="0" w:line="301" w:lineRule="auto"/>
        <w:tabs>
          <w:tab w:leader="none" w:pos="239"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the event an Employee fails to remain in Continuous Status as an Employee for at least 20 hours per week during the Offering Period in which the Employee is a participant, he or she will be deemed to have elected to withdraw from the Plan and the Contributions credited to his or her account will be returned to him or her and his or her option terminated.</w:t>
      </w:r>
    </w:p>
    <w:p>
      <w:pPr>
        <w:spacing w:after="0" w:line="185" w:lineRule="exact"/>
        <w:rPr>
          <w:rFonts w:ascii="Arial" w:cs="Arial" w:eastAsia="Arial" w:hAnsi="Arial"/>
          <w:sz w:val="16"/>
          <w:szCs w:val="16"/>
          <w:color w:val="auto"/>
        </w:rPr>
      </w:pPr>
    </w:p>
    <w:p>
      <w:pPr>
        <w:ind w:left="-8" w:firstLine="8"/>
        <w:spacing w:after="0" w:line="321" w:lineRule="auto"/>
        <w:tabs>
          <w:tab w:leader="none" w:pos="237"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participant’s withdrawal from an Offering Period will not have any effect upon his or her eligibility to participate in a succeeding offering or in any similar plan which may hereafter be adopted by the Company.</w:t>
      </w:r>
    </w:p>
    <w:p>
      <w:pPr>
        <w:spacing w:after="0" w:line="169" w:lineRule="exact"/>
        <w:rPr>
          <w:sz w:val="20"/>
          <w:szCs w:val="20"/>
          <w:color w:val="auto"/>
        </w:rPr>
      </w:pPr>
    </w:p>
    <w:p>
      <w:pPr>
        <w:ind w:left="252" w:hanging="252"/>
        <w:spacing w:after="0"/>
        <w:tabs>
          <w:tab w:leader="none" w:pos="252"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Interest</w:t>
      </w:r>
      <w:r>
        <w:rPr>
          <w:rFonts w:ascii="Arial" w:cs="Arial" w:eastAsia="Arial" w:hAnsi="Arial"/>
          <w:sz w:val="16"/>
          <w:szCs w:val="16"/>
          <w:color w:val="auto"/>
        </w:rPr>
        <w:t>. No interest shall accrue on the Contributions of a participant in the Plan.</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38" w:lineRule="exact"/>
        <w:rPr>
          <w:rFonts w:ascii="Arial" w:cs="Arial" w:eastAsia="Arial" w:hAnsi="Arial"/>
          <w:sz w:val="16"/>
          <w:szCs w:val="16"/>
          <w:color w:val="auto"/>
        </w:rPr>
      </w:pPr>
    </w:p>
    <w:p>
      <w:pPr>
        <w:ind w:left="5572"/>
        <w:spacing w:after="0"/>
        <w:rPr>
          <w:rFonts w:ascii="Arial" w:cs="Arial" w:eastAsia="Arial" w:hAnsi="Arial"/>
          <w:sz w:val="16"/>
          <w:szCs w:val="16"/>
          <w:color w:val="auto"/>
        </w:rPr>
      </w:pPr>
      <w:r>
        <w:rPr>
          <w:rFonts w:ascii="Arial" w:cs="Arial" w:eastAsia="Arial" w:hAnsi="Arial"/>
          <w:sz w:val="14"/>
          <w:szCs w:val="14"/>
          <w:color w:val="auto"/>
        </w:rPr>
        <w:t>3</w:t>
      </w:r>
    </w:p>
    <w:p>
      <w:pPr>
        <w:sectPr>
          <w:pgSz w:w="11900" w:h="16838" w:orient="portrait"/>
          <w:cols w:equalWidth="0" w:num="1">
            <w:col w:w="11232"/>
          </w:cols>
          <w:pgMar w:left="328" w:top="773" w:right="339" w:bottom="1440" w:gutter="0" w:footer="0" w:header="0"/>
        </w:sectPr>
      </w:pPr>
    </w:p>
    <w:bookmarkStart w:id="8" w:name="page9"/>
    <w:bookmarkEnd w:id="8"/>
    <w:p>
      <w:pPr>
        <w:ind w:left="280" w:hanging="272"/>
        <w:spacing w:after="0"/>
        <w:tabs>
          <w:tab w:leader="none" w:pos="28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Stock</w:t>
      </w:r>
      <w:r>
        <w:rPr>
          <w:rFonts w:ascii="Arial" w:cs="Arial" w:eastAsia="Arial" w:hAnsi="Arial"/>
          <w:sz w:val="16"/>
          <w:szCs w:val="16"/>
          <w:color w:val="auto"/>
        </w:rPr>
        <w:t>.</w:t>
      </w:r>
    </w:p>
    <w:p>
      <w:pPr>
        <w:spacing w:after="0" w:line="275" w:lineRule="exact"/>
        <w:rPr>
          <w:sz w:val="20"/>
          <w:szCs w:val="20"/>
          <w:color w:val="auto"/>
        </w:rPr>
      </w:pPr>
    </w:p>
    <w:p>
      <w:pPr>
        <w:jc w:val="both"/>
        <w:ind w:firstLine="8"/>
        <w:spacing w:after="0" w:line="279" w:lineRule="auto"/>
        <w:tabs>
          <w:tab w:leader="none" w:pos="251"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maximum number of shares of Common Stock which shall be made available for sale under the Plan as amended and restated shall be 4,000,000 shares, subject to adjustment upon changes in capitalization of the Company as provided in paragraph 18. If the total number of shares which would otherwise be subject to options granted pursuant to paragraph 7(a) on the Offering Date of an Offering Period exceeds the number of shares then available under the Plan (after deduction of all shares for which options have been exercised), the Company shall make a pro rata allocation of the shares remaining available for option grants in as uniform a manner as shall be practicable and as it shall determine to be equitable. Any amounts remaining in an Employee’s account not applied to the purchase of shares pursuant to this paragraph 12 shall be refunded on or promptly after the Exercise Date. In such event, the Company shall give written notice of such reduction of the number of shares subject to the option to each Employee affected thereby and shall similarly reduce the rate of Contributions, if necessary.</w:t>
      </w:r>
    </w:p>
    <w:p>
      <w:pPr>
        <w:spacing w:after="0" w:line="205" w:lineRule="exact"/>
        <w:rPr>
          <w:rFonts w:ascii="Arial" w:cs="Arial" w:eastAsia="Arial" w:hAnsi="Arial"/>
          <w:sz w:val="16"/>
          <w:szCs w:val="16"/>
          <w:color w:val="auto"/>
        </w:rPr>
      </w:pPr>
    </w:p>
    <w:p>
      <w:pPr>
        <w:ind w:left="260" w:hanging="252"/>
        <w:spacing w:after="0"/>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participant will have no interest or voting right in shares covered by his or her option until such option has been exercised.</w:t>
      </w:r>
    </w:p>
    <w:p>
      <w:pPr>
        <w:spacing w:after="0" w:line="275" w:lineRule="exact"/>
        <w:rPr>
          <w:sz w:val="20"/>
          <w:szCs w:val="20"/>
          <w:color w:val="auto"/>
        </w:rPr>
      </w:pPr>
    </w:p>
    <w:p>
      <w:pPr>
        <w:jc w:val="both"/>
        <w:ind w:firstLine="8"/>
        <w:spacing w:after="0" w:line="282" w:lineRule="auto"/>
        <w:tabs>
          <w:tab w:leader="none" w:pos="27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The Board shall supervise and administer the Plan and shall have full power to adopt, amend and rescind any rules deemed desirable and appropriate for the administration of the Plan and not inconsistent with the Plan, to construe and interpret the Plan, to correct any defect or supply any omission or reconcile any inconsistency or ambiguity in the Plan and to make all other determinations necessary or advisable for the administration of the Plan, including without limitation, adopting subplans applicable to particular Designated Subsidiaries or locations, which subplans may be designed to be outside the scope of Section 423 of the Code.</w:t>
      </w:r>
    </w:p>
    <w:p>
      <w:pPr>
        <w:spacing w:after="0" w:line="215" w:lineRule="exact"/>
        <w:rPr>
          <w:rFonts w:ascii="Arial" w:cs="Arial" w:eastAsia="Arial" w:hAnsi="Arial"/>
          <w:sz w:val="16"/>
          <w:szCs w:val="16"/>
          <w:color w:val="auto"/>
        </w:rPr>
      </w:pPr>
    </w:p>
    <w:p>
      <w:pPr>
        <w:ind w:left="280" w:hanging="272"/>
        <w:spacing w:after="0"/>
        <w:tabs>
          <w:tab w:leader="none" w:pos="28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Designation of Beneficiary</w:t>
      </w:r>
      <w:r>
        <w:rPr>
          <w:rFonts w:ascii="Arial" w:cs="Arial" w:eastAsia="Arial" w:hAnsi="Arial"/>
          <w:sz w:val="16"/>
          <w:szCs w:val="16"/>
          <w:color w:val="auto"/>
        </w:rPr>
        <w:t>.</w:t>
      </w:r>
    </w:p>
    <w:p>
      <w:pPr>
        <w:spacing w:after="0" w:line="275" w:lineRule="exact"/>
        <w:rPr>
          <w:sz w:val="20"/>
          <w:szCs w:val="20"/>
          <w:color w:val="auto"/>
        </w:rPr>
      </w:pPr>
    </w:p>
    <w:p>
      <w:pPr>
        <w:jc w:val="both"/>
        <w:ind w:firstLine="8"/>
        <w:spacing w:after="0" w:line="282" w:lineRule="auto"/>
        <w:tabs>
          <w:tab w:leader="none" w:pos="243"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participant may designate a beneficiary who is to receive any shares and cash, if any, from the participant’s account under the Plan in the event of such participant’s death subsequent to the end of the Offering Period but prior to delivery to him or her of such shares and cash. In addition, a participant may designate a beneficiary who is to receive any cash from the participant’s account under the Plan in the event of such participant’s death prior to the Exercise Date of the Offering Period. If a participant is married and the designated beneficiary is not the spouse, spousal consent shall be required for such designation to be effective. Beneficiary designations shall be made either in writing or by electronic delivery as directed by the Company.</w:t>
      </w:r>
    </w:p>
    <w:p>
      <w:pPr>
        <w:spacing w:after="0" w:line="201" w:lineRule="exact"/>
        <w:rPr>
          <w:rFonts w:ascii="Arial" w:cs="Arial" w:eastAsia="Arial" w:hAnsi="Arial"/>
          <w:sz w:val="16"/>
          <w:szCs w:val="16"/>
          <w:color w:val="auto"/>
        </w:rPr>
      </w:pPr>
    </w:p>
    <w:p>
      <w:pPr>
        <w:jc w:val="both"/>
        <w:ind w:firstLine="8"/>
        <w:spacing w:after="0" w:line="282" w:lineRule="auto"/>
        <w:tabs>
          <w:tab w:leader="none" w:pos="244"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Such designation of beneficiary may be changed by the participant (and his or her spouse, if any) at any time by submission of the required notice, which may be electronic.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215" w:lineRule="exact"/>
        <w:rPr>
          <w:sz w:val="20"/>
          <w:szCs w:val="20"/>
          <w:color w:val="auto"/>
        </w:rPr>
      </w:pPr>
    </w:p>
    <w:p>
      <w:pPr>
        <w:jc w:val="both"/>
        <w:ind w:right="20" w:firstLine="8"/>
        <w:spacing w:after="0" w:line="289" w:lineRule="auto"/>
        <w:tabs>
          <w:tab w:leader="none" w:pos="27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Neither Contributions credited to a participant’s account nor any rights with regard to the exercise of an option or to receive shares under the Plan may be assigned, transferred, pledged or otherwise disposed of in any way (other than by will, the laws of descent and distribution or as provided in paragraph 14) by the participant. Any such attempt at assignment, transfer, pledge or other disposition shall be without effect, except that the Company may treat such act as an election to withdraw funds in accordance with paragraph 10.</w:t>
      </w:r>
    </w:p>
    <w:p>
      <w:pPr>
        <w:spacing w:after="0" w:line="193" w:lineRule="exact"/>
        <w:rPr>
          <w:rFonts w:ascii="Arial" w:cs="Arial" w:eastAsia="Arial" w:hAnsi="Arial"/>
          <w:sz w:val="16"/>
          <w:szCs w:val="16"/>
          <w:color w:val="auto"/>
        </w:rPr>
      </w:pPr>
    </w:p>
    <w:p>
      <w:pPr>
        <w:ind w:firstLine="8"/>
        <w:spacing w:after="0" w:line="321" w:lineRule="auto"/>
        <w:tabs>
          <w:tab w:leader="none" w:pos="284"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Use of Funds</w:t>
      </w:r>
      <w:r>
        <w:rPr>
          <w:rFonts w:ascii="Arial" w:cs="Arial" w:eastAsia="Arial" w:hAnsi="Arial"/>
          <w:sz w:val="16"/>
          <w:szCs w:val="16"/>
          <w:color w:val="auto"/>
        </w:rPr>
        <w:t>. All Contributions received or held by the Company under the Plan may be used by the Company for any corporate purpose, and the Company shall not be obligated to segregate such Contributions.</w:t>
      </w:r>
    </w:p>
    <w:p>
      <w:pPr>
        <w:spacing w:after="0" w:line="182" w:lineRule="exact"/>
        <w:rPr>
          <w:rFonts w:ascii="Arial" w:cs="Arial" w:eastAsia="Arial" w:hAnsi="Arial"/>
          <w:sz w:val="16"/>
          <w:szCs w:val="16"/>
          <w:color w:val="auto"/>
        </w:rPr>
      </w:pPr>
    </w:p>
    <w:p>
      <w:pPr>
        <w:jc w:val="both"/>
        <w:ind w:firstLine="8"/>
        <w:spacing w:after="0" w:line="292" w:lineRule="auto"/>
        <w:tabs>
          <w:tab w:leader="none" w:pos="27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Reports</w:t>
      </w:r>
      <w:r>
        <w:rPr>
          <w:rFonts w:ascii="Arial" w:cs="Arial" w:eastAsia="Arial" w:hAnsi="Arial"/>
          <w:sz w:val="16"/>
          <w:szCs w:val="16"/>
          <w:color w:val="auto"/>
        </w:rPr>
        <w:t>. Individual accounts will be maintained for each participant in the Plan. Statements of account will be given to participating Employees promptly following the Exercise Date, which statements will set forth the amounts of Contributions, the per share purchase price, the number of shares purchased and the remaining cash balance, if any.</w:t>
      </w:r>
    </w:p>
    <w:p>
      <w:pPr>
        <w:spacing w:after="0" w:line="192" w:lineRule="exact"/>
        <w:rPr>
          <w:rFonts w:ascii="Arial" w:cs="Arial" w:eastAsia="Arial" w:hAnsi="Arial"/>
          <w:sz w:val="16"/>
          <w:szCs w:val="16"/>
          <w:color w:val="auto"/>
        </w:rPr>
      </w:pPr>
    </w:p>
    <w:p>
      <w:pPr>
        <w:jc w:val="both"/>
        <w:ind w:firstLine="8"/>
        <w:spacing w:after="0" w:line="282" w:lineRule="auto"/>
        <w:tabs>
          <w:tab w:leader="none" w:pos="284"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Adjustments Upon Changes in Capitalization</w:t>
      </w:r>
      <w:r>
        <w:rPr>
          <w:rFonts w:ascii="Arial" w:cs="Arial" w:eastAsia="Arial" w:hAnsi="Arial"/>
          <w:sz w:val="16"/>
          <w:szCs w:val="16"/>
          <w:color w:val="auto"/>
        </w:rPr>
        <w:t>. Subject to any required action by the stockholders of the Company, the number of shares of Common Stock covered by unexercised options under the Plan and the number of shares of Common Stock which have been authorized for issuance under the Plan but are not yet subject to options under paragraph 12(a), the number of shares of Common Stock set forth in paragraph 12(a)(i), (collectively, the “Reserves”), the maximum number of shares of Common Stock that may be purchased by a participant in an Offering Period set forth in paragraph 3(b)</w:t>
      </w:r>
      <w:r>
        <w:rPr>
          <w:rFonts w:ascii="Arial" w:cs="Arial" w:eastAsia="Arial" w:hAnsi="Arial"/>
          <w:sz w:val="16"/>
          <w:szCs w:val="16"/>
          <w:b w:val="1"/>
          <w:bCs w:val="1"/>
          <w:color w:val="auto"/>
        </w:rPr>
        <w:t>,</w:t>
      </w:r>
      <w:r>
        <w:rPr>
          <w:rFonts w:ascii="Arial" w:cs="Arial" w:eastAsia="Arial" w:hAnsi="Arial"/>
          <w:sz w:val="16"/>
          <w:szCs w:val="16"/>
          <w:color w:val="auto"/>
        </w:rPr>
        <w:t xml:space="preserve"> as well as the price per share of Common Stock covered by each unexercised option under the Plan, shall be proportionately adjusted for any increase or decrease in the number of issued shares of Common Stock resulting from a stock split, reverse stock split, stock dividend, combination or reclassification of the Common Stock. Such adjustment shall be made by the Board, whose determination in that respect shall be final, binding and conclusive.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773" w:right="3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6"/>
          <w:szCs w:val="16"/>
          <w:color w:val="auto"/>
        </w:rPr>
        <w:t>In the event of the proposed dissolution or liquidation of the Company, an Offering Period then in progress will terminate immediately prior to the consummation of such proposed action, unless otherwise provided by the Board. In the event of a proposed sale of all or substantially all of the assets of the Company, or the merger, consolidation or other capital reorganization of the Company with or into another corporation, each option outstanding under the Plan shall be assumed or an equivalent option shall be substituted by such successor corporation or a parent or subsidiary of such successor corporation, unless the Board determines, in the exercise of its sole discretion and in lieu of such assumption or substitution, to shorten the Offering Period then in progress by setting a new Exercise Date (the “New Exercise Date”). If the Board shortens the Offering Period then in progress in lieu of assumption or substitution in the event of a merger or sale of assets, the Board shall notify each participant in writing, at least ten days prior to the New Exercise Date, that the Exercise Date for his or her option has been changed to the New Exercise Date and that his or her option will be exercised automatically on the New Exercise Date, unless prior to such date he or she has withdrawn from the Offering Period as provided in paragraph 10. For purposes of this paragraph, an option granted under the Plan shall be deemed to be assumed if, following the sale of assets, merger or other reorganization, the option confers the right to purchase, for each share of Common Stock subject to the option immediately prior to the sale of assets, merger or other reorganization, the consideration (whether stock, cash or other securities or property) received in the sale of assets, merger or other reorganization by holders of Common Stock for each share of Common Stock held on the effective date of such transaction (and if such holders were offered a choice of consideration, the type of consideration chosen by the holders of a majority of the outstanding shares of Common Stock); provided, however, that if such consideration received in such transaction was not solely common stock of the successor corporation or its parent (as defined in Section 424(e) of the Code), the Board may, with the consent of the successor corporation, provide for the consideration to be received upon exercise of the option to be solely common stock of the successor corporation or its parent equal in fair market value to the per share consideration received by holders of Common Stock in the sale of assets, merger or other reorganization.</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Board may, if it so determines in the exercise of its sole discretion, also make provision for adjusting the Reserves, as well as the price per share of Common Stock covered by each outstanding option, in the event that the Company effects one or more reorganizations, recapitalizations, rights offerings or other increases or reductions of shares of its outstanding Common Stock, and in the event of the Company being consolidated with or merged into any other corporation.</w:t>
      </w:r>
    </w:p>
    <w:p>
      <w:pPr>
        <w:spacing w:after="0" w:line="194"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Amendment or Termination</w:t>
      </w:r>
      <w:r>
        <w:rPr>
          <w:rFonts w:ascii="Arial" w:cs="Arial" w:eastAsia="Arial" w:hAnsi="Arial"/>
          <w:sz w:val="16"/>
          <w:szCs w:val="16"/>
          <w:color w:val="auto"/>
        </w:rPr>
        <w:t>.</w:t>
      </w:r>
    </w:p>
    <w:p>
      <w:pPr>
        <w:spacing w:after="0" w:line="275" w:lineRule="exact"/>
        <w:rPr>
          <w:sz w:val="20"/>
          <w:szCs w:val="20"/>
          <w:color w:val="auto"/>
        </w:rPr>
      </w:pPr>
    </w:p>
    <w:p>
      <w:pPr>
        <w:jc w:val="both"/>
        <w:ind w:firstLine="8"/>
        <w:spacing w:after="0" w:line="282" w:lineRule="auto"/>
        <w:tabs>
          <w:tab w:leader="none" w:pos="244"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Board may at any time terminate or amend the Plan. Except as provided in paragraph 18, no such termination may affect options previously granted, nor may an amendment make any change in any option theretofore granted which adversely affects the rights of any participant provided that an Offering Period may be terminated by the Board on an Exercise Date or by the Board’s setting a new Exercise Date with respect to an Offering Period then in progress if the Board determines that termination of the Offering Period is in the best interests of the Company and the stockholders or if continuation of the Offering Period would cause the Company to incur adverse accounting charges in the generally-accepted accounting rules applicable to the Plan. In addition, to the extent necessary to comply with Section 423 of the Code (or any successor rule or provision or any applicable law or regulation), the Company shall obtain stockholder approval in such a manner and to such a degree as so required.</w:t>
      </w:r>
    </w:p>
    <w:p>
      <w:pPr>
        <w:spacing w:after="0" w:line="201" w:lineRule="exact"/>
        <w:rPr>
          <w:rFonts w:ascii="Arial" w:cs="Arial" w:eastAsia="Arial" w:hAnsi="Arial"/>
          <w:sz w:val="16"/>
          <w:szCs w:val="16"/>
          <w:color w:val="auto"/>
        </w:rPr>
      </w:pPr>
    </w:p>
    <w:p>
      <w:pPr>
        <w:jc w:val="both"/>
        <w:ind w:firstLine="8"/>
        <w:spacing w:after="0" w:line="282" w:lineRule="auto"/>
        <w:tabs>
          <w:tab w:leader="none" w:pos="246" w:val="left"/>
        </w:tabs>
        <w:numPr>
          <w:ilvl w:val="0"/>
          <w:numId w:val="21"/>
        </w:numPr>
        <w:rPr>
          <w:rFonts w:ascii="Arial" w:cs="Arial" w:eastAsia="Arial" w:hAnsi="Arial"/>
          <w:sz w:val="16"/>
          <w:szCs w:val="16"/>
          <w:color w:val="auto"/>
        </w:rPr>
      </w:pPr>
      <w:r>
        <w:rPr>
          <w:rFonts w:ascii="Arial" w:cs="Arial" w:eastAsia="Arial" w:hAnsi="Arial"/>
          <w:sz w:val="16"/>
          <w:szCs w:val="16"/>
          <w:color w:val="auto"/>
        </w:rPr>
        <w:t>Without stockholder consent and without regard to whether any participant rights may be considered to have been adversely affected, the Board shall be entitled to change the Offering Periods, limit the frequency and/or number of changes in the amount withheld during an Offering Period, establish the exchange ratio applicable to amounts withheld in a currency other than U.S. dollars, permit payroll withholding in excess of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Common Stock for each participant properly correspond with amounts withheld from the participant’s Compensation, and establish such other limitations or procedures as the Board determines in its sole discretion advisable that are consistent with the Plan.</w:t>
      </w:r>
    </w:p>
    <w:p>
      <w:pPr>
        <w:spacing w:after="0" w:line="201" w:lineRule="exact"/>
        <w:rPr>
          <w:sz w:val="20"/>
          <w:szCs w:val="20"/>
          <w:color w:val="auto"/>
        </w:rPr>
      </w:pPr>
    </w:p>
    <w:p>
      <w:pPr>
        <w:ind w:firstLine="8"/>
        <w:spacing w:after="0" w:line="321" w:lineRule="auto"/>
        <w:tabs>
          <w:tab w:leader="none" w:pos="27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82" w:lineRule="exact"/>
        <w:rPr>
          <w:rFonts w:ascii="Arial" w:cs="Arial" w:eastAsia="Arial" w:hAnsi="Arial"/>
          <w:sz w:val="16"/>
          <w:szCs w:val="16"/>
          <w:color w:val="auto"/>
        </w:rPr>
      </w:pPr>
    </w:p>
    <w:p>
      <w:pPr>
        <w:jc w:val="both"/>
        <w:ind w:firstLine="8"/>
        <w:spacing w:after="0" w:line="285" w:lineRule="auto"/>
        <w:tabs>
          <w:tab w:leader="none" w:pos="284"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Conditions Upon Issuance of Shares</w:t>
      </w:r>
      <w:r>
        <w:rPr>
          <w:rFonts w:ascii="Arial" w:cs="Arial" w:eastAsia="Arial" w:hAnsi="Arial"/>
          <w:sz w:val="16"/>
          <w:szCs w:val="16"/>
          <w:color w:val="auto"/>
        </w:rPr>
        <w:t>. Shares shall not be issued with respect to an option unless the exercise of such option and the issuance and delivery of such shares pursuant thereto shall comply with all applicable provisions of law, domestic or foreign, including, without limitation, the Securities Act of 1933, as amended, the Securities Exchange Act of 1934, as amended, the rules and regulations promulgated thereunder, and the requirements of any stock exchange upon which the shares may then be listed, and shall be further subject to the approval of counsel for the Company with respect to such compliance.</w:t>
      </w:r>
    </w:p>
    <w:p>
      <w:pPr>
        <w:spacing w:after="0" w:line="200" w:lineRule="exact"/>
        <w:rPr>
          <w:sz w:val="20"/>
          <w:szCs w:val="20"/>
          <w:color w:val="auto"/>
        </w:rPr>
      </w:pPr>
    </w:p>
    <w:p>
      <w:pPr>
        <w:spacing w:after="0" w:line="22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773" w:right="339" w:bottom="1440" w:gutter="0" w:footer="0" w:header="0"/>
        </w:sectPr>
      </w:pPr>
    </w:p>
    <w:bookmarkStart w:id="10" w:name="page11"/>
    <w:bookmarkEnd w:id="10"/>
    <w:p>
      <w:pPr>
        <w:jc w:val="both"/>
        <w:ind w:firstLine="8"/>
        <w:spacing w:after="0" w:line="292" w:lineRule="auto"/>
        <w:tabs>
          <w:tab w:leader="none" w:pos="284"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Information Regarding Disqualifying Dispositions</w:t>
      </w:r>
      <w:r>
        <w:rPr>
          <w:rFonts w:ascii="Arial" w:cs="Arial" w:eastAsia="Arial" w:hAnsi="Arial"/>
          <w:sz w:val="16"/>
          <w:szCs w:val="16"/>
          <w:color w:val="auto"/>
        </w:rPr>
        <w:t>. By electing to participate in the Plan, each participant agrees to provide any information about any transfer of shares of Common Stock acquired under the Plan that occurs within two years after the first business day of the Offering Period in which such shares were acquired as may be requested by the Company or any Subsidiaries in order to assist it in complying with the tax laws.</w:t>
      </w:r>
    </w:p>
    <w:p>
      <w:pPr>
        <w:spacing w:after="0" w:line="205" w:lineRule="exact"/>
        <w:rPr>
          <w:rFonts w:ascii="Arial" w:cs="Arial" w:eastAsia="Arial" w:hAnsi="Arial"/>
          <w:sz w:val="16"/>
          <w:szCs w:val="16"/>
          <w:color w:val="auto"/>
        </w:rPr>
      </w:pPr>
    </w:p>
    <w:p>
      <w:pPr>
        <w:jc w:val="both"/>
        <w:ind w:firstLine="8"/>
        <w:spacing w:after="0" w:line="292" w:lineRule="auto"/>
        <w:tabs>
          <w:tab w:leader="none" w:pos="27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Right to Terminate Employment</w:t>
      </w:r>
      <w:r>
        <w:rPr>
          <w:rFonts w:ascii="Arial" w:cs="Arial" w:eastAsia="Arial" w:hAnsi="Arial"/>
          <w:sz w:val="16"/>
          <w:szCs w:val="16"/>
          <w:color w:val="auto"/>
        </w:rPr>
        <w:t>. Nothing in the Plan or in any agreement entered into pursuant to the Plan shall confer upon any Employee the right to continue in the employment of the Company or any Subsidiary, or affect any right which the Company or any Subsidiary may have to terminate the employment of such Employee.</w:t>
      </w:r>
    </w:p>
    <w:p>
      <w:pPr>
        <w:spacing w:after="0" w:line="205" w:lineRule="exact"/>
        <w:rPr>
          <w:rFonts w:ascii="Arial" w:cs="Arial" w:eastAsia="Arial" w:hAnsi="Arial"/>
          <w:sz w:val="16"/>
          <w:szCs w:val="16"/>
          <w:color w:val="auto"/>
        </w:rPr>
      </w:pPr>
    </w:p>
    <w:p>
      <w:pPr>
        <w:jc w:val="both"/>
        <w:ind w:firstLine="8"/>
        <w:spacing w:after="0" w:line="292" w:lineRule="auto"/>
        <w:tabs>
          <w:tab w:leader="none" w:pos="27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Neither the granting of an option nor a deduction from payroll shall constitute an Employee the owner of shares covered by an option. No Employee shall have any right as a stockholder unless and until an option has been exercised, and the shares underlying the option have been registered in the Company’s share register.</w:t>
      </w:r>
    </w:p>
    <w:p>
      <w:pPr>
        <w:spacing w:after="0" w:line="192" w:lineRule="exact"/>
        <w:rPr>
          <w:rFonts w:ascii="Arial" w:cs="Arial" w:eastAsia="Arial" w:hAnsi="Arial"/>
          <w:sz w:val="16"/>
          <w:szCs w:val="16"/>
          <w:color w:val="auto"/>
        </w:rPr>
      </w:pPr>
    </w:p>
    <w:p>
      <w:pPr>
        <w:ind w:right="20" w:firstLine="8"/>
        <w:spacing w:after="0" w:line="321" w:lineRule="auto"/>
        <w:tabs>
          <w:tab w:leader="none" w:pos="27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Term of Plan</w:t>
      </w:r>
      <w:r>
        <w:rPr>
          <w:rFonts w:ascii="Arial" w:cs="Arial" w:eastAsia="Arial" w:hAnsi="Arial"/>
          <w:sz w:val="16"/>
          <w:szCs w:val="16"/>
          <w:color w:val="auto"/>
        </w:rPr>
        <w:t>. The Plan became effective upon its approval by the Company’s stockholders in December 2012 and shall continue in effect until November 30, 2032 unless sooner terminated under paragraph 19.</w:t>
      </w:r>
    </w:p>
    <w:p>
      <w:pPr>
        <w:spacing w:after="0" w:line="182" w:lineRule="exact"/>
        <w:rPr>
          <w:rFonts w:ascii="Arial" w:cs="Arial" w:eastAsia="Arial" w:hAnsi="Arial"/>
          <w:sz w:val="16"/>
          <w:szCs w:val="16"/>
          <w:color w:val="auto"/>
        </w:rPr>
      </w:pPr>
    </w:p>
    <w:p>
      <w:pPr>
        <w:ind w:left="280" w:hanging="272"/>
        <w:spacing w:after="0"/>
        <w:tabs>
          <w:tab w:leader="none" w:pos="280"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Applicable Law</w:t>
      </w:r>
      <w:r>
        <w:rPr>
          <w:rFonts w:ascii="Arial" w:cs="Arial" w:eastAsia="Arial" w:hAnsi="Arial"/>
          <w:sz w:val="16"/>
          <w:szCs w:val="16"/>
          <w:color w:val="auto"/>
        </w:rPr>
        <w:t>. This Plan shall be governed in accordance with the laws of Delaware, applied without giving effect to any conflict-of-law principles.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773"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0" w:lineRule="exact"/>
        <w:rPr>
          <w:sz w:val="20"/>
          <w:szCs w:val="20"/>
          <w:color w:val="auto"/>
        </w:rPr>
      </w:pPr>
    </w:p>
    <w:p>
      <w:pPr>
        <w:spacing w:after="0" w:line="3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0"/>
          <w:szCs w:val="20"/>
          <w:b w:val="1"/>
          <w:bCs w:val="1"/>
          <w:color w:val="auto"/>
        </w:rPr>
        <w:t>MYRIAD GENETICS, INC.</w:t>
      </w:r>
    </w:p>
    <w:p>
      <w:pPr>
        <w:spacing w:after="0" w:line="3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b w:val="1"/>
          <w:bCs w:val="1"/>
          <w:color w:val="auto"/>
        </w:rPr>
        <w:t>2026 EMPLOYEE, DIRECTOR AND CONSULTANT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EQUITY INCENTIVE PLAN</w:t>
      </w:r>
    </w:p>
    <w:p>
      <w:pPr>
        <w:ind w:left="1300" w:hanging="644"/>
        <w:spacing w:after="0"/>
        <w:tabs>
          <w:tab w:leader="none" w:pos="130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Unless otherwise specified or unless the context otherwise requires, the following terms, as used in this Myriad Genetics, Inc. 2026</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Employee, Director and Consultant Equity Incentive Plan, have the following meanings:</w:t>
      </w:r>
    </w:p>
    <w:p>
      <w:pPr>
        <w:spacing w:after="0" w:line="210"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Administrator</w:t>
      </w:r>
      <w:r>
        <w:rPr>
          <w:rFonts w:ascii="Times New Roman" w:cs="Times New Roman" w:eastAsia="Times New Roman" w:hAnsi="Times New Roman"/>
          <w:sz w:val="20"/>
          <w:szCs w:val="20"/>
          <w:color w:val="auto"/>
        </w:rPr>
        <w:t>” means the Board of Directors, unless it has delegated power to act on its behalf to the Committee, in which case the term “Administrator” means the Committee.</w:t>
      </w:r>
    </w:p>
    <w:p>
      <w:pPr>
        <w:spacing w:after="0" w:line="165"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a corporation or other entity, which, for purposes of Section 424 of the Code, is a parent or subsidiary of the Company, direct or indirect.</w:t>
      </w:r>
    </w:p>
    <w:p>
      <w:pPr>
        <w:spacing w:after="0" w:line="165"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means a written or electronic document setting forth the terms of a Stock Right delivered pursuant to the Plan, in such form as the Administrator shall approve.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 of Directors</w:t>
      </w:r>
      <w:r>
        <w:rPr>
          <w:rFonts w:ascii="Times New Roman" w:cs="Times New Roman" w:eastAsia="Times New Roman" w:hAnsi="Times New Roman"/>
          <w:sz w:val="20"/>
          <w:szCs w:val="20"/>
          <w:color w:val="auto"/>
        </w:rPr>
        <w:t>” means the Board of Directors of the Company.</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Cause</w:t>
      </w:r>
      <w:r>
        <w:rPr>
          <w:rFonts w:ascii="Times New Roman" w:cs="Times New Roman" w:eastAsia="Times New Roman" w:hAnsi="Times New Roman"/>
          <w:sz w:val="20"/>
          <w:szCs w:val="20"/>
          <w:color w:val="auto"/>
        </w:rPr>
        <w:t>” means, with respect to a Participant (a) dishonesty with respect to the Company or any Affiliate, (b) insubordination, substantial malfeasance or non-feasance of duty, (c) unauthorized disclosure of confidential information, (d) breach by a Participant of any provision of any employment, consulting, advisory, nondisclosure, non-competition or similar agreement between the Participant and the Company or any Affiliate or any material written policy of the Company or any Affiliate, and (e) conduct substantially prejudicial to the business of the Company or any Affiliate; provided, however, that any provision in an agreement between a Participant and the Company or an Affiliate, which contains a conflicting definition of Cause for termination and which is in effect at the time of such termination, shall supersede this definition with respect to that Participant. The determination of the Administrator as to the existence of Cause will be conclusive on the Participant and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 means the occurrence of any of the following events: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i w:val="1"/>
          <w:iCs w:val="1"/>
          <w:color w:val="auto"/>
        </w:rPr>
        <w:t>Ownership</w:t>
      </w:r>
      <w:r>
        <w:rPr>
          <w:rFonts w:ascii="Times New Roman" w:cs="Times New Roman" w:eastAsia="Times New Roman" w:hAnsi="Times New Roman"/>
          <w:sz w:val="20"/>
          <w:szCs w:val="20"/>
          <w:color w:val="auto"/>
        </w:rPr>
        <w:t>. Any “Person” (as such term is used in Sections 13(d) and 14(d) of the Exchange Act) becomes the “Beneficial Owner”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defined in Rule 13d-3 under the Exchange Act), directly or indirectly, of securities of the Company representing 50% or more of the total voting power represented by the Company’s then outstanding voting securities (excluding for this purpose any such voting securities held by the Company or its Affiliates or by any employee benefit plan of the Company) pursuant to a transaction or a series of related transactions which the Board of Directors does not approve; or</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Merger/Sale of Assets</w:t>
      </w:r>
      <w:r>
        <w:rPr>
          <w:rFonts w:ascii="Times New Roman" w:cs="Times New Roman" w:eastAsia="Times New Roman" w:hAnsi="Times New Roman"/>
          <w:sz w:val="20"/>
          <w:szCs w:val="20"/>
          <w:color w:val="auto"/>
        </w:rPr>
        <w:t>. (A) A merger or consolidation of the Company whether or not approved by the Board of Directors, other than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merger or consolidation which would result in the voting securities of the Company outstanding immediately prior thereto continuing to represent (either by remaining outstanding or by being converted into voting securities of the surviving entity or the parent of such entity) more than 50% of the total voting power represented by the voting securities of the Company or such surviving entity or parent of such corporation, as the case may be, outstanding immediately after such merger or consolidation; or (B) the sale or disposition by the Company of all or substantially all of the Company’s assets in a transaction requiring shareholder approval; or</w:t>
      </w:r>
    </w:p>
    <w:p>
      <w:pPr>
        <w:sectPr>
          <w:pgSz w:w="11900" w:h="16838" w:orient="portrait"/>
          <w:cols w:equalWidth="0" w:num="1">
            <w:col w:w="11240"/>
          </w:cols>
          <w:pgMar w:left="320" w:top="585" w:right="339" w:bottom="1440" w:gutter="0" w:footer="0" w:header="0"/>
        </w:sectPr>
      </w:pPr>
    </w:p>
    <w:bookmarkStart w:id="12" w:name="page13"/>
    <w:bookmarkEnd w:id="12"/>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Change in Board Composition</w:t>
      </w:r>
      <w:r>
        <w:rPr>
          <w:rFonts w:ascii="Times New Roman" w:cs="Times New Roman" w:eastAsia="Times New Roman" w:hAnsi="Times New Roman"/>
          <w:sz w:val="20"/>
          <w:szCs w:val="20"/>
          <w:color w:val="auto"/>
        </w:rPr>
        <w:t>. A change in the composition of the Board of Directors, as a result of which fewer than a majority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directors are Incumbent Directors. “</w:t>
      </w:r>
      <w:r>
        <w:rPr>
          <w:rFonts w:ascii="Times New Roman" w:cs="Times New Roman" w:eastAsia="Times New Roman" w:hAnsi="Times New Roman"/>
          <w:sz w:val="20"/>
          <w:szCs w:val="20"/>
          <w:b w:val="1"/>
          <w:bCs w:val="1"/>
          <w:color w:val="auto"/>
        </w:rPr>
        <w:t>Incumbent Directors</w:t>
      </w:r>
      <w:r>
        <w:rPr>
          <w:rFonts w:ascii="Times New Roman" w:cs="Times New Roman" w:eastAsia="Times New Roman" w:hAnsi="Times New Roman"/>
          <w:sz w:val="20"/>
          <w:szCs w:val="20"/>
          <w:color w:val="auto"/>
        </w:rPr>
        <w:t>” shall mean directors who either (A) are directors of the Company as of the date this Plan was initially adopted, or (B) are elected, or nominated for election, to the Board of Directors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1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if any payment or benefit payable hereunder upon or following a Change of Control would be required to comply with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limitations of Section 409A(a)(2)(A)(v) of the Code in order to avoid an additional tax under Section 409A of the Code, such payment or benefit shall be made only if such Change of Control constitutes a change in ownership or control of the Company, or a change in ownership of the Company’s assets in accordance with Section 409A of the Code.</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means the United States Internal Revenue Code of 1986, as amended including any successor statute, regulation and guidance thereto.</w:t>
      </w:r>
    </w:p>
    <w:p>
      <w:pPr>
        <w:spacing w:after="0" w:line="1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20"/>
          <w:szCs w:val="20"/>
          <w:color w:val="auto"/>
        </w:rPr>
        <w:t>” means the committee of the Board of Directors, if any, to which the Board of Directors has delegated power to act under or pursuant to the provisions of the Plan.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Common Stock</w:t>
      </w:r>
      <w:r>
        <w:rPr>
          <w:rFonts w:ascii="Times New Roman" w:cs="Times New Roman" w:eastAsia="Times New Roman" w:hAnsi="Times New Roman"/>
          <w:sz w:val="20"/>
          <w:szCs w:val="20"/>
          <w:color w:val="auto"/>
        </w:rPr>
        <w:t>” means shares of the Company’s common stock, $.01 par value per share.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means Myriad Genetics, Inc., a Delaware corporation.</w:t>
      </w:r>
    </w:p>
    <w:p>
      <w:pPr>
        <w:spacing w:after="0" w:line="2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Consultant</w:t>
      </w:r>
      <w:r>
        <w:rPr>
          <w:rFonts w:ascii="Times New Roman" w:cs="Times New Roman" w:eastAsia="Times New Roman" w:hAnsi="Times New Roman"/>
          <w:sz w:val="20"/>
          <w:szCs w:val="20"/>
          <w:color w:val="auto"/>
        </w:rPr>
        <w:t>” means any natural person who is an advisor or consultant who provides bona fide services to the Company or its Affiliates, provided that such services are not in connection with the offer or sale of securities in a capital raising transaction, and do not directly or indirectly promote or maintain a market for the Company’s or its Affiliates’ securities.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Corporate Transaction</w:t>
      </w:r>
      <w:r>
        <w:rPr>
          <w:rFonts w:ascii="Times New Roman" w:cs="Times New Roman" w:eastAsia="Times New Roman" w:hAnsi="Times New Roman"/>
          <w:sz w:val="20"/>
          <w:szCs w:val="20"/>
          <w:color w:val="auto"/>
        </w:rPr>
        <w:t>” means a merger, consolidation, or sale of all or substantially all of the Company’s assets or the acquisition of all of the outstanding voting stock of the Company (or similar transaction) in a single transaction or a series of related transactions by a single entity other than a transaction in which the Company is the surviving corporation. Where a Corporate Transaction involves a tender offer that is reasonably expected to be followed by a merger (as determined by the Administrator), the Corporate Transaction will be deemed to have occurred upon consummation of the tender offer.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Disability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Disabled</w:t>
      </w:r>
      <w:r>
        <w:rPr>
          <w:rFonts w:ascii="Times New Roman" w:cs="Times New Roman" w:eastAsia="Times New Roman" w:hAnsi="Times New Roman"/>
          <w:sz w:val="20"/>
          <w:szCs w:val="20"/>
          <w:color w:val="auto"/>
        </w:rPr>
        <w:t>” means permanent and total disability as defined in Section 22(e)(3) of the Code.</w:t>
      </w:r>
    </w:p>
    <w:p>
      <w:pPr>
        <w:spacing w:after="0" w:line="2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Employee</w:t>
      </w:r>
      <w:r>
        <w:rPr>
          <w:rFonts w:ascii="Times New Roman" w:cs="Times New Roman" w:eastAsia="Times New Roman" w:hAnsi="Times New Roman"/>
          <w:sz w:val="20"/>
          <w:szCs w:val="20"/>
          <w:color w:val="auto"/>
        </w:rPr>
        <w:t>” means any employee of the Company or of an Affiliate (including, without limitation, an employee who is also serving as an officer or director of the Company or of an Affiliate), designated by the Administrator to be eligible to be granted one or more Stock Rights under the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means the United States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0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Fair Market Value</w:t>
      </w:r>
      <w:r>
        <w:rPr>
          <w:rFonts w:ascii="Times New Roman" w:cs="Times New Roman" w:eastAsia="Times New Roman" w:hAnsi="Times New Roman"/>
          <w:sz w:val="20"/>
          <w:szCs w:val="20"/>
          <w:color w:val="auto"/>
        </w:rPr>
        <w:t>” of a Share of Common Stock means: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the Common Stock is listed on a national securities exchange or traded in the over-the-counter market and sales prices are regularly reported for the Common Stock, the closing or, if not applicable, the last price of the Common Stock on the consolidated tape or other comparable reporting system for the trading day on the applicable date and if such applicable date is not a trading day, the last market trading day prior to such date;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the Common Stock is not traded on a national securities exchange but is traded on the over-the-counter market, if sales prices are not regularly reported for the Common Stock for the trading day referred to in clause (1), and if bid and asked prices for the Common Stock are regularly reported, the mean between the bid and the asked price for the Common Stock at the close of trading in the over-the-counter market for the most recent trading day on which Common Stock was traded on the applicable date and if such applicable date is not a trading day, the last market trading day prior to such date; and</w:t>
      </w:r>
    </w:p>
    <w:p>
      <w:pPr>
        <w:spacing w:after="0" w:line="19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If the Common Stock is neither listed on a national securities exchange nor traded in the over-the-counter market, such value as the Administrator, in good faith, shall determine in compliance with applicable laws.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ISO</w:t>
      </w:r>
      <w:r>
        <w:rPr>
          <w:rFonts w:ascii="Times New Roman" w:cs="Times New Roman" w:eastAsia="Times New Roman" w:hAnsi="Times New Roman"/>
          <w:sz w:val="20"/>
          <w:szCs w:val="20"/>
          <w:color w:val="auto"/>
        </w:rPr>
        <w:t>” means a stock option intended to qualify as an incentive stock option under Section 422 of the Code.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Non-Qualified Option</w:t>
      </w:r>
      <w:r>
        <w:rPr>
          <w:rFonts w:ascii="Times New Roman" w:cs="Times New Roman" w:eastAsia="Times New Roman" w:hAnsi="Times New Roman"/>
          <w:sz w:val="20"/>
          <w:szCs w:val="20"/>
          <w:color w:val="auto"/>
        </w:rPr>
        <w:t>” means a stock option which is not intended to qualify as an ISO.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Option</w:t>
      </w:r>
      <w:r>
        <w:rPr>
          <w:rFonts w:ascii="Times New Roman" w:cs="Times New Roman" w:eastAsia="Times New Roman" w:hAnsi="Times New Roman"/>
          <w:sz w:val="20"/>
          <w:szCs w:val="20"/>
          <w:color w:val="auto"/>
        </w:rPr>
        <w:t>” means an ISO or Non-Qualified Option granted under the Plan.</w:t>
      </w:r>
    </w:p>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means an Employee, director or Consultant of the Company or an Affiliate to whom one or more Stock Rights are granted under the Plan. As used herein, “Participant” shall include “Participant’s Survivors” where the context requires.</w:t>
      </w:r>
    </w:p>
    <w:p>
      <w:pPr>
        <w:spacing w:after="0" w:line="138"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Performance-Based Award</w:t>
      </w:r>
      <w:r>
        <w:rPr>
          <w:rFonts w:ascii="Times New Roman" w:cs="Times New Roman" w:eastAsia="Times New Roman" w:hAnsi="Times New Roman"/>
          <w:sz w:val="20"/>
          <w:szCs w:val="20"/>
          <w:color w:val="auto"/>
        </w:rPr>
        <w:t>” means a Stock Grant or Stock-Based Award which vests based on the attainment of written Performance Goals as set forth in Paragraph 9 hereof.</w:t>
      </w:r>
    </w:p>
    <w:p>
      <w:pPr>
        <w:spacing w:after="0" w:line="13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Performance Goals</w:t>
      </w:r>
      <w:r>
        <w:rPr>
          <w:rFonts w:ascii="Times New Roman" w:cs="Times New Roman" w:eastAsia="Times New Roman" w:hAnsi="Times New Roman"/>
          <w:sz w:val="19"/>
          <w:szCs w:val="19"/>
          <w:color w:val="auto"/>
        </w:rPr>
        <w:t>” means performance goals determined by the Committee in its sole discretion. The satisfaction of Performance Goals shall be subject to certification by the Committee. The Committee has the authority to take appropriate action with respect to the Performance Goals (including, without limitation, making adjustments to the Performance Goals or determining the satisfaction of the Performance Goals in connection with a Corporate Transaction) provided that any such action does not otherwise violate the terms of the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means this Myriad Genetics, Inc. 2026 Employee, Director and Consultant Equity Incentive Plan.</w:t>
      </w:r>
    </w:p>
    <w:p>
      <w:pPr>
        <w:spacing w:after="0" w:line="2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Stock Unit Award</w:t>
      </w:r>
      <w:r>
        <w:rPr>
          <w:rFonts w:ascii="Times New Roman" w:cs="Times New Roman" w:eastAsia="Times New Roman" w:hAnsi="Times New Roman"/>
          <w:sz w:val="20"/>
          <w:szCs w:val="20"/>
          <w:color w:val="auto"/>
        </w:rPr>
        <w:t>” means a grant by the Company under the Plan of an unfunded, unsecured commitment by the Company to deliver a pre-determined number of Shares to a Participant at a future time in accordance with the terms and conditions of the award agreement and the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SAR</w:t>
      </w:r>
      <w:r>
        <w:rPr>
          <w:rFonts w:ascii="Times New Roman" w:cs="Times New Roman" w:eastAsia="Times New Roman" w:hAnsi="Times New Roman"/>
          <w:sz w:val="20"/>
          <w:szCs w:val="20"/>
          <w:color w:val="auto"/>
        </w:rPr>
        <w:t>” means a stock appreciation right.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Section 409A</w:t>
      </w:r>
      <w:r>
        <w:rPr>
          <w:rFonts w:ascii="Times New Roman" w:cs="Times New Roman" w:eastAsia="Times New Roman" w:hAnsi="Times New Roman"/>
          <w:sz w:val="20"/>
          <w:szCs w:val="20"/>
          <w:color w:val="auto"/>
        </w:rPr>
        <w:t>” means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0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Section 422</w:t>
      </w:r>
      <w:r>
        <w:rPr>
          <w:rFonts w:ascii="Times New Roman" w:cs="Times New Roman" w:eastAsia="Times New Roman" w:hAnsi="Times New Roman"/>
          <w:sz w:val="20"/>
          <w:szCs w:val="20"/>
          <w:color w:val="auto"/>
        </w:rPr>
        <w:t>” means Section 422 of the Code.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means the United States Securities Act of 1933, as amended.</w:t>
      </w:r>
    </w:p>
    <w:p>
      <w:pPr>
        <w:spacing w:after="0" w:line="2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 means shares of the Common Stock as to which Stock Rights have been or may be granted under the Plan or any shares of capital stock into which the Shares are changed or for which they are exchanged within the provisions of Paragraph 3 of the Plan. The Shares issued under the Plan may be authorized and unissued shares or shares held by the Company in its treasury, or both.</w:t>
      </w:r>
    </w:p>
    <w:p>
      <w:pPr>
        <w:spacing w:after="0" w:line="17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Stock-Based Award</w:t>
      </w:r>
      <w:r>
        <w:rPr>
          <w:rFonts w:ascii="Times New Roman" w:cs="Times New Roman" w:eastAsia="Times New Roman" w:hAnsi="Times New Roman"/>
          <w:sz w:val="20"/>
          <w:szCs w:val="20"/>
          <w:color w:val="auto"/>
        </w:rPr>
        <w:t>” means a grant by the Company under the Plan of an equity award or an equity based award, including a Restricted Stock Unit Award, which is not an Option, or a Stock Grant.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Stock Grant</w:t>
      </w:r>
      <w:r>
        <w:rPr>
          <w:rFonts w:ascii="Times New Roman" w:cs="Times New Roman" w:eastAsia="Times New Roman" w:hAnsi="Times New Roman"/>
          <w:sz w:val="20"/>
          <w:szCs w:val="20"/>
          <w:color w:val="auto"/>
        </w:rPr>
        <w:t>” means a grant by the Company of Shares under the Plan.</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Stock Right</w:t>
      </w:r>
      <w:r>
        <w:rPr>
          <w:rFonts w:ascii="Times New Roman" w:cs="Times New Roman" w:eastAsia="Times New Roman" w:hAnsi="Times New Roman"/>
          <w:sz w:val="20"/>
          <w:szCs w:val="20"/>
          <w:color w:val="auto"/>
        </w:rPr>
        <w:t>” means an ISO, a Non-Qualified Option, a Stock Grant or a Stock-Based Award or a right to Shares or the value of Shares of the Company granted pursuant to the Plan.</w:t>
      </w:r>
    </w:p>
    <w:p>
      <w:pPr>
        <w:spacing w:after="0" w:line="1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Substitute Award</w:t>
      </w:r>
      <w:r>
        <w:rPr>
          <w:rFonts w:ascii="Times New Roman" w:cs="Times New Roman" w:eastAsia="Times New Roman" w:hAnsi="Times New Roman"/>
          <w:sz w:val="20"/>
          <w:szCs w:val="20"/>
          <w:color w:val="auto"/>
        </w:rPr>
        <w:t>” means an award issued under the Plan in substitution for one or more equity awards of an acquired company that are converted, replaced or adjusted in connection with the acquisition.</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Survivor</w:t>
      </w:r>
      <w:r>
        <w:rPr>
          <w:rFonts w:ascii="Times New Roman" w:cs="Times New Roman" w:eastAsia="Times New Roman" w:hAnsi="Times New Roman"/>
          <w:sz w:val="20"/>
          <w:szCs w:val="20"/>
          <w:color w:val="auto"/>
        </w:rPr>
        <w:t>” means a deceased Participant’s legal representatives and/or any person or persons who acquired the Participant’s rights to a Stock Right by will or by the laws of descent and distribution.</w:t>
      </w:r>
    </w:p>
    <w:p>
      <w:pPr>
        <w:spacing w:after="0" w:line="129"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PURPOSES OF THE PLAN.</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Plan is intended to encourage ownership of Shares by Employees and directors of and certain Consultants to the Company and its Affiliates in order to attract and retain such people, to induce them to work for the benefit of the Company or of an Affiliate and to provide additional incentive for them to promote the success of the Company or of an Affiliate. The Plan provides for the granting of ISOs, Non-Qualified Options, Stock Grants and Stock-Based Awards, including Restricted Stock Unit Awards.</w:t>
      </w:r>
    </w:p>
    <w:p>
      <w:pPr>
        <w:spacing w:after="0" w:line="159"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SHARES SUBJECT TO THE PLAN.</w:t>
      </w:r>
    </w:p>
    <w:p>
      <w:pPr>
        <w:spacing w:after="0" w:line="189" w:lineRule="exact"/>
        <w:rPr>
          <w:sz w:val="20"/>
          <w:szCs w:val="20"/>
          <w:color w:val="auto"/>
        </w:rPr>
      </w:pPr>
    </w:p>
    <w:p>
      <w:pPr>
        <w:jc w:val="both"/>
        <w:ind w:firstLine="656"/>
        <w:spacing w:after="0" w:line="215" w:lineRule="auto"/>
        <w:tabs>
          <w:tab w:leader="none" w:pos="128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Shares which may be issued from time to time pursuant to this Plan shall be the sum of: (i) 8,463,567 shares of Common Stock and (ii) any shares of Common Stock that are attributable to awards granted under the Company’s 2017 Employee, Director and Consultant Equity Incentive Plan that are forfeited, expire or are cancelled without delivery of shares of Common Stock or which result in the forfeiture of shares of Common Stock back to the Company on or after June 4, 2026, or the equivalent of such number of Shares after the Administrator, in its sole discretion, has interpreted the effect of any stock split, stock dividend, combination, recapitalization or similar transaction in accordance with Paragraph 25 of this Plan, all of which Shares are eligible to be issued as ISOs; provided, however, that no more than 8,659,575 Shares shall be added to the Plan pursuant to subsection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09" w:right="339" w:bottom="1440" w:gutter="0" w:footer="0" w:header="0"/>
        </w:sectPr>
      </w:pPr>
    </w:p>
    <w:bookmarkStart w:id="15" w:name="page16"/>
    <w:bookmarkEnd w:id="15"/>
    <w:p>
      <w:pPr>
        <w:jc w:val="both"/>
        <w:ind w:firstLine="656"/>
        <w:spacing w:after="0" w:line="213" w:lineRule="auto"/>
        <w:tabs>
          <w:tab w:leader="none" w:pos="128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Option ceases to be “outstanding”, in whole or in part (other than by exercise), or if the Company shall reacquire (at not more than its original issuance price) any Shares issued pursuant to a Stock Grant or Stock-Based Award, or if any Stock Right expires or is forfeited, cancelled, or otherwise terminated or results in any Shares not being issued, the unissued or reacquired Shares which were subject to such Stock Right shall again be available for issuance from time to time pursuant to this Plan; provided, however, that the number of Shares underlying any awards under the Plan that are retained or repurchased on the exercise of an Option or the vesting or issuance of any Stock Right to cover the exercise price and/or tax withholding required by the Company in connection with vesting shall not be added back to the Shares available for issuance under the Plan; and provided, further that, in the case of ISOs, the foregoing provisions shall be subject to any limitations under the Code. In addition, any Shares repurchased using exercise price proceeds will not be available for issuance under the Plan.</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limits set forth in this Paragraph 3 will be construed to comply with the applicable requirements of Section 422.</w:t>
      </w:r>
    </w:p>
    <w:p>
      <w:pPr>
        <w:spacing w:after="0" w:line="188"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may grant Substitute Awards under the Plan. To the extent consistent with the requirements of Section 422 and the regulations thereunder and other applicable legal requirements (including applicable stock exchange requirements), Shares issued in respect of Substitute Awards will be in addition to and will not reduce the shares available under the Plan. Notwithstanding the foregoing, if any Substitute Award is settled in cash or expires, becomes unexercisable, terminates or is forfeited to or repurchased by the Company without the issuance or retention of Shares, the Shares previously subject to such award will not be available for future issuance under the Plan. The Administrator will determine the extent to which the terms and conditions of the Plan apply to Substitute Awards, if at all; provided, however, that Substitute Awards will not be subject to the limits described in Paragraph 4(c) below.</w:t>
      </w:r>
    </w:p>
    <w:p>
      <w:pPr>
        <w:spacing w:after="0" w:line="151"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ADMINISTRATION OF THE PLAN.</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The Administrator of the Plan will be the Board of Directors, except to the extent the Board of Directors delegates its authority to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Committee, in which case the Committee shall be the Administrator. Subject to the provisions of the Plan, the Administrator is authorized to:</w:t>
      </w:r>
    </w:p>
    <w:p>
      <w:pPr>
        <w:spacing w:after="0" w:line="205" w:lineRule="exact"/>
        <w:rPr>
          <w:sz w:val="20"/>
          <w:szCs w:val="20"/>
          <w:color w:val="auto"/>
        </w:rPr>
      </w:pPr>
    </w:p>
    <w:p>
      <w:pPr>
        <w:ind w:firstLine="656"/>
        <w:spacing w:after="0"/>
        <w:tabs>
          <w:tab w:leader="none" w:pos="128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Interpret the provisions of the Plan and all Stock Rights and to make all rules and determinations which it deems necessary or advisable for the administration of the Plan;</w:t>
      </w:r>
    </w:p>
    <w:p>
      <w:pPr>
        <w:spacing w:after="0" w:line="14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which Employees, directors and Consultants shall be granted Stock Rights;</w:t>
      </w:r>
    </w:p>
    <w:p>
      <w:pPr>
        <w:spacing w:after="0" w:line="188"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number of Shares for which a Stock Right or Stock Rights shall be granted; provided, however, that in no event shall the aggregate grant date fair value (determined in accordance with ASC 718) of Stock Rights to be granted and any other cash compensation paid to any non-employee director in any calendar year exceed $750,000, increased to $1,000,000 in the year in which such non-employee director initially joins the Board of Directors;</w:t>
      </w:r>
    </w:p>
    <w:p>
      <w:pPr>
        <w:sectPr>
          <w:pgSz w:w="11900" w:h="16838" w:orient="portrait"/>
          <w:cols w:equalWidth="0" w:num="1">
            <w:col w:w="11240"/>
          </w:cols>
          <w:pgMar w:left="320" w:top="1399" w:right="339" w:bottom="1440" w:gutter="0" w:footer="0" w:header="0"/>
        </w:sectPr>
      </w:pPr>
    </w:p>
    <w:bookmarkStart w:id="16" w:name="page17"/>
    <w:bookmarkEnd w:id="16"/>
    <w:p>
      <w:pPr>
        <w:jc w:val="both"/>
        <w:ind w:firstLine="656"/>
        <w:spacing w:after="0" w:line="211" w:lineRule="auto"/>
        <w:tabs>
          <w:tab w:leader="none" w:pos="128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Specify the terms and conditions upon which a Stock Right or Stock Rights may be granted provided that (i) no dividends or dividend equivalents shall be paid on any Stock Right prior to the vesting of the underlying Shares and (ii) no Stock Right shall be granted with a vesting schedule providing for vesting, exercisability or the lapsing of restrictions or repurchase rights over a period of less than one year from the date of grant except in the case of (A) death, disability or retirement of the Participant or (B) a Change of Control, and any Stock Right subject to the satisfaction of Performance Goals over a performance period shall be subject to a performance period of not less than one year. Notwithstanding the foregoing, (i) Stock Rights may be granted having time-based vesting of less than one year from the date of grant so long as no more than 5% of the Shares reserved for issuance under the Plan pursuant to Paragraph 3 above (as adjusted under Paragraph 25 of this Plan) may be granted in the aggregate pursuant to such awards, (ii) for purposes of counting Shares against the 5% limitation, the Share counting rules under Paragraph 3 of the Plan apply, (iii) Stock Rights granted to non-employee directors paid in lieu of cash fees or granted to non-employee Directors with a vesting period from one annual stockholders meeting to the subsequent year’s annual stockholders meeting, or at least 50 weeks, shall not be counted against the 5% limitation; and (iv) nothing in this Paragraph 4(d) shall limit the authority of the Administrator to provide for the acceleration of vesting or exercisability of any Stock Right or the lapse of any restrictions relating to any Stock Right;</w:t>
      </w:r>
    </w:p>
    <w:p>
      <w:pPr>
        <w:spacing w:after="0" w:line="166"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 any term or condition of any outstanding Stock Right, including without limitation, to accelerate the vesting schedule or extend the expiration date, provided that (i) such term or condition as amended is not prohibited by the Plan; (ii) any such amendment shall not impair the rights of a Participant under any Stock Right previously granted without such Participant’s consent, or in the event of death of the Participant, the Participant’s Survivors;</w:t>
      </w:r>
    </w:p>
    <w:p>
      <w:pPr>
        <w:spacing w:after="0" w:line="14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and make any adjustments in the Performance Goals included in any Performance-Based Awards; and</w:t>
      </w:r>
    </w:p>
    <w:p>
      <w:pPr>
        <w:spacing w:after="0" w:line="188" w:lineRule="exact"/>
        <w:rPr>
          <w:rFonts w:ascii="Times New Roman" w:cs="Times New Roman" w:eastAsia="Times New Roman" w:hAnsi="Times New Roman"/>
          <w:sz w:val="20"/>
          <w:szCs w:val="20"/>
          <w:color w:val="auto"/>
        </w:rPr>
      </w:pPr>
    </w:p>
    <w:p>
      <w:pPr>
        <w:jc w:val="both"/>
        <w:ind w:right="20" w:firstLine="656"/>
        <w:spacing w:after="0" w:line="222" w:lineRule="auto"/>
        <w:tabs>
          <w:tab w:leader="none" w:pos="128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Adopt any sub-plans applicable to residents of any specified jurisdiction as it deems necessary or appropriate in order to comply with or take advantage of any tax or other laws applicable to the Company, any Affiliate or to Participants or to otherwise facilitate the administration of the Plan, which sub-plans may include additional restrictions or conditions applicable to Stock Rights or Shares issuable pursuant to a Stock Right;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Subject to the foregoing, the interpretation and construction by the Administrator of any provisions of the Plan or of any Stock Right granted thereunder shall be final, unless otherwise determined by the Board of Directors, if the Administrator is the Committee. In addition, if the Administrator is the Committee, the Board of Directors may take any action under the Plan that would otherwise be the responsibility of the Committee.</w:t>
      </w:r>
    </w:p>
    <w:p>
      <w:pPr>
        <w:spacing w:after="0" w:line="18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To the extent permitted under applicable law, the Board of Directors or the Committee may allocate all or any portion of its responsibilities and powers to any one or more of its members and may delegate all or any portion of its responsibilities and powers to any other person selected by it. The Board of Directors or the Committee may revoke any such allocation or delegation at any time. Notwithstanding the foregoing, only the Board of Directors or the Committee shall be authorized to grant a Stock Right to any director of the Company or to any “officer” of the Company as defined by Rule 16a-1 under the Exchange Act.</w:t>
      </w:r>
    </w:p>
    <w:p>
      <w:pPr>
        <w:sectPr>
          <w:pgSz w:w="11900" w:h="16838" w:orient="portrait"/>
          <w:cols w:equalWidth="0" w:num="1">
            <w:col w:w="11240"/>
          </w:cols>
          <w:pgMar w:left="320" w:top="1399" w:right="339" w:bottom="1440" w:gutter="0" w:footer="0" w:header="0"/>
        </w:sectPr>
      </w:pPr>
    </w:p>
    <w:bookmarkStart w:id="17" w:name="page18"/>
    <w:bookmarkEnd w:id="17"/>
    <w:p>
      <w:pPr>
        <w:ind w:left="1300" w:hanging="644"/>
        <w:spacing w:after="0"/>
        <w:tabs>
          <w:tab w:leader="none" w:pos="130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ELIGIBILITY FOR PARTICIPATION.</w:t>
      </w:r>
    </w:p>
    <w:p>
      <w:pPr>
        <w:spacing w:after="0" w:line="2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The Administrator will, in its sole discretion, name the Participants in the Plan; provided, however, that each Participant must be an Employee, director or Consultant of the Company or of an Affiliate at the time a Stock Right is granted. Notwithstanding the foregoing, the Administrator may authorize the grant of a Stock Right to a person in anticipation of such person becoming an Employee, director or Consultant of the Company or of an Affiliate; provided, that the actual grant of such Stock Right shall be conditioned upon such person becoming eligible to become a Participant at or prior to the time of the execution of the Agreement evidencing such Stock Right. ISOs may be granted only to Employees. Non-Qualified Options, Stock Grants and Stock-Based Awards may be granted to any Employee, director or Consultant of the Company or an Affiliate. The granting of any Stock Right to any individual shall neither entitle that individual to, nor disqualify that individual from, participation in any other grant of Stock Rights or any grant under any other benefit plan established by the Company or any Affiliate for Employees, directors or Consultants.</w:t>
      </w:r>
    </w:p>
    <w:p>
      <w:pPr>
        <w:spacing w:after="0" w:line="179"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AND CONDITIONS OF OPTIONS.</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Each Option shall be set forth in an Option Agreement duly executed by the Company and, to the extent required by law or requested by the Company, by the Participant. The Administrator may provide that Options be granted subject to such terms and conditions, consistent with the terms and conditions specifically required under this Plan, as the Administrator may deem appropriate including, without limitation, subsequent approval by the shareholders of the Company of this Plan or any amendments thereto. The Option Agreements shall be subject to at least the following terms and conditions:</w:t>
      </w:r>
    </w:p>
    <w:p>
      <w:pPr>
        <w:spacing w:after="0" w:line="178" w:lineRule="exact"/>
        <w:rPr>
          <w:sz w:val="20"/>
          <w:szCs w:val="20"/>
          <w:color w:val="auto"/>
        </w:rPr>
      </w:pPr>
    </w:p>
    <w:p>
      <w:pPr>
        <w:jc w:val="both"/>
        <w:ind w:firstLine="656"/>
        <w:spacing w:after="0" w:line="226" w:lineRule="auto"/>
        <w:tabs>
          <w:tab w:leader="none" w:pos="128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Non-Qualified Options</w:t>
      </w:r>
      <w:r>
        <w:rPr>
          <w:rFonts w:ascii="Times New Roman" w:cs="Times New Roman" w:eastAsia="Times New Roman" w:hAnsi="Times New Roman"/>
          <w:sz w:val="20"/>
          <w:szCs w:val="20"/>
          <w:color w:val="auto"/>
        </w:rPr>
        <w:t>. Each Option intended to be a Non-Qualified Option shall be subject to the terms and conditions which the Administrator determines to be appropriate and in the best interest of the Company, subject to the following minimum standards for any such Non-Qualified Option:</w:t>
      </w:r>
    </w:p>
    <w:p>
      <w:pPr>
        <w:spacing w:after="0" w:line="160" w:lineRule="exact"/>
        <w:rPr>
          <w:sz w:val="20"/>
          <w:szCs w:val="20"/>
          <w:color w:val="auto"/>
        </w:rPr>
      </w:pPr>
    </w:p>
    <w:p>
      <w:pPr>
        <w:jc w:val="both"/>
        <w:ind w:left="660" w:hanging="4"/>
        <w:spacing w:after="0" w:line="226" w:lineRule="auto"/>
        <w:tabs>
          <w:tab w:leader="none" w:pos="1306"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Each Option Agreement shall state the exercise price (per share) of the Shares covered by each Option, which exercise price shall be determined by the Administrator and shall be at least equal to the Fair Market Value per share of the Common Stock on the date of grant of the Option.</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Number of Shares</w:t>
      </w:r>
      <w:r>
        <w:rPr>
          <w:rFonts w:ascii="Times New Roman" w:cs="Times New Roman" w:eastAsia="Times New Roman" w:hAnsi="Times New Roman"/>
          <w:sz w:val="20"/>
          <w:szCs w:val="20"/>
          <w:color w:val="auto"/>
        </w:rPr>
        <w:t>. Each Option Agreement shall state the number of Shares to which it pertains.</w:t>
      </w:r>
    </w:p>
    <w:p>
      <w:pPr>
        <w:spacing w:after="0" w:line="175" w:lineRule="exact"/>
        <w:rPr>
          <w:rFonts w:ascii="Times New Roman" w:cs="Times New Roman" w:eastAsia="Times New Roman" w:hAnsi="Times New Roman"/>
          <w:sz w:val="20"/>
          <w:szCs w:val="20"/>
          <w:color w:val="auto"/>
        </w:rPr>
      </w:pPr>
    </w:p>
    <w:p>
      <w:pPr>
        <w:jc w:val="both"/>
        <w:ind w:left="660" w:hanging="4"/>
        <w:spacing w:after="0" w:line="230" w:lineRule="auto"/>
        <w:tabs>
          <w:tab w:leader="none" w:pos="130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Each Option Agreement shall state the date or dates on which it first is exercisable and the date after which it may no longer be exercised, and may provide that the Option rights accrue or become exercisable in installments over a period of months or years, or upon the occurrence of certain performance conditions or the attainment of stated goals or events.</w:t>
      </w:r>
    </w:p>
    <w:p>
      <w:pPr>
        <w:spacing w:after="0" w:line="148" w:lineRule="exact"/>
        <w:rPr>
          <w:rFonts w:ascii="Times New Roman" w:cs="Times New Roman" w:eastAsia="Times New Roman" w:hAnsi="Times New Roman"/>
          <w:sz w:val="20"/>
          <w:szCs w:val="20"/>
          <w:color w:val="auto"/>
        </w:rPr>
      </w:pPr>
    </w:p>
    <w:p>
      <w:pPr>
        <w:jc w:val="both"/>
        <w:ind w:left="660" w:hanging="4"/>
        <w:spacing w:after="0" w:line="230" w:lineRule="auto"/>
        <w:tabs>
          <w:tab w:leader="none" w:pos="1297"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Conditions</w:t>
      </w:r>
      <w:r>
        <w:rPr>
          <w:rFonts w:ascii="Times New Roman" w:cs="Times New Roman" w:eastAsia="Times New Roman" w:hAnsi="Times New Roman"/>
          <w:sz w:val="20"/>
          <w:szCs w:val="20"/>
          <w:color w:val="auto"/>
        </w:rPr>
        <w:t>. Exercise of any Option may be conditioned upon the Participant’s execution of a shareholders agreement in a form satisfactory to the Administrator providing for certain protections for the Company and its other shareholders, including requirements that:</w:t>
      </w:r>
    </w:p>
    <w:p>
      <w:pPr>
        <w:spacing w:after="0" w:line="148"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Participant’s or the Participant’s Survivors’ right to sell or transfer the Shares may be restricted; and</w:t>
      </w:r>
    </w:p>
    <w:p>
      <w:pPr>
        <w:spacing w:after="0" w:line="188" w:lineRule="exact"/>
        <w:rPr>
          <w:rFonts w:ascii="Times New Roman" w:cs="Times New Roman" w:eastAsia="Times New Roman" w:hAnsi="Times New Roman"/>
          <w:sz w:val="20"/>
          <w:szCs w:val="20"/>
          <w:color w:val="auto"/>
        </w:rPr>
      </w:pPr>
    </w:p>
    <w:p>
      <w:pPr>
        <w:ind w:left="1960" w:hanging="656"/>
        <w:spacing w:after="0" w:line="233" w:lineRule="auto"/>
        <w:tabs>
          <w:tab w:leader="none" w:pos="1952"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or the Participant’s Survivors may be required to execute letters of investment intent and must also acknowledge that the Shares will bear legends noting any applicable restrictions.</w:t>
      </w:r>
    </w:p>
    <w:p>
      <w:pPr>
        <w:sectPr>
          <w:pgSz w:w="11900" w:h="16838" w:orient="portrait"/>
          <w:cols w:equalWidth="0" w:num="1">
            <w:col w:w="11240"/>
          </w:cols>
          <w:pgMar w:left="320" w:top="1399" w:right="339" w:bottom="1440" w:gutter="0" w:footer="0" w:header="0"/>
        </w:sectPr>
      </w:pPr>
    </w:p>
    <w:bookmarkStart w:id="18" w:name="page19"/>
    <w:bookmarkEnd w:id="18"/>
    <w:p>
      <w:pPr>
        <w:ind w:left="4" w:hanging="4"/>
        <w:spacing w:after="0"/>
        <w:tabs>
          <w:tab w:leader="none" w:pos="64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of Option</w:t>
      </w:r>
      <w:r>
        <w:rPr>
          <w:rFonts w:ascii="Times New Roman" w:cs="Times New Roman" w:eastAsia="Times New Roman" w:hAnsi="Times New Roman"/>
          <w:sz w:val="20"/>
          <w:szCs w:val="20"/>
          <w:color w:val="auto"/>
        </w:rPr>
        <w:t>. Each Option shall terminate not more than ten years from the date of the grant or at such earlier time as the Option Agreement may provide.</w:t>
      </w:r>
    </w:p>
    <w:p>
      <w:pPr>
        <w:spacing w:after="0" w:line="148" w:lineRule="exact"/>
        <w:rPr>
          <w:sz w:val="20"/>
          <w:szCs w:val="20"/>
          <w:color w:val="auto"/>
        </w:rPr>
      </w:pPr>
    </w:p>
    <w:p>
      <w:pPr>
        <w:jc w:val="both"/>
        <w:ind w:left="-656" w:firstLine="656"/>
        <w:spacing w:after="0" w:line="222" w:lineRule="auto"/>
        <w:tabs>
          <w:tab w:leader="none" w:pos="62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ISOs</w:t>
      </w:r>
      <w:r>
        <w:rPr>
          <w:rFonts w:ascii="Times New Roman" w:cs="Times New Roman" w:eastAsia="Times New Roman" w:hAnsi="Times New Roman"/>
          <w:sz w:val="20"/>
          <w:szCs w:val="20"/>
          <w:color w:val="auto"/>
        </w:rPr>
        <w:t>. Each Option intended to be an ISO shall be issued only to an Employee who is deemed to be a resident of the United States for tax purposes, and shall be subject to the following terms and conditions, with such additional restrictions or changes as the Administrator determines are appropriate but not in conflict with Section 422 and relevant regulations and rulings of the Internal Revenue Service:</w:t>
      </w:r>
    </w:p>
    <w:p>
      <w:pPr>
        <w:spacing w:after="0" w:line="162" w:lineRule="exact"/>
        <w:rPr>
          <w:sz w:val="20"/>
          <w:szCs w:val="20"/>
          <w:color w:val="auto"/>
        </w:rPr>
      </w:pPr>
    </w:p>
    <w:p>
      <w:pPr>
        <w:ind w:left="4" w:right="20" w:hanging="4"/>
        <w:spacing w:after="0"/>
        <w:tabs>
          <w:tab w:leader="none" w:pos="65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Minimum Standards</w:t>
      </w:r>
      <w:r>
        <w:rPr>
          <w:rFonts w:ascii="Times New Roman" w:cs="Times New Roman" w:eastAsia="Times New Roman" w:hAnsi="Times New Roman"/>
          <w:sz w:val="20"/>
          <w:szCs w:val="20"/>
          <w:color w:val="auto"/>
        </w:rPr>
        <w:t>. The ISO shall meet the minimum standards required of Non-Qualified Options, as described in Paragraph 6(a) above, except clause (i) and (v) thereunder.</w:t>
      </w:r>
    </w:p>
    <w:p>
      <w:pPr>
        <w:spacing w:after="0" w:line="147" w:lineRule="exact"/>
        <w:rPr>
          <w:rFonts w:ascii="Times New Roman" w:cs="Times New Roman" w:eastAsia="Times New Roman" w:hAnsi="Times New Roman"/>
          <w:sz w:val="20"/>
          <w:szCs w:val="20"/>
          <w:color w:val="auto"/>
        </w:rPr>
      </w:pPr>
    </w:p>
    <w:p>
      <w:pPr>
        <w:ind w:left="4" w:hanging="4"/>
        <w:spacing w:after="0"/>
        <w:tabs>
          <w:tab w:leader="none" w:pos="651"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Immediately before the ISO is granted, if the Participant owns, directly or by reason of the applicable attribution rules in Section 424(d) of the Code:</w:t>
      </w:r>
    </w:p>
    <w:p>
      <w:pPr>
        <w:spacing w:after="0" w:line="157" w:lineRule="exact"/>
        <w:rPr>
          <w:rFonts w:ascii="Times New Roman" w:cs="Times New Roman" w:eastAsia="Times New Roman" w:hAnsi="Times New Roman"/>
          <w:sz w:val="20"/>
          <w:szCs w:val="20"/>
          <w:color w:val="auto"/>
        </w:rPr>
      </w:pPr>
    </w:p>
    <w:p>
      <w:pPr>
        <w:jc w:val="both"/>
        <w:ind w:left="1304" w:hanging="656"/>
        <w:spacing w:after="0" w:line="227" w:lineRule="auto"/>
        <w:tabs>
          <w:tab w:leader="none" w:pos="1294"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10% </w:t>
      </w:r>
      <w:r>
        <w:rPr>
          <w:rFonts w:ascii="Times New Roman" w:cs="Times New Roman" w:eastAsia="Times New Roman" w:hAnsi="Times New Roman"/>
          <w:sz w:val="20"/>
          <w:szCs w:val="20"/>
          <w:i w:val="1"/>
          <w:iCs w:val="1"/>
          <w:color w:val="auto"/>
        </w:rPr>
        <w:t>or less</w:t>
      </w:r>
      <w:r>
        <w:rPr>
          <w:rFonts w:ascii="Times New Roman" w:cs="Times New Roman" w:eastAsia="Times New Roman" w:hAnsi="Times New Roman"/>
          <w:sz w:val="20"/>
          <w:szCs w:val="20"/>
          <w:color w:val="auto"/>
        </w:rPr>
        <w:t xml:space="preserve"> of the total combined voting power of all classes of stock of the Company or an Affiliate, the exercise price per share of the Shares covered by each ISO shall not be less than 100% of the Fair Market Value per share of the Common Stock on the date of grant of the Option; or</w:t>
      </w:r>
    </w:p>
    <w:p>
      <w:pPr>
        <w:spacing w:after="0" w:line="161" w:lineRule="exact"/>
        <w:rPr>
          <w:rFonts w:ascii="Times New Roman" w:cs="Times New Roman" w:eastAsia="Times New Roman" w:hAnsi="Times New Roman"/>
          <w:sz w:val="20"/>
          <w:szCs w:val="20"/>
          <w:color w:val="auto"/>
        </w:rPr>
      </w:pPr>
    </w:p>
    <w:p>
      <w:pPr>
        <w:jc w:val="both"/>
        <w:ind w:left="1304" w:hanging="656"/>
        <w:spacing w:after="0" w:line="226" w:lineRule="auto"/>
        <w:tabs>
          <w:tab w:leader="none" w:pos="1296"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than 10% of the total combined voting power of all classes of stock of the Company or an Affiliate, the exercise price per share of the Shares covered by each ISO shall not be less than 110% of the Fair Market Value per share of the Common Stock on the date of grant of the Option.</w:t>
      </w:r>
    </w:p>
    <w:p>
      <w:pPr>
        <w:spacing w:after="0" w:line="160" w:lineRule="exact"/>
        <w:rPr>
          <w:rFonts w:ascii="Times New Roman" w:cs="Times New Roman" w:eastAsia="Times New Roman" w:hAnsi="Times New Roman"/>
          <w:sz w:val="20"/>
          <w:szCs w:val="20"/>
          <w:color w:val="auto"/>
        </w:rPr>
      </w:pPr>
    </w:p>
    <w:p>
      <w:pPr>
        <w:ind w:left="644" w:hanging="644"/>
        <w:spacing w:after="0"/>
        <w:tabs>
          <w:tab w:leader="none" w:pos="64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of Option</w:t>
      </w:r>
      <w:r>
        <w:rPr>
          <w:rFonts w:ascii="Times New Roman" w:cs="Times New Roman" w:eastAsia="Times New Roman" w:hAnsi="Times New Roman"/>
          <w:sz w:val="20"/>
          <w:szCs w:val="20"/>
          <w:color w:val="auto"/>
        </w:rPr>
        <w:t>. For Participants who own:</w:t>
      </w:r>
    </w:p>
    <w:p>
      <w:pPr>
        <w:spacing w:after="0" w:line="175" w:lineRule="exact"/>
        <w:rPr>
          <w:rFonts w:ascii="Times New Roman" w:cs="Times New Roman" w:eastAsia="Times New Roman" w:hAnsi="Times New Roman"/>
          <w:sz w:val="20"/>
          <w:szCs w:val="20"/>
          <w:color w:val="auto"/>
        </w:rPr>
      </w:pPr>
    </w:p>
    <w:p>
      <w:pPr>
        <w:jc w:val="both"/>
        <w:ind w:left="1304" w:hanging="656"/>
        <w:spacing w:after="0" w:line="226" w:lineRule="auto"/>
        <w:tabs>
          <w:tab w:leader="none" w:pos="1294"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10% </w:t>
      </w:r>
      <w:r>
        <w:rPr>
          <w:rFonts w:ascii="Times New Roman" w:cs="Times New Roman" w:eastAsia="Times New Roman" w:hAnsi="Times New Roman"/>
          <w:sz w:val="20"/>
          <w:szCs w:val="20"/>
          <w:u w:val="single" w:color="auto"/>
          <w:color w:val="auto"/>
        </w:rPr>
        <w:t>or less</w:t>
      </w:r>
      <w:r>
        <w:rPr>
          <w:rFonts w:ascii="Times New Roman" w:cs="Times New Roman" w:eastAsia="Times New Roman" w:hAnsi="Times New Roman"/>
          <w:sz w:val="20"/>
          <w:szCs w:val="20"/>
          <w:color w:val="auto"/>
        </w:rPr>
        <w:t xml:space="preserve"> of the total combined voting power of all classes of stock of the Company or an Affiliate, each ISO shall terminate not more than ten years from the date of the grant or at such earlier time as the Option Agreement may provide; or</w:t>
      </w:r>
    </w:p>
    <w:p>
      <w:pPr>
        <w:spacing w:after="0" w:line="160" w:lineRule="exact"/>
        <w:rPr>
          <w:rFonts w:ascii="Times New Roman" w:cs="Times New Roman" w:eastAsia="Times New Roman" w:hAnsi="Times New Roman"/>
          <w:sz w:val="20"/>
          <w:szCs w:val="20"/>
          <w:color w:val="auto"/>
        </w:rPr>
      </w:pPr>
    </w:p>
    <w:p>
      <w:pPr>
        <w:jc w:val="both"/>
        <w:ind w:left="1304" w:hanging="656"/>
        <w:spacing w:after="0" w:line="226" w:lineRule="auto"/>
        <w:tabs>
          <w:tab w:leader="none" w:pos="1296"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than 10% of the total combined voting power of all classes of stock of the Company or an Affiliate, each ISO shall terminate not more than five years from the date of the grant or at such earlier time as the Option Agreement may provide.</w:t>
      </w:r>
    </w:p>
    <w:p>
      <w:pPr>
        <w:spacing w:after="0" w:line="160" w:lineRule="exact"/>
        <w:rPr>
          <w:rFonts w:ascii="Times New Roman" w:cs="Times New Roman" w:eastAsia="Times New Roman" w:hAnsi="Times New Roman"/>
          <w:sz w:val="20"/>
          <w:szCs w:val="20"/>
          <w:color w:val="auto"/>
        </w:rPr>
      </w:pPr>
    </w:p>
    <w:p>
      <w:pPr>
        <w:jc w:val="both"/>
        <w:ind w:left="4" w:hanging="4"/>
        <w:spacing w:after="0" w:line="226" w:lineRule="auto"/>
        <w:tabs>
          <w:tab w:leader="none" w:pos="641"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 on Yearly Exercise</w:t>
      </w:r>
      <w:r>
        <w:rPr>
          <w:rFonts w:ascii="Times New Roman" w:cs="Times New Roman" w:eastAsia="Times New Roman" w:hAnsi="Times New Roman"/>
          <w:sz w:val="20"/>
          <w:szCs w:val="20"/>
          <w:color w:val="auto"/>
        </w:rPr>
        <w:t>. To the extent that aggregate Fair Market Value (determined on the date each ISO is granted) of the Shares with respect to which ISOs are exercisable for the first time by the Participant in any calendar year exceeds $100,000, such Options shall be treated as Non-Qualified Options even if denominated ISOs at grant.</w:t>
      </w:r>
    </w:p>
    <w:p>
      <w:pPr>
        <w:spacing w:after="0" w:line="160" w:lineRule="exact"/>
        <w:rPr>
          <w:sz w:val="20"/>
          <w:szCs w:val="20"/>
          <w:color w:val="auto"/>
        </w:rPr>
      </w:pPr>
    </w:p>
    <w:p>
      <w:pPr>
        <w:jc w:val="both"/>
        <w:ind w:left="-656" w:firstLine="656"/>
        <w:spacing w:after="0" w:line="227" w:lineRule="auto"/>
        <w:tabs>
          <w:tab w:leader="none" w:pos="630"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in connection with a corporate transaction involving the Company (which term includes, without limitation, any stock dividend, stock split, extraordinary cash dividend, recapitalization, reorganization, merger, consolidation, split-up, spin-off, combination or exchange of shares) or as otherwise contemplated by Paragraph 24 below, the Company may not, without obtaining stockholder approval, (i) amend the terms of outstanding Options to reduce the exercise price of such Options, (ii) cancel outstanding Options in exchange for Options that have an exercise price that is less than the exercise price value of the original Options, or (iii) cancel outstanding Options that have an exercise price greater than the Fair Market Value of a Share on the date of such cancellation in exchange for cash or other consideration.</w:t>
      </w:r>
    </w:p>
    <w:p>
      <w:pPr>
        <w:sectPr>
          <w:pgSz w:w="11900" w:h="16838" w:orient="portrait"/>
          <w:cols w:equalWidth="0" w:num="1">
            <w:col w:w="10584"/>
          </w:cols>
          <w:pgMar w:left="976" w:top="1399" w:right="339" w:bottom="1440" w:gutter="0" w:footer="0" w:header="0"/>
        </w:sectPr>
      </w:pPr>
    </w:p>
    <w:bookmarkStart w:id="19" w:name="page20"/>
    <w:bookmarkEnd w:id="19"/>
    <w:p>
      <w:pPr>
        <w:ind w:left="1300" w:hanging="644"/>
        <w:spacing w:after="0"/>
        <w:tabs>
          <w:tab w:leader="none" w:pos="13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AND CONDITIONS OF STOCK GRANTS.</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Each Stock Grant to a Participant shall state the principal terms in an Agreement duly executed by the Company and, to the extent required by law or requested by the Company, by the Participant. The Agreement shall be in a form approved by the Administrator and shall contain restrictions, terms and conditions which the Administrator determines to be appropriate and in the best interest of the Company, subject to the following minimum standards:</w:t>
      </w:r>
    </w:p>
    <w:p>
      <w:pPr>
        <w:spacing w:after="0" w:line="174" w:lineRule="exact"/>
        <w:rPr>
          <w:sz w:val="20"/>
          <w:szCs w:val="20"/>
          <w:color w:val="auto"/>
        </w:rPr>
      </w:pPr>
    </w:p>
    <w:p>
      <w:pPr>
        <w:jc w:val="both"/>
        <w:ind w:firstLine="656"/>
        <w:spacing w:after="0" w:line="226" w:lineRule="auto"/>
        <w:tabs>
          <w:tab w:leader="none" w:pos="128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Agreement shall state the purchase price per share, if any, of the Shares covered by each Stock Grant, which purchase price shall be determined by the Administrator but shall not be less than the minimum consideration required by the Delaware General Corporation Law on the date of the grant of the Stock Grant;</w:t>
      </w:r>
    </w:p>
    <w:p>
      <w:pPr>
        <w:spacing w:after="0" w:line="160"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Agreement shall state the number of Shares to which the Stock Grant pertains;</w:t>
      </w:r>
    </w:p>
    <w:p>
      <w:pPr>
        <w:spacing w:after="0" w:line="188" w:lineRule="exact"/>
        <w:rPr>
          <w:rFonts w:ascii="Times New Roman" w:cs="Times New Roman" w:eastAsia="Times New Roman" w:hAnsi="Times New Roman"/>
          <w:sz w:val="20"/>
          <w:szCs w:val="20"/>
          <w:color w:val="auto"/>
        </w:rPr>
      </w:pPr>
    </w:p>
    <w:p>
      <w:pPr>
        <w:jc w:val="both"/>
        <w:ind w:firstLine="656"/>
        <w:spacing w:after="0" w:line="226" w:lineRule="auto"/>
        <w:tabs>
          <w:tab w:leader="none" w:pos="128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Agreement shall include the terms of any right of the Company to restrict or reacquire the Shares subject to the Stock Grant, including the time period or attainment of Performance Goals or such other performance criteria upon which such rights shall accrue and the purchase price therefor, if any; and</w:t>
      </w:r>
    </w:p>
    <w:p>
      <w:pPr>
        <w:spacing w:after="0" w:line="160"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Dividends (other than stock dividends to be issued pursuant to Section 25 of the Plan) may accrue but shall not be paid prior to the time, and may be paid only to the extent that the restrictions or rights to reacquire the Shares subject to the Stock Grant lapse. Any entitlement to dividend equivalents or similar entitlements will be established and administered either consistent with an exemption from, or in compliance with the applicable requirements of Section 409A.</w:t>
      </w:r>
    </w:p>
    <w:p>
      <w:pPr>
        <w:spacing w:after="0" w:line="148"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AND CONDITIONS OF RESTRICTED STOCK UNIT AWARDS AND OTHER STOCK-BASED AWARDS.</w:t>
      </w:r>
    </w:p>
    <w:p>
      <w:pPr>
        <w:spacing w:after="0" w:line="20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Administrator shall have the right to grant Restricted Stock Unit Awards and other Stock-Based Awards based upon the Common Stock having such terms and conditions as the Administrator may determine, including, without limitation, the grant of Shares based upon certain conditions, the grant of securities convertible into Shares and the grant of SARs and phantom stock awards. The principal terms of each Stock-Based Award shall be set forth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Each Agreement shall include the terms of any right of the Company including the right to terminate the Stock-Based Award without the issuance of Shares, the terms of any vesting conditions, Performance Goals or events upon which Shares shall be issued, provided that dividends (other than stock dividends to be issued pursuant to Section 25 of the Plan) or dividend equivalents may accrue but shall not be paid prior to and may be paid only to the extent that the Shares subject to the Stock-Based Award vest. Under no circumstances may an Agreement covering SARs (a) have an exercise or base price (per share) that is less than the Fair Market Value per share of Common Stock on the date of grant or (b) expire more than ten years following the date of grant.</w:t>
      </w:r>
    </w:p>
    <w:p>
      <w:pPr>
        <w:sectPr>
          <w:pgSz w:w="11900" w:h="16838" w:orient="portrait"/>
          <w:cols w:equalWidth="0" w:num="1">
            <w:col w:w="11240"/>
          </w:cols>
          <w:pgMar w:left="320" w:top="1399" w:right="339" w:bottom="1440" w:gutter="0" w:footer="0" w:header="0"/>
        </w:sectPr>
      </w:pPr>
    </w:p>
    <w:bookmarkStart w:id="20" w:name="page21"/>
    <w:bookmarkEnd w:id="20"/>
    <w:p>
      <w:pPr>
        <w:ind w:left="1300" w:hanging="644"/>
        <w:spacing w:after="0"/>
        <w:tabs>
          <w:tab w:leader="none" w:pos="130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PERFORMANCE-BASED AWARDS.</w:t>
      </w:r>
    </w:p>
    <w:p>
      <w:pPr>
        <w:spacing w:after="0" w:line="20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Committee shall determine whether, with respect to a performance period, the applicable Performance Goals have been met with respect to a given Participant and, if they have, to so certify and ascertain the amount of the applicable Performance-Based Award. No Performance-Based Awards will be issued for such performance period until such certification is made by the Committee. The number of Shares issued in respect of a Performance-Based Award determined by the Committee for a performance period shall be paid to the Participant at such time as determined by the Committee in its sole discretion after the end of such performance period, and any dividends (other than stock dividends to be issued pursuant to Section 25 of the Plan) or dividend equivalents that accrue shall only be paid in respect of the number of Shares earned in respect of such Performance-Based Award.</w:t>
      </w:r>
    </w:p>
    <w:p>
      <w:pPr>
        <w:spacing w:after="0" w:line="179" w:lineRule="exact"/>
        <w:rPr>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OF OPTIONS AND ISSUE OF SHARES.</w:t>
      </w:r>
    </w:p>
    <w:p>
      <w:pPr>
        <w:spacing w:after="0" w:line="18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An Option (or any part or installment thereof) shall be exercised by giving written notice to the Company or its designee (in a form acceptable to the Administrator, which may include electronic notice), together with provision for payment of the aggregate exercise price in accordance with this Paragraph for the Shares as to which the Option is being exercised, and upon compliance with any other condition(s) set forth in the Option Agreement. Such notice shall be signed by the person exercising the Option (which signature may be provided electronically in a form acceptable to the Administrator), shall state the number of Shares with respect to which the Option is being exercised and shall contain any representation required by the Plan or the Option Agreement. Payment of the exercise price for the Shares as to which such Option is being exercised shall be made (a) in United States dollars in cash or by check; or (b) at the discretion of the Administrator, through delivery of shares of Common Stock held for at least six months (if required to avoid negative accounting treatment) having a Fair Market Value equal as of the date of the exercise to the aggregate cash exercise price for the number of Shares as to which the Option is being exercised; or (c) at the discretion of the Administrator, by having the Company retain from the Shares otherwise issuable upon exercise of the Option, a number of Shares having a Fair Market Value equal as of the date of exercise to the aggregate exercise price for the number of Shares as to which the Option is being exercised; or (d) at the discretion of the Administrator, in accordance with a cashless exercise program established with a securities brokerage firm, and approved by the Administrator; or (e) at the discretion of the Administrator, by any combination of (a) through (d) above, or (f) at the discretion of the Administrator, by payment of such other lawful consideration as the Administrator may determine. Notwithstanding the foregoing, the Administrator shall accept only such payment on exercise of an ISO as is permitted by Section 422.</w:t>
      </w:r>
    </w:p>
    <w:p>
      <w:pPr>
        <w:spacing w:after="0" w:line="20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Company shall then reasonably promptly deliver the Shares as to which such Option was exercised to the Participant (or to the Participant’s Survivors, as the case may be). In determining what constitutes “reasonably promptly,” it is expressly understood that the issuance and delivery of the Shares may be delayed by the Company if the Administrator determines it is necessary to comply with any law or regulation (including, without limitation, federal securities laws) that requires the Company to take any action with respect to the Shares prior to their issuance. The Shares shall, upon delivery, be fully paid, non-assessable Shares.</w:t>
      </w:r>
    </w:p>
    <w:p>
      <w:pPr>
        <w:sectPr>
          <w:pgSz w:w="11900" w:h="16838" w:orient="portrait"/>
          <w:cols w:equalWidth="0" w:num="1">
            <w:col w:w="11240"/>
          </w:cols>
          <w:pgMar w:left="320" w:top="1399" w:right="339" w:bottom="1440" w:gutter="0" w:footer="0" w:header="0"/>
        </w:sectPr>
      </w:pPr>
    </w:p>
    <w:bookmarkStart w:id="21" w:name="page22"/>
    <w:bookmarkEnd w:id="21"/>
    <w:p>
      <w:pPr>
        <w:ind w:left="1300" w:right="20" w:hanging="644"/>
        <w:spacing w:after="0"/>
        <w:tabs>
          <w:tab w:leader="none" w:pos="128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IN CONNECTION WITH THE ISSUANCE OF STOCK GRANTS AND STOCK-BASED AWARDS AND ISSUE OF SHARES.</w:t>
      </w:r>
    </w:p>
    <w:p>
      <w:pPr>
        <w:spacing w:after="0" w:line="1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Any Stock Grant or Stock-Based Award requiring payment of a purchase price for the Shares as to which such Stock Grant or Stock-Based Award is being granted shall be made (a) in United States dollars in cash or by check; or (b) at the discretion of the Administrator, through delivery of shares of Common Stock held for at least six months (if required to avoid negative accounting treatment) and having a Fair Market Value equal as of the date of payment to the purchase price of the Stock Grant or Stock-Based Award; or (c) at the discretion of the Administrator, by any combination of (a) and (b) above; or (d) at the discretion of the Administrator, by payment of such other lawful consideration as the Administrator may determine.</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Company shall when required by the applicable Agreement, reasonably promptly deliver the Shares as to which such Stock Grant or Stock-Based Award was made to the Participant (or to the Participant’s Survivors, as the case may be), subject to any escrow provision set forth in the applicable Agreement. In determining what constitutes “reasonably promptly,” it is expressly understood that the issuance and delivery of the Shares may be delayed by the Company if the Administrator determines it is necessary to comply with any law or regulation (including, without limitation, federal or state securities laws) which requires the Company to take any action with respect to the Shares prior to their issuance.</w:t>
      </w:r>
    </w:p>
    <w:p>
      <w:pPr>
        <w:spacing w:after="0" w:line="165" w:lineRule="exact"/>
        <w:rPr>
          <w:sz w:val="20"/>
          <w:szCs w:val="20"/>
          <w:color w:val="auto"/>
        </w:rPr>
      </w:pPr>
    </w:p>
    <w:p>
      <w:pPr>
        <w:ind w:left="1300" w:hanging="644"/>
        <w:spacing w:after="0"/>
        <w:tabs>
          <w:tab w:leader="none" w:pos="130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AS A SHAREHOLDER.</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No Participant to whom a Stock Right has been granted shall have rights as a shareholder with respect to any Shares covered by such Stock Right except after due exercise of an Option or issuance of Shares as set forth in any Agreement, tender of the aggregate exercise or purchase price, if any, for the Shares being purchased and registration of the Shares in the Company’s share register in the name of the Participant. In addition, at the discretion of the Administrator, the Company shall have received an opinion of its counsel that the Shares may be issued in compliance with the Securities Act without registration thereunder.</w:t>
      </w:r>
    </w:p>
    <w:p>
      <w:pPr>
        <w:spacing w:after="0" w:line="178"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ASSIGNABILITY AND TRANSFERABILITY OF STOCK RIGHTS.</w:t>
      </w:r>
    </w:p>
    <w:p>
      <w:pPr>
        <w:spacing w:after="0" w:line="2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By its terms, a Stock Right granted to a Participant shall not be transferable by the Participant other than (i) by will or by the laws of descent and distribution, or (ii) as approved by the Administrator in its discretion and set forth in the applicable Agreement provided that no Stock Right may be transferred by a Participant for value. Notwithstanding the foregoing, an ISO transferred except in compliance with clause (i) above shall no longer qualify as an ISO. The designation of a beneficiary of a Stock Right by a Participant, with the prior approval of the Administrator and in such form as the Administrator shall prescribe, shall not be deemed a transfer prohibited by this Paragraph. Except as provided above during the Participant’s lifetime a Stock Right shall only be exercisable by or issued to such Participant (or his or her legal representative) and shall not be assigned, pledged or hypothecated in any way (whether by operation of law or otherwise) and shall not be subject to execution, attachment or similar process. Any attempted transfer, assignment, pledge, hypothecation or other disposition of any Stock Right or of any rights granted thereunder contrary to the provisions of this Plan, or the levy of any attachment or similar process upon a Stock Right, shall be null and void.</w:t>
      </w:r>
    </w:p>
    <w:p>
      <w:pPr>
        <w:sectPr>
          <w:pgSz w:w="11900" w:h="16838" w:orient="portrait"/>
          <w:cols w:equalWidth="0" w:num="1">
            <w:col w:w="11240"/>
          </w:cols>
          <w:pgMar w:left="320" w:top="1399" w:right="339" w:bottom="1440" w:gutter="0" w:footer="0" w:header="0"/>
        </w:sectPr>
      </w:pPr>
    </w:p>
    <w:bookmarkStart w:id="22" w:name="page23"/>
    <w:bookmarkEnd w:id="22"/>
    <w:p>
      <w:pPr>
        <w:ind w:left="1300" w:hanging="644"/>
        <w:spacing w:after="0"/>
        <w:tabs>
          <w:tab w:leader="none" w:pos="1300"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EFFECT ON OPTIONS OF TERMINATION OF SERVICE OTHER THAN FOR CAUSE OR DEATH OR DISABILITY.</w:t>
      </w:r>
    </w:p>
    <w:p>
      <w:pPr>
        <w:spacing w:after="0" w:line="214" w:lineRule="exact"/>
        <w:rPr>
          <w:sz w:val="20"/>
          <w:szCs w:val="20"/>
          <w:color w:val="auto"/>
        </w:rPr>
      </w:pPr>
    </w:p>
    <w:p>
      <w:pPr>
        <w:ind w:right="20" w:firstLine="648"/>
        <w:spacing w:after="0" w:line="295" w:lineRule="auto"/>
        <w:rPr>
          <w:sz w:val="20"/>
          <w:szCs w:val="20"/>
          <w:color w:val="auto"/>
        </w:rPr>
      </w:pPr>
      <w:r>
        <w:rPr>
          <w:rFonts w:ascii="Times New Roman" w:cs="Times New Roman" w:eastAsia="Times New Roman" w:hAnsi="Times New Roman"/>
          <w:sz w:val="19"/>
          <w:szCs w:val="19"/>
          <w:color w:val="auto"/>
        </w:rPr>
        <w:t>Except as otherwise provided in a Participant’s Option Agreement, in the event of a termination of service (whether as an Employee, director or Consultant) with the Company or an Affiliate before the Participant has exercised an Option, the following rules apply:</w:t>
      </w:r>
    </w:p>
    <w:p>
      <w:pPr>
        <w:spacing w:after="0" w:line="138" w:lineRule="exact"/>
        <w:rPr>
          <w:sz w:val="20"/>
          <w:szCs w:val="20"/>
          <w:color w:val="auto"/>
        </w:rPr>
      </w:pPr>
    </w:p>
    <w:p>
      <w:pPr>
        <w:jc w:val="both"/>
        <w:ind w:firstLine="656"/>
        <w:spacing w:after="0" w:line="222" w:lineRule="auto"/>
        <w:tabs>
          <w:tab w:leader="none" w:pos="128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Participant who ceases to be an Employee, director or Consultant of the Company or of an Affiliate (for any reason other than termination for Cause, Disability, or death for which events there are special rules in Paragraphs 15, 16, and 17, respectively), may exercise any Option granted to such Participant to the extent that the Option is exercisable on the date of such termination of service, but only within such term as the Administrator has designated in a Participant’s Option Agreement.</w:t>
      </w:r>
    </w:p>
    <w:p>
      <w:pPr>
        <w:spacing w:after="0" w:line="148" w:lineRule="exact"/>
        <w:rPr>
          <w:rFonts w:ascii="Times New Roman" w:cs="Times New Roman" w:eastAsia="Times New Roman" w:hAnsi="Times New Roman"/>
          <w:sz w:val="20"/>
          <w:szCs w:val="20"/>
          <w:color w:val="auto"/>
        </w:rPr>
      </w:pPr>
    </w:p>
    <w:p>
      <w:pPr>
        <w:ind w:firstLine="656"/>
        <w:spacing w:after="0"/>
        <w:tabs>
          <w:tab w:leader="none" w:pos="128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provided in Subparagraph (c) below, or Paragraph 16 or 17, in no event may an Option intended to be an ISO, be exercised later than three months after the Participant’s termination of employment.</w:t>
      </w:r>
    </w:p>
    <w:p>
      <w:pPr>
        <w:spacing w:after="0" w:line="161" w:lineRule="exact"/>
        <w:rPr>
          <w:rFonts w:ascii="Times New Roman" w:cs="Times New Roman" w:eastAsia="Times New Roman" w:hAnsi="Times New Roman"/>
          <w:sz w:val="20"/>
          <w:szCs w:val="20"/>
          <w:color w:val="auto"/>
        </w:rPr>
      </w:pPr>
    </w:p>
    <w:p>
      <w:pPr>
        <w:jc w:val="both"/>
        <w:ind w:firstLine="656"/>
        <w:spacing w:after="0" w:line="217" w:lineRule="auto"/>
        <w:tabs>
          <w:tab w:leader="none" w:pos="128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this Paragraph, and not the provisions of Paragraph 16 or 17, shall apply to a Participant who subsequently becomes Disabled or dies after the termination of employment, director status or consultancy; provided, however, in the case of a Participant’s Disability or death within three months after the termination of employment, director status or consultancy, the Participant or the Participant’s Survivors may exercise the Option within one year after the date of the Participant’s termination of service, but in no event after the date of expiration of the term of the Option.</w:t>
      </w:r>
    </w:p>
    <w:p>
      <w:pPr>
        <w:spacing w:after="0" w:line="161"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if subsequent to a Participant’s termination of employment, termination of director status or termination of consultancy, but prior to the exercise of an Option, the Administrator determines that, either prior or subsequent to the Participant’s termination, the Participant engaged in conduct which would constitute Cause, then such Participant shall forthwith cease to have any right to exercise any Option.</w:t>
      </w:r>
    </w:p>
    <w:p>
      <w:pPr>
        <w:spacing w:after="0" w:line="161" w:lineRule="exact"/>
        <w:rPr>
          <w:rFonts w:ascii="Times New Roman" w:cs="Times New Roman" w:eastAsia="Times New Roman" w:hAnsi="Times New Roman"/>
          <w:sz w:val="20"/>
          <w:szCs w:val="20"/>
          <w:color w:val="auto"/>
        </w:rPr>
      </w:pPr>
    </w:p>
    <w:p>
      <w:pPr>
        <w:jc w:val="both"/>
        <w:ind w:firstLine="656"/>
        <w:spacing w:after="0" w:line="215" w:lineRule="auto"/>
        <w:tabs>
          <w:tab w:leader="none" w:pos="128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Participant to whom an Option has been granted under the Plan who is absent from the Company or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 provided, however, that, for ISOs, any leave of absence granted by the Administrator of greater than three months, unless pursuant to a contract or statute that guarantees the right to reemployment, shall cause such ISO to become a Non-Qualified Option on the date that is six months following the commencement of such leave of absence.</w:t>
      </w:r>
    </w:p>
    <w:p>
      <w:pPr>
        <w:spacing w:after="0" w:line="150" w:lineRule="exact"/>
        <w:rPr>
          <w:rFonts w:ascii="Times New Roman" w:cs="Times New Roman" w:eastAsia="Times New Roman" w:hAnsi="Times New Roman"/>
          <w:sz w:val="20"/>
          <w:szCs w:val="20"/>
          <w:color w:val="auto"/>
        </w:rPr>
      </w:pPr>
    </w:p>
    <w:p>
      <w:pPr>
        <w:jc w:val="both"/>
        <w:ind w:firstLine="656"/>
        <w:spacing w:after="0" w:line="230" w:lineRule="auto"/>
        <w:tabs>
          <w:tab w:leader="none" w:pos="129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required by law or as set forth in a Participant’s Option Agreement, Options granted under the Plan shall not be affected by any change of a Participant’s status within or among the Company and any Affiliates, so long as the Participant continues to be an Employee, director or Consultant of the Company or any Affiliate.</w:t>
      </w:r>
    </w:p>
    <w:p>
      <w:pPr>
        <w:spacing w:after="0" w:line="149"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ON OPTIONS OF TERMINATION OF SERVICE FOR CAUSE.</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Except as otherwise provided in a Participant’s Option Agreement, the following rules apply if the Participant’s service (whether as an Employee, director or Consultant) with the Company or an Affiliate is terminated for Cause prior to the time that all his or her outstanding Options have been exercised:</w:t>
      </w:r>
    </w:p>
    <w:p>
      <w:pPr>
        <w:spacing w:after="0" w:line="168" w:lineRule="exact"/>
        <w:rPr>
          <w:sz w:val="20"/>
          <w:szCs w:val="20"/>
          <w:color w:val="auto"/>
        </w:rPr>
      </w:pPr>
    </w:p>
    <w:p>
      <w:pPr>
        <w:ind w:right="20" w:firstLine="656"/>
        <w:spacing w:after="0" w:line="233" w:lineRule="auto"/>
        <w:tabs>
          <w:tab w:leader="none" w:pos="1286"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outstanding and unexercised Options as of the time the Participant is notified his or her service is terminated for Cause will immediately be forfeited.</w:t>
      </w:r>
    </w:p>
    <w:p>
      <w:pPr>
        <w:sectPr>
          <w:pgSz w:w="11900" w:h="16838" w:orient="portrait"/>
          <w:cols w:equalWidth="0" w:num="1">
            <w:col w:w="11240"/>
          </w:cols>
          <w:pgMar w:left="320" w:top="1399" w:right="339" w:bottom="1440" w:gutter="0" w:footer="0" w:header="0"/>
        </w:sectPr>
      </w:pPr>
    </w:p>
    <w:bookmarkStart w:id="23" w:name="page24"/>
    <w:bookmarkEnd w:id="23"/>
    <w:p>
      <w:pPr>
        <w:jc w:val="both"/>
        <w:ind w:firstLine="656"/>
        <w:spacing w:after="0" w:line="222" w:lineRule="auto"/>
        <w:tabs>
          <w:tab w:leader="none" w:pos="128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but prior to the exercise of an Option, that either prior or subsequent to the Participant’s termination the Participant engaged in conduct which would constitute Cause, then the right to exercise any Option is forfeited.</w:t>
      </w:r>
    </w:p>
    <w:p>
      <w:pPr>
        <w:spacing w:after="0" w:line="162" w:lineRule="exact"/>
        <w:rPr>
          <w:sz w:val="20"/>
          <w:szCs w:val="20"/>
          <w:color w:val="auto"/>
        </w:rPr>
      </w:pPr>
    </w:p>
    <w:p>
      <w:pPr>
        <w:ind w:left="660" w:right="3520" w:hanging="4"/>
        <w:spacing w:after="0" w:line="450" w:lineRule="auto"/>
        <w:tabs>
          <w:tab w:leader="none" w:pos="1299"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 xml:space="preserve">EFFECT ON OPTIONS OF TERMINATION OF SERVICE FOR DISABILITY. </w:t>
      </w:r>
      <w:r>
        <w:rPr>
          <w:rFonts w:ascii="Times New Roman" w:cs="Times New Roman" w:eastAsia="Times New Roman" w:hAnsi="Times New Roman"/>
          <w:sz w:val="20"/>
          <w:szCs w:val="20"/>
          <w:color w:val="auto"/>
        </w:rPr>
        <w:t>Except as otherwise provided in a Participant’s Option Agreement:</w:t>
      </w:r>
    </w:p>
    <w:p>
      <w:pPr>
        <w:spacing w:after="0" w:line="2" w:lineRule="exact"/>
        <w:rPr>
          <w:sz w:val="20"/>
          <w:szCs w:val="20"/>
          <w:color w:val="auto"/>
        </w:rPr>
      </w:pPr>
    </w:p>
    <w:p>
      <w:pPr>
        <w:jc w:val="both"/>
        <w:ind w:firstLine="656"/>
        <w:spacing w:after="0" w:line="216" w:lineRule="auto"/>
        <w:tabs>
          <w:tab w:leader="none" w:pos="128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Participant who ceases to be an Employee, director or Consultant of the Company or of an Affiliate by reason of Disability may exercise any Option granted to such Participant to the extent that the Option has become exercisable but has not been exercised on the date of the Participant’s termination of service due to Disability; and in the event rights to exercise the Option accrue periodically, to the extent of a pro rata portion through the date of the Participant’s termination of service due to Disability of any additional vesting rights that would have accrued on the next vesting date had the Participant not become Disabled. The proration shall be based upon the number of days accrued in the current vesting period prior to the date of the Participant’s termination of service due to Disability.</w:t>
      </w:r>
    </w:p>
    <w:p>
      <w:pPr>
        <w:spacing w:after="0" w:line="162"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Disabled Participant may exercise the Option only within the period ending one year after the date of the Participant’s termination of service due to Disability, notwithstanding that the Participant might have been able to exercise the Option as to some or all of the Shares on a later date if the Participant had not been terminated due to Disability and had continued to be an Employee, director or Consultant or, if earlier, within the originally prescribed term of the Option.</w:t>
      </w:r>
    </w:p>
    <w:p>
      <w:pPr>
        <w:spacing w:after="0" w:line="148" w:lineRule="exact"/>
        <w:rPr>
          <w:rFonts w:ascii="Times New Roman" w:cs="Times New Roman" w:eastAsia="Times New Roman" w:hAnsi="Times New Roman"/>
          <w:sz w:val="20"/>
          <w:szCs w:val="20"/>
          <w:color w:val="auto"/>
        </w:rPr>
      </w:pPr>
    </w:p>
    <w:p>
      <w:pPr>
        <w:jc w:val="both"/>
        <w:ind w:right="20" w:firstLine="656"/>
        <w:spacing w:after="0" w:line="222" w:lineRule="auto"/>
        <w:tabs>
          <w:tab w:leader="none" w:pos="128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shall make the determination both of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162" w:lineRule="exact"/>
        <w:rPr>
          <w:sz w:val="20"/>
          <w:szCs w:val="20"/>
          <w:color w:val="auto"/>
        </w:rPr>
      </w:pPr>
    </w:p>
    <w:p>
      <w:pPr>
        <w:ind w:left="660" w:right="2100" w:hanging="4"/>
        <w:spacing w:after="0" w:line="450" w:lineRule="auto"/>
        <w:tabs>
          <w:tab w:leader="none" w:pos="1299"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 xml:space="preserve">EFFECT ON OPTIONS OF DEATH WHILE AN EMPLOYEE, DIRECTOR OR CONSULTANT. </w:t>
      </w:r>
      <w:r>
        <w:rPr>
          <w:rFonts w:ascii="Times New Roman" w:cs="Times New Roman" w:eastAsia="Times New Roman" w:hAnsi="Times New Roman"/>
          <w:sz w:val="20"/>
          <w:szCs w:val="20"/>
          <w:color w:val="auto"/>
        </w:rPr>
        <w:t>Except as otherwise provided in a Participant’s Option Agreement:</w:t>
      </w:r>
    </w:p>
    <w:p>
      <w:pPr>
        <w:spacing w:after="0" w:line="2" w:lineRule="exact"/>
        <w:rPr>
          <w:sz w:val="20"/>
          <w:szCs w:val="20"/>
          <w:color w:val="auto"/>
        </w:rPr>
      </w:pPr>
    </w:p>
    <w:p>
      <w:pPr>
        <w:jc w:val="both"/>
        <w:ind w:firstLine="656"/>
        <w:spacing w:after="0" w:line="220" w:lineRule="auto"/>
        <w:tabs>
          <w:tab w:leader="none" w:pos="128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the death of a Participant while the Participant is an Employee, director or Consultant of the Company or of an Affiliate, such Option may be exercised by the Participant’s Survivors to the extent that the Option has become exercisable but has not been exercised on the date of death; and 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160"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Participant’s Survivors wish to exercise the Option, they must take all necessary steps to exercise the Option within one year after the date of death of such Participant, notwithstanding that the decedent might have been able to exercise the Option as to some or all of the Shares on a later date if he or she had not died and had continued to be an Employee, director or Consultant or, if earlier, within the originally prescribed term of the Option.</w:t>
      </w:r>
    </w:p>
    <w:p>
      <w:pPr>
        <w:spacing w:after="0" w:line="148" w:lineRule="exact"/>
        <w:rPr>
          <w:sz w:val="20"/>
          <w:szCs w:val="20"/>
          <w:color w:val="auto"/>
        </w:rPr>
      </w:pPr>
    </w:p>
    <w:p>
      <w:pPr>
        <w:ind w:left="1300" w:hanging="644"/>
        <w:spacing w:after="0"/>
        <w:tabs>
          <w:tab w:leader="none" w:pos="1291"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TERMINATION OF SERVICE ON UNACCEPTED STOCK GRANTS, RESTRICTED STOCK UNIT AWARDS AND OTHER STOCK-BASED AWARDS.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In the event of a termination of service (whether as an Employee, director or Consultant) with the Company or an Affiliate for any reason before the Participant has accepted a Stock Grant or a Stock-Based Award, including a Restricted Stock Unit Award, and paid the purchase price, if required, such grant shall terminate.</w:t>
      </w:r>
    </w:p>
    <w:p>
      <w:pPr>
        <w:sectPr>
          <w:pgSz w:w="11900" w:h="16838" w:orient="portrait"/>
          <w:cols w:equalWidth="0" w:num="1">
            <w:col w:w="11240"/>
          </w:cols>
          <w:pgMar w:left="320" w:top="1399" w:right="339" w:bottom="1440" w:gutter="0" w:footer="0" w:header="0"/>
        </w:sectPr>
      </w:pPr>
    </w:p>
    <w:bookmarkStart w:id="24" w:name="page25"/>
    <w:bookmarkEnd w:id="24"/>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For purposes of this Paragraph 18 and Paragraph 19 below, a Participant to whom a Stock Grant or a Stock-Based Award has been issued under the Plan who is absent from work with the Company or with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director status or consultancy with the Company or with an Affiliate, except as the Administrator may otherwise expressly provide.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In addition, for purposes of this Paragraph 18 and Paragraph 19 below, any change of employment or other service within or among the Company and any Affiliates shall not be treated as a termination of employment, director status or consultancy so long as the Participant continues to be an Employee, director or Consultant of the Company or any Affiliate.</w:t>
      </w:r>
    </w:p>
    <w:p>
      <w:pPr>
        <w:spacing w:after="0" w:line="168" w:lineRule="exact"/>
        <w:rPr>
          <w:sz w:val="20"/>
          <w:szCs w:val="20"/>
          <w:color w:val="auto"/>
        </w:rPr>
      </w:pPr>
    </w:p>
    <w:p>
      <w:pPr>
        <w:ind w:left="1300" w:hanging="644"/>
        <w:spacing w:after="0" w:line="233" w:lineRule="auto"/>
        <w:tabs>
          <w:tab w:leader="none" w:pos="1291"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ON STOCK GRANTS, RESTRICTED STOCK UNIT AWARDS AND OTHER STOCK-BASED AWARDS OF TERMINATION OF SERVICE OTHER THAN FOR CAUSE, DEATH OR DISABILITY.</w:t>
      </w:r>
    </w:p>
    <w:p>
      <w:pPr>
        <w:spacing w:after="0" w:line="17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Except as otherwise provided in a Participant’s Agreement, in the event of a termination of service for any reason (whether as an Employee, director or Consultant), other than termination for Cause, death or Disability for which there are special rules in Paragraphs 20, 21, and 22 below, before all vesting or forfeiture provisions or Company rights of repurchase shall have lapsed, then the Company shall have the right to cancel or repurchase that number of Shares subject to a Stock Grant as to which the Company’s forfeiture or repurchase rights have not lapsed, or cancel a Restricted Stock Unit Award or other Stock-Based Award without the issuance of any additional shares thereunder.</w:t>
      </w:r>
    </w:p>
    <w:p>
      <w:pPr>
        <w:spacing w:after="0" w:line="179" w:lineRule="exact"/>
        <w:rPr>
          <w:sz w:val="20"/>
          <w:szCs w:val="20"/>
          <w:color w:val="auto"/>
        </w:rPr>
      </w:pPr>
    </w:p>
    <w:p>
      <w:pPr>
        <w:ind w:left="1300" w:hanging="644"/>
        <w:spacing w:after="0" w:line="233" w:lineRule="auto"/>
        <w:tabs>
          <w:tab w:leader="none" w:pos="1291"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ON STOCK GRANTS, RESTRICTED STOCK UNIT AWARDS AND OTHER STOCK-BASED AWARDS OF TERMINATION OF SERVICE FOR CAUSE.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Except as otherwise provided in a Participant’s Agreement, the following rules apply if the Participant’s service (whether as an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Employee, director or Consultant) with the Company or an Affiliate is terminated for Cause:</w:t>
      </w:r>
    </w:p>
    <w:p>
      <w:pPr>
        <w:spacing w:after="0" w:line="187" w:lineRule="exact"/>
        <w:rPr>
          <w:sz w:val="20"/>
          <w:szCs w:val="20"/>
          <w:color w:val="auto"/>
        </w:rPr>
      </w:pPr>
    </w:p>
    <w:p>
      <w:pPr>
        <w:jc w:val="both"/>
        <w:ind w:firstLine="656"/>
        <w:spacing w:after="0" w:line="226" w:lineRule="auto"/>
        <w:tabs>
          <w:tab w:leader="none" w:pos="128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Shares subject to any Stock Grant or Stock-Based Award that remain subject to vesting or forfeiture provisions or as to which the Company shall have a repurchase right and Restricted Stock Unit Awards for which Shares have not been issued shall be immediately forfeited to the Company as of the time the Participant is notified his or her service is terminated for Cause.</w:t>
      </w:r>
    </w:p>
    <w:p>
      <w:pPr>
        <w:spacing w:after="0" w:line="160"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that either prior or subsequent to the Participant’s termination the Participant engaged in conduct which would constitute Cause, then all Shares subject to any Stock Grant or Stock-Based Award that remained subject to vesting or forfeiture provisions or as to which the Company had a repurchase right on the date of termination shall be immediately forfeited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13" w:right="339" w:bottom="1440" w:gutter="0" w:footer="0" w:header="0"/>
        </w:sectPr>
      </w:pPr>
    </w:p>
    <w:bookmarkStart w:id="25" w:name="page26"/>
    <w:bookmarkEnd w:id="25"/>
    <w:p>
      <w:pPr>
        <w:ind w:left="1300" w:hanging="644"/>
        <w:spacing w:after="0"/>
        <w:tabs>
          <w:tab w:leader="none" w:pos="1291"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ON STOCK GRANTS, RESTRICTED STOCK UNIT AWARDS AND OTHER STOCK-BASED AWARDS OF TERMINATION OF SERVICE FOR DISABILITY.</w:t>
      </w:r>
    </w:p>
    <w:p>
      <w:pPr>
        <w:spacing w:after="0" w:line="1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Except as otherwise provided in a Participant’s Agreement, the following rules apply if a Participant ceases to be an Employee, director or Consultant of the Company or of an Affiliate by reason of Disability: to the extent the forfeiture provisions or the Company’s rights of repurchase have not lapsed on the date of the Participant’s termination due to Disability, the Stock Grant or Stock Based Award shall be forfeited; provided, however, that in the event such forfeiture provisions or rights of repurchase lapse periodically, such forfeiture provisions or rights shall lapse to the extent of a pro rata portion of the Shares subject to such Stock Grant or Stock-Based Award through the date of the Participant’s termination due to Disability as would have lapsed had the Participant not been terminated due to Disability. The proration shall be based upon the number of days accrued prior to the date of the Participant’s termination due to Disability.</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Administrator shall make the determination both as to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172" w:lineRule="exact"/>
        <w:rPr>
          <w:sz w:val="20"/>
          <w:szCs w:val="20"/>
          <w:color w:val="auto"/>
        </w:rPr>
      </w:pPr>
    </w:p>
    <w:p>
      <w:pPr>
        <w:ind w:left="1300" w:hanging="644"/>
        <w:spacing w:after="0"/>
        <w:tabs>
          <w:tab w:leader="none" w:pos="1291"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ON STOCK GRANTS, RESTRICTED STOCK UNIT AWARDS AND OTHER STOCK-BASED AWARDS OF DEATH WHILE AN EMPLOYEE, DIRECTOR OR CONSULTANT.</w:t>
      </w:r>
    </w:p>
    <w:p>
      <w:pPr>
        <w:spacing w:after="0" w:line="1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Except as otherwise provided in a Participant’s Agreement, the following rules apply in the event of the death of a Participant while the Participant is an Employee, director or Consultant of the Company or of an Affiliate: to the extent the forfeiture provisions or the Company’s rights of repurchase have not lapsed on the date of the Participant’s death, the Stock Grant or Stock Based Award shall be forfeited; provided, however, that in the event such forfeiture provisions or rights of repurchase lapse periodically, such forfeiture provisions or rights shall lapse to the extent of a pro rata portion of the Shares subject to such Stock Grant or Stock-Based Award through the date of the Participant’s death as would have lapsed had the Participant not died. The proration shall be based upon the number of days accrued prior to the date of the Participant’s death.</w:t>
      </w:r>
    </w:p>
    <w:p>
      <w:pPr>
        <w:spacing w:after="0" w:line="166" w:lineRule="exact"/>
        <w:rPr>
          <w:sz w:val="20"/>
          <w:szCs w:val="20"/>
          <w:color w:val="auto"/>
        </w:rPr>
      </w:pPr>
    </w:p>
    <w:p>
      <w:pPr>
        <w:ind w:left="1300" w:hanging="644"/>
        <w:spacing w:after="0"/>
        <w:tabs>
          <w:tab w:leader="none" w:pos="13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PURCHASE FOR INVESTMENT.</w:t>
      </w:r>
    </w:p>
    <w:p>
      <w:pPr>
        <w:spacing w:after="0" w:line="189" w:lineRule="exact"/>
        <w:rPr>
          <w:sz w:val="20"/>
          <w:szCs w:val="20"/>
          <w:color w:val="auto"/>
        </w:rPr>
      </w:pPr>
    </w:p>
    <w:p>
      <w:pPr>
        <w:ind w:firstLine="656"/>
        <w:spacing w:after="0"/>
        <w:tabs>
          <w:tab w:leader="none" w:pos="128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offering and sale of the Shares shall have been effectively registered under the Securities Act, the Company shall be under no obligation to issue Shares under the Plan unless and until the following conditions have been fulfilled:</w:t>
      </w:r>
    </w:p>
    <w:p>
      <w:pPr>
        <w:spacing w:after="0" w:line="147"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4"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who receives a Stock Right shall warrant to the Company, prior to the receipt of Shares, that such person is acquiring such Shares for his or her own account, for investment, and not with a view to, or for sale in connection with, the distribution of any such Shares, in which event the person acquiring such Shares shall be bound by the provisions of the following legend (or a legend in substantially similar form) which shall be endorsed upon the certificate evidencing the Shares issued pursuant to such exercise or such grant of a Stock Right:</w:t>
      </w:r>
    </w:p>
    <w:p>
      <w:pPr>
        <w:sectPr>
          <w:pgSz w:w="11900" w:h="16838" w:orient="portrait"/>
          <w:cols w:equalWidth="0" w:num="1">
            <w:col w:w="11240"/>
          </w:cols>
          <w:pgMar w:left="320" w:top="1399" w:right="339" w:bottom="1440" w:gutter="0" w:footer="0" w:header="0"/>
        </w:sectPr>
      </w:pPr>
    </w:p>
    <w:bookmarkStart w:id="26" w:name="page27"/>
    <w:bookmarkEnd w:id="26"/>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shares represented by this certificate have been taken for investment and they may not be sold or otherwise transferred by any person, including a pledgee, unless (1) either (a) a Registration Statement with respect to such shares shall be effective under the Securities Act of 1933, as amended, or (b) the Company shall have received an opinion of counsel satisfactory to it that an exemption from registration under such Act is then available, and (2) there shall have been compliance with all applicable state securities laws.”</w:t>
      </w:r>
    </w:p>
    <w:p>
      <w:pPr>
        <w:spacing w:after="0" w:line="159" w:lineRule="exact"/>
        <w:rPr>
          <w:sz w:val="20"/>
          <w:szCs w:val="20"/>
          <w:color w:val="auto"/>
        </w:rPr>
      </w:pPr>
    </w:p>
    <w:p>
      <w:pPr>
        <w:ind w:left="1300" w:hanging="644"/>
        <w:spacing w:after="0"/>
        <w:tabs>
          <w:tab w:leader="none" w:pos="130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DISSOLUTION OR LIQUIDATION OF THE COMPANY.</w:t>
      </w:r>
    </w:p>
    <w:p>
      <w:pPr>
        <w:spacing w:after="0" w:line="20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9"/>
          <w:szCs w:val="19"/>
          <w:color w:val="auto"/>
        </w:rPr>
        <w:t>Upon the dissolution or liquidation of the Company, all Options granted under this Plan which as of such date shall not have been exercised and all Stock Grants and Stock-Based Awards which have not been accepted, to the extent required under the applicable Agreement, will terminate and become null and void; provided, however, that if the rights of a Participant or a Participant’s Survivors have not otherwise terminated and expired, the Participant or the Participant’s Survivors will have the right immediately prior to such dissolution or liquidation to exercise or accept any Stock Right to the extent that the Stock Right is exercisable or subject to acceptance as of the date immediately prior to such dissolution or liquidation. Upon the dissolution or liquidation of the Company, any outstanding Stock-Based Awards shall immediately terminate unless otherwise determined by the Administrator or specifically provided in the applicable Agreement.</w:t>
      </w:r>
    </w:p>
    <w:p>
      <w:pPr>
        <w:spacing w:after="0" w:line="149" w:lineRule="exact"/>
        <w:rPr>
          <w:sz w:val="20"/>
          <w:szCs w:val="20"/>
          <w:color w:val="auto"/>
        </w:rPr>
      </w:pPr>
    </w:p>
    <w:p>
      <w:pPr>
        <w:ind w:left="1300" w:hanging="644"/>
        <w:spacing w:after="0"/>
        <w:tabs>
          <w:tab w:leader="none" w:pos="13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w:t>
      </w:r>
    </w:p>
    <w:p>
      <w:pPr>
        <w:spacing w:after="0" w:line="202"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Upon the occurrence of any of the following events, a Participant’s rights with respect to any Stock Right granted to such Participant hereunder shall be adjusted as hereinafter provided, unless otherwise specifically provided in a Participant’s Agreement.</w:t>
      </w:r>
    </w:p>
    <w:p>
      <w:pPr>
        <w:spacing w:after="0" w:line="159" w:lineRule="exact"/>
        <w:rPr>
          <w:sz w:val="20"/>
          <w:szCs w:val="20"/>
          <w:color w:val="auto"/>
        </w:rPr>
      </w:pPr>
    </w:p>
    <w:p>
      <w:pPr>
        <w:ind w:left="1300" w:hanging="644"/>
        <w:spacing w:after="0"/>
        <w:tabs>
          <w:tab w:leader="none" w:pos="130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Stock Dividends and Stock Splits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left="660" w:hanging="4"/>
        <w:spacing w:after="0" w:line="215" w:lineRule="auto"/>
        <w:tabs>
          <w:tab w:leader="none" w:pos="130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(1) the shares of Common Stock shall be subdivided or combined into a greater or smaller number of shares or if the Company shall issue any shares of Common Stock as a stock dividend on its outstanding Common Stock, or (2) additional shares or new or different shares or other securities of the Company or other non-cash assets are distributed with respect to such shares of Common Stock, each Stock Right and the number of shares of Common Stock deliverable thereunder shall be appropriately increased or decreased proportionately, and appropriate adjustments shall be made including, in the exercise, base or purchase price per share and in the Performance Goals applicable to outstanding Performance-Based Awards to reflect such events. The number of Shares subject to the limitations in Paragraph 3(a) shall also be proportionately adjusted upon the occurrence of such events.</w:t>
      </w:r>
    </w:p>
    <w:p>
      <w:pPr>
        <w:spacing w:after="0" w:line="150" w:lineRule="exact"/>
        <w:rPr>
          <w:rFonts w:ascii="Times New Roman" w:cs="Times New Roman" w:eastAsia="Times New Roman" w:hAnsi="Times New Roman"/>
          <w:sz w:val="20"/>
          <w:szCs w:val="20"/>
          <w:color w:val="auto"/>
        </w:rPr>
      </w:pPr>
    </w:p>
    <w:p>
      <w:pPr>
        <w:jc w:val="both"/>
        <w:ind w:left="660" w:hanging="4"/>
        <w:spacing w:after="0" w:line="222" w:lineRule="auto"/>
        <w:tabs>
          <w:tab w:leader="none" w:pos="1307"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may also make adjustments of the type described in Paragraph 25(a) above to take into account distributions to stockholders other than those provided for in Paragraphs 25(b) below, or any other event, if the Administrator determines that adjustments are appropriate to avoid distortion in the operation of the Plan or any award, having due regard for the qualification of ISOs under Section 422, the requirements of Section 409A, to the extent applicable.</w:t>
      </w:r>
    </w:p>
    <w:p>
      <w:pPr>
        <w:spacing w:after="0" w:line="161" w:lineRule="exact"/>
        <w:rPr>
          <w:rFonts w:ascii="Times New Roman" w:cs="Times New Roman" w:eastAsia="Times New Roman" w:hAnsi="Times New Roman"/>
          <w:sz w:val="20"/>
          <w:szCs w:val="20"/>
          <w:color w:val="auto"/>
        </w:rPr>
      </w:pPr>
    </w:p>
    <w:p>
      <w:pPr>
        <w:ind w:left="660" w:hanging="4"/>
        <w:spacing w:after="0"/>
        <w:tabs>
          <w:tab w:leader="none" w:pos="1308"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References in the Plan to Shares will be construed to include any stock or securities resulting from an adjustment pursuant to this Paragraph 25(a).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13" w:right="339" w:bottom="1440" w:gutter="0" w:footer="0" w:header="0"/>
        </w:sectPr>
      </w:pPr>
    </w:p>
    <w:bookmarkStart w:id="27" w:name="page28"/>
    <w:bookmarkEnd w:id="27"/>
    <w:p>
      <w:pPr>
        <w:jc w:val="both"/>
        <w:ind w:firstLine="656"/>
        <w:spacing w:after="0" w:line="207" w:lineRule="auto"/>
        <w:tabs>
          <w:tab w:leader="none" w:pos="128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Corporate Transactions</w:t>
      </w:r>
      <w:r>
        <w:rPr>
          <w:rFonts w:ascii="Times New Roman" w:cs="Times New Roman" w:eastAsia="Times New Roman" w:hAnsi="Times New Roman"/>
          <w:sz w:val="20"/>
          <w:szCs w:val="20"/>
          <w:color w:val="auto"/>
        </w:rPr>
        <w:t>. Upon a Corporate Transaction, the Administrator or the board of directors of any entity assuming the obligations of the Company hereunder (the “</w:t>
      </w:r>
      <w:r>
        <w:rPr>
          <w:rFonts w:ascii="Times New Roman" w:cs="Times New Roman" w:eastAsia="Times New Roman" w:hAnsi="Times New Roman"/>
          <w:sz w:val="20"/>
          <w:szCs w:val="20"/>
          <w:b w:val="1"/>
          <w:bCs w:val="1"/>
          <w:color w:val="auto"/>
        </w:rPr>
        <w:t>Successor Board</w:t>
      </w:r>
      <w:r>
        <w:rPr>
          <w:rFonts w:ascii="Times New Roman" w:cs="Times New Roman" w:eastAsia="Times New Roman" w:hAnsi="Times New Roman"/>
          <w:sz w:val="20"/>
          <w:szCs w:val="20"/>
          <w:color w:val="auto"/>
        </w:rPr>
        <w:t>”), may, as to outstanding Options, take any of the following actions: (i) make appropriate provision for the continuation of such Options by substituting on an equitable basis for the Shares then subject to such Options either the consideration payable with respect to the outstanding shares of Common Stock in connection with the Corporate Transaction or securities of any successor or acquiring entity; or (ii) upon written notice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to the Participants, provide that such Options must be exercised (either (A) to the extent then exercisable or (B) at the discretion of the Administrator, any such Options being made partially or fully exercisable for purposes of this Subparagraph), within a specified number of days of the date of such notice, at the end of which period such Options which have not been exercised shall terminate; or (iii) terminate such Options in exchange for payment of an amount equal to the consideration payable upon consummation of such Corporate Transaction to a holder of the number of shares of Common Stock into which such Option would have been exercisable (either (A) to the extent then exercisable or, (B) at the discretion of the Administrator, any such Options being made partially or fully exercisable for purposes of this Subparagraph) </w:t>
      </w:r>
      <w:r>
        <w:rPr>
          <w:rFonts w:ascii="Times New Roman" w:cs="Times New Roman" w:eastAsia="Times New Roman" w:hAnsi="Times New Roman"/>
          <w:sz w:val="20"/>
          <w:szCs w:val="20"/>
          <w:u w:val="single" w:color="auto"/>
          <w:color w:val="auto"/>
        </w:rPr>
        <w:t>less the aggregate</w:t>
      </w:r>
      <w:r>
        <w:rPr>
          <w:rFonts w:ascii="Times New Roman" w:cs="Times New Roman" w:eastAsia="Times New Roman" w:hAnsi="Times New Roman"/>
          <w:sz w:val="20"/>
          <w:szCs w:val="20"/>
          <w:color w:val="auto"/>
        </w:rPr>
        <w:t xml:space="preserve"> exercise price thereof. For purposes of determining the payments to be made pursuant to Subclause (iii) above, in the case of a Corporate Transaction the consideration for which, in whole or in part, is other than cash, the consideration other than cash shall be valued at the fair value thereof as determined in good faith by the Board of Directors. For the avoidance of doubt, if the per share exercise price of an Option or portion thereof is equal to or greater than the Fair Market Value of one Share of Common Stock, such Option may be cancelled with no payment due hereunder or otherwise in respect thereof.</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With respect to outstanding Stock Grants or Stock-Based Awards, including Restricted Stock Unit Awards, the Administrator or the Successor Board, shall make appropriate provision for the continuation of such Stock Grants or Stock-Based Awards on the same terms and conditions by substituting on an equitable basis for the Shares then subject to such Stock Grants or Stock-Based Awards either the consideration payable with respect to the outstanding Shares of Common Stock in connection with the Corporate Transaction or securities of any successor or acquiring entity. In lieu of the foregoing, in connection with any Corporate Transaction, the Administrator may provide that, upon consummation of the Corporate Transaction, each outstanding Stock Grant or Stock-Based Award shall be terminated in exchange for payment of an amount equal to the consideration payable upon consummation of such Corporate Transaction to a holder of the number of shares of Common Stock comprising such Stock Grant or Stock-Based Award (to the extent such Stock Grant or Stock-Based Award is no longer subject to any vesting, forfeiture or repurchase rights then in effect or, at the discretion of the Administrator, all vesting, forfeiture and repurchase rights being waived). For the avoidance of doubt, if the purchase or base price of a Stock Grant or Stock-Based Award or portion thereof is equal to or greater than the Fair Market Value of one Share of Common Stock, such Stock Grant or Stock-Based Award, as applicable, may be cancelled with no payment due hereunder or otherwise in respect thereof.</w:t>
      </w:r>
    </w:p>
    <w:p>
      <w:pPr>
        <w:spacing w:after="0" w:line="20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 taking any of the actions permitted under this Paragraph 25(b), the Administrator shall not be obligated by the Plan to treat all Stock Rights, all Stock Rights held by a Participant, or all Stock Rights of the same type, identically.</w:t>
      </w:r>
    </w:p>
    <w:p>
      <w:pPr>
        <w:spacing w:after="0" w:line="17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A Stock Right may be subject to additional acceleration of vesting and exercisability upon or after a Change of Control as may be provided in the Agreement for such Stock Right, in any other written agreement between the Company or any Affiliate and the Participant or in any director compensation policy of the Company.</w:t>
      </w:r>
    </w:p>
    <w:p>
      <w:pPr>
        <w:sectPr>
          <w:pgSz w:w="11900" w:h="16838" w:orient="portrait"/>
          <w:cols w:equalWidth="0" w:num="1">
            <w:col w:w="11240"/>
          </w:cols>
          <w:pgMar w:left="320" w:top="1399" w:right="339" w:bottom="1440" w:gutter="0" w:footer="0" w:header="0"/>
        </w:sectPr>
      </w:pPr>
    </w:p>
    <w:bookmarkStart w:id="28" w:name="page29"/>
    <w:bookmarkEnd w:id="28"/>
    <w:p>
      <w:pPr>
        <w:jc w:val="both"/>
        <w:ind w:firstLine="656"/>
        <w:spacing w:after="0" w:line="220" w:lineRule="auto"/>
        <w:tabs>
          <w:tab w:leader="none" w:pos="128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Recapitalization or Reorganization</w:t>
      </w:r>
      <w:r>
        <w:rPr>
          <w:rFonts w:ascii="Times New Roman" w:cs="Times New Roman" w:eastAsia="Times New Roman" w:hAnsi="Times New Roman"/>
          <w:sz w:val="20"/>
          <w:szCs w:val="20"/>
          <w:color w:val="auto"/>
        </w:rPr>
        <w:t>. In the event of a recapitalization or reorganization of the Company other than a Corporate Transaction pursuant to which securities of the Company or of another corporation are issued with respect to the outstanding shares of Common Stock, a Participant upon exercising an Option or accepting a Stock Grant after the recapitalization or reorganization shall be entitled to receive for the price paid upon such exercise or acceptance if any, the number of replacement securities which would have been received if such Option had been exercised or Stock Grant accepted prior to such recapitalization or reorganization.</w:t>
      </w:r>
    </w:p>
    <w:p>
      <w:pPr>
        <w:spacing w:after="0" w:line="147" w:lineRule="exact"/>
        <w:rPr>
          <w:rFonts w:ascii="Times New Roman" w:cs="Times New Roman" w:eastAsia="Times New Roman" w:hAnsi="Times New Roman"/>
          <w:sz w:val="20"/>
          <w:szCs w:val="20"/>
          <w:color w:val="auto"/>
        </w:rPr>
      </w:pPr>
    </w:p>
    <w:p>
      <w:pPr>
        <w:jc w:val="both"/>
        <w:ind w:firstLine="656"/>
        <w:spacing w:after="0" w:line="222" w:lineRule="auto"/>
        <w:tabs>
          <w:tab w:leader="none" w:pos="128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Adjustments to Stock-Based Awards</w:t>
      </w:r>
      <w:r>
        <w:rPr>
          <w:rFonts w:ascii="Times New Roman" w:cs="Times New Roman" w:eastAsia="Times New Roman" w:hAnsi="Times New Roman"/>
          <w:sz w:val="20"/>
          <w:szCs w:val="20"/>
          <w:color w:val="auto"/>
        </w:rPr>
        <w:t>. Upon the happening of any of the events described in Subparagraphs (a), (b) or (c) above, any outstanding Stock Right shall be appropriately adjusted to reflect the events described in such Subparagraphs. The Administrator or the Successor Board shall determine the specific adjustments to be made under this Paragraph 25, including, but not limited to the effect of any, Corporate Transaction and Change of Control and, subject to Paragraph 4, its determination shall be conclusive.</w:t>
      </w:r>
    </w:p>
    <w:p>
      <w:pPr>
        <w:spacing w:after="0" w:line="161" w:lineRule="exact"/>
        <w:rPr>
          <w:rFonts w:ascii="Times New Roman" w:cs="Times New Roman" w:eastAsia="Times New Roman" w:hAnsi="Times New Roman"/>
          <w:sz w:val="20"/>
          <w:szCs w:val="20"/>
          <w:color w:val="auto"/>
        </w:rPr>
      </w:pPr>
    </w:p>
    <w:p>
      <w:pPr>
        <w:jc w:val="both"/>
        <w:ind w:firstLine="656"/>
        <w:spacing w:after="0" w:line="220" w:lineRule="auto"/>
        <w:tabs>
          <w:tab w:leader="none" w:pos="128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Awards upon Consummation of Corporate Transaction</w:t>
      </w:r>
      <w:r>
        <w:rPr>
          <w:rFonts w:ascii="Times New Roman" w:cs="Times New Roman" w:eastAsia="Times New Roman" w:hAnsi="Times New Roman"/>
          <w:sz w:val="20"/>
          <w:szCs w:val="20"/>
          <w:color w:val="auto"/>
        </w:rPr>
        <w:t>. Except as the Administrator may otherwise determine, each Stock Right will automatically terminate (and in the case of outstanding Shares of restricted Common Stock, will automatically be forfeited) immediately upon the consummation of a Corporate Transaction, other than (i) any award that is assumed, continued or substituted pursuant to Paragraph 25(b) above, and (ii) any cash award that by its terms, or as a result of action taken by the Administrator, continues following the consummation of the Corporate Transaction.</w:t>
      </w:r>
    </w:p>
    <w:p>
      <w:pPr>
        <w:spacing w:after="0" w:line="147" w:lineRule="exact"/>
        <w:rPr>
          <w:sz w:val="20"/>
          <w:szCs w:val="20"/>
          <w:color w:val="auto"/>
        </w:rPr>
      </w:pPr>
    </w:p>
    <w:p>
      <w:pPr>
        <w:ind w:left="1300" w:hanging="644"/>
        <w:spacing w:after="0"/>
        <w:tabs>
          <w:tab w:leader="none" w:pos="13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ISSUANCES OF SECURITIES.</w:t>
      </w:r>
    </w:p>
    <w:p>
      <w:pPr>
        <w:spacing w:after="0" w:line="189" w:lineRule="exact"/>
        <w:rPr>
          <w:sz w:val="20"/>
          <w:szCs w:val="20"/>
          <w:color w:val="auto"/>
        </w:rPr>
      </w:pPr>
    </w:p>
    <w:p>
      <w:pPr>
        <w:jc w:val="both"/>
        <w:ind w:firstLine="656"/>
        <w:spacing w:after="0" w:line="222" w:lineRule="auto"/>
        <w:tabs>
          <w:tab w:leader="none" w:pos="128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provided herein, no issuance by the Company of shares of stock of any class, or securities convertible into shares of stock of any class, shall affect, and no adjustment by reason thereof shall be made with respect to, the number or price of shares subject to Stock Rights. Except as expressly provided herein, no adjustments shall be made for dividends paid in cash or in property (including without limitation, securities) of the Company prior to any issuance of Shares pursuant to a Stock Right.</w:t>
      </w:r>
    </w:p>
    <w:p>
      <w:pPr>
        <w:spacing w:after="0" w:line="148" w:lineRule="exact"/>
        <w:rPr>
          <w:rFonts w:ascii="Times New Roman" w:cs="Times New Roman" w:eastAsia="Times New Roman" w:hAnsi="Times New Roman"/>
          <w:sz w:val="20"/>
          <w:szCs w:val="20"/>
          <w:color w:val="auto"/>
        </w:rPr>
      </w:pPr>
    </w:p>
    <w:p>
      <w:pPr>
        <w:jc w:val="both"/>
        <w:ind w:firstLine="656"/>
        <w:spacing w:after="0" w:line="212" w:lineRule="auto"/>
        <w:tabs>
          <w:tab w:leader="none" w:pos="128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not be obligated to issue any Shares pursuant to the Plan or to remove any restriction from Shares previously issued under the Plan until: (i) the Company is satisfied that all legal matters in connection with the issuance of such Shares have been addressed and resolved; (ii) if the outstanding Shares is at the time of issuance listed on any stock exchange or national market system, the Shares to be issued have been listed or authorized to be listed on such exchange or system upon official notice of issuance; and (iii) all conditions of the award have been satisfied or waived. The Company may require, as a condition to the exercise of an award or the issuance of Shares under an award, such representations or agreements as counsel for the Company may consider appropriate to avoid violation of the Securities Act, as amended, or any applicable state or non-U.S. securities law. Any Shares issued under the Plan will be evidenced in such manner as the Administrator determines appropriate, including book-entry registration or delivery of stock certificates. In the event that the Administrator determines that stock certificates will be issued in connection with Shares issued under the Plan, the Administrator may require that such certificates bear an appropriate legend reflecting any restriction on transfer applicable to such Stock, and the Company may hold the certificates pending the lapse of the applicable restrictions.</w:t>
      </w:r>
    </w:p>
    <w:p>
      <w:pPr>
        <w:spacing w:after="0" w:line="168" w:lineRule="exact"/>
        <w:rPr>
          <w:sz w:val="20"/>
          <w:szCs w:val="20"/>
          <w:color w:val="auto"/>
        </w:rPr>
      </w:pPr>
    </w:p>
    <w:p>
      <w:pPr>
        <w:ind w:left="1300" w:hanging="644"/>
        <w:spacing w:after="0"/>
        <w:tabs>
          <w:tab w:leader="none" w:pos="13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FRACTIONAL SHARES.</w:t>
      </w:r>
    </w:p>
    <w:p>
      <w:pPr>
        <w:spacing w:after="0" w:line="189"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No fractional shares shall be issued under the Plan and the Participant shall receive from the Company cash in lieu of such fractional shares equal to the Fair Market Value thereof.</w:t>
      </w:r>
    </w:p>
    <w:p>
      <w:pPr>
        <w:sectPr>
          <w:pgSz w:w="11900" w:h="16838" w:orient="portrait"/>
          <w:cols w:equalWidth="0" w:num="1">
            <w:col w:w="11240"/>
          </w:cols>
          <w:pgMar w:left="320" w:top="1399" w:right="339" w:bottom="1440" w:gutter="0" w:footer="0" w:header="0"/>
        </w:sectPr>
      </w:pPr>
    </w:p>
    <w:bookmarkStart w:id="29" w:name="page30"/>
    <w:bookmarkEnd w:id="29"/>
    <w:p>
      <w:pPr>
        <w:ind w:left="1300" w:hanging="644"/>
        <w:spacing w:after="0"/>
        <w:tabs>
          <w:tab w:leader="none" w:pos="13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p>
    <w:p>
      <w:pPr>
        <w:spacing w:after="0" w:line="189"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0"/>
          <w:szCs w:val="20"/>
          <w:color w:val="auto"/>
        </w:rPr>
        <w:t>In the event that any federal, state, or local income taxes, employment taxes, Federal Insurance Contributions Act withholdings or other amounts are required by applicable law or governmental regulation to be withheld from the Participant’s salary, wages or other</w:t>
      </w:r>
    </w:p>
    <w:p>
      <w:pPr>
        <w:spacing w:after="0" w:line="224" w:lineRule="auto"/>
        <w:rPr>
          <w:sz w:val="20"/>
          <w:szCs w:val="20"/>
          <w:color w:val="auto"/>
        </w:rPr>
      </w:pPr>
      <w:r>
        <w:rPr>
          <w:rFonts w:ascii="Times New Roman" w:cs="Times New Roman" w:eastAsia="Times New Roman" w:hAnsi="Times New Roman"/>
          <w:sz w:val="19"/>
          <w:szCs w:val="19"/>
          <w:color w:val="auto"/>
        </w:rPr>
        <w:t>remuneration in connection with the issuance of a Stock Right or Shares under the Plan or for any other reason required by law, the Company</w:t>
      </w:r>
    </w:p>
    <w:p>
      <w:pPr>
        <w:spacing w:after="0" w:line="215" w:lineRule="auto"/>
        <w:rPr>
          <w:sz w:val="20"/>
          <w:szCs w:val="20"/>
          <w:color w:val="auto"/>
        </w:rPr>
      </w:pPr>
      <w:r>
        <w:rPr>
          <w:rFonts w:ascii="Times New Roman" w:cs="Times New Roman" w:eastAsia="Times New Roman" w:hAnsi="Times New Roman"/>
          <w:sz w:val="19"/>
          <w:szCs w:val="19"/>
          <w:color w:val="auto"/>
        </w:rPr>
        <w:t>may withhold from the Participant’s compensation, if any, or may require that the Participant advance in cash to the Company, or to any Affiliate of the Company which employs or employed the Participant, the statutory minimum amount of such withholdings unless a different</w:t>
      </w:r>
    </w:p>
    <w:p>
      <w:pPr>
        <w:spacing w:after="0" w:line="211" w:lineRule="auto"/>
        <w:rPr>
          <w:sz w:val="20"/>
          <w:szCs w:val="20"/>
          <w:color w:val="auto"/>
        </w:rPr>
      </w:pPr>
      <w:r>
        <w:rPr>
          <w:rFonts w:ascii="Times New Roman" w:cs="Times New Roman" w:eastAsia="Times New Roman" w:hAnsi="Times New Roman"/>
          <w:sz w:val="20"/>
          <w:szCs w:val="20"/>
          <w:color w:val="auto"/>
        </w:rPr>
        <w:t>withholding arrangement, including the use of shares of the Company’s Common Stock or a promissory note, is authorized by the</w:t>
      </w:r>
    </w:p>
    <w:p>
      <w:pPr>
        <w:spacing w:after="0" w:line="204" w:lineRule="auto"/>
        <w:rPr>
          <w:sz w:val="20"/>
          <w:szCs w:val="20"/>
          <w:color w:val="auto"/>
        </w:rPr>
      </w:pPr>
      <w:r>
        <w:rPr>
          <w:rFonts w:ascii="Times New Roman" w:cs="Times New Roman" w:eastAsia="Times New Roman" w:hAnsi="Times New Roman"/>
          <w:sz w:val="20"/>
          <w:szCs w:val="20"/>
          <w:color w:val="auto"/>
        </w:rPr>
        <w:t>Administrator (and permitted by law). For purposes hereof, the fair market value of the shares withheld for purposes of payroll withholding shall be determined in the manner set forth under the definition of Fair Market Value provided in Paragraph 1 above, as of the most recent</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practicable date. If the Fair Market Value of the shares withheld is less than the amount of payroll withholdings required, the Participant may be required to advance the difference in cash to the Company or the Affiliate employer.</w:t>
      </w:r>
    </w:p>
    <w:p>
      <w:pPr>
        <w:spacing w:after="0" w:line="149" w:lineRule="exact"/>
        <w:rPr>
          <w:sz w:val="20"/>
          <w:szCs w:val="20"/>
          <w:color w:val="auto"/>
        </w:rPr>
      </w:pPr>
    </w:p>
    <w:p>
      <w:pPr>
        <w:ind w:left="1300" w:hanging="644"/>
        <w:spacing w:after="0"/>
        <w:tabs>
          <w:tab w:leader="none" w:pos="13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THE PLAN.</w:t>
      </w:r>
    </w:p>
    <w:p>
      <w:pPr>
        <w:spacing w:after="0" w:line="198"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9"/>
          <w:szCs w:val="19"/>
          <w:color w:val="auto"/>
        </w:rPr>
        <w:t xml:space="preserve">The Plan will terminate on March 26, 2036, the date which is ten years from the </w:t>
      </w:r>
      <w:r>
        <w:rPr>
          <w:rFonts w:ascii="Times New Roman" w:cs="Times New Roman" w:eastAsia="Times New Roman" w:hAnsi="Times New Roman"/>
          <w:sz w:val="19"/>
          <w:szCs w:val="19"/>
          <w:i w:val="1"/>
          <w:iCs w:val="1"/>
          <w:color w:val="auto"/>
        </w:rPr>
        <w:t>earlier</w:t>
      </w:r>
      <w:r>
        <w:rPr>
          <w:rFonts w:ascii="Times New Roman" w:cs="Times New Roman" w:eastAsia="Times New Roman" w:hAnsi="Times New Roman"/>
          <w:sz w:val="19"/>
          <w:szCs w:val="19"/>
          <w:color w:val="auto"/>
        </w:rPr>
        <w:t xml:space="preserve"> of the date of its adoption by the Board of Directors and the date of its approval by the shareholders of the Company. The Plan may be terminated at an earlier date by vote of the shareholders or the Board of Directors of the Company; provided, however, that any such earlier termination shall not affect any Agreements executed prior to the effective date of such termination. Termination of the Plan shall not affect any Stock Rights theretofore granted.</w:t>
      </w:r>
    </w:p>
    <w:p>
      <w:pPr>
        <w:spacing w:after="0" w:line="139" w:lineRule="exact"/>
        <w:rPr>
          <w:sz w:val="20"/>
          <w:szCs w:val="20"/>
          <w:color w:val="auto"/>
        </w:rPr>
      </w:pPr>
    </w:p>
    <w:p>
      <w:pPr>
        <w:ind w:left="1300" w:hanging="644"/>
        <w:spacing w:after="0"/>
        <w:tabs>
          <w:tab w:leader="none" w:pos="130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OF THE PLAN AND AGREEMENTS.</w:t>
      </w:r>
    </w:p>
    <w:p>
      <w:pPr>
        <w:spacing w:after="0" w:line="20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Plan may be amended by the shareholders of the Company. The Plan may also be amended by the Administrator; provided that any amendment approved by the Administrator which the Administrator determines is of a scope that requires shareholder approval shall be subject to obtaining such shareholder approval including, without limitation, to the extent necessary to qualify any or all outstanding Stock Rights granted under the Plan or Stock Rights to be granted under the Plan for favorable federal income tax treatment as may be afforded ISOs under Section 422 and to the extent necessary to qualify the Shares issuable under the Plan for listing on any national securities exchange or quotation in any national automated quotation system of securities dealers. Any modification or amendment of the Plan shall not, without the consent of a Participant, adversely affect his or her rights under a Stock Right previously granted to such Participant, unless such amendment is required by applicable law or necessary to preserve the economic value of such Stock Right. With the consent of the Participant affected, the Administrator may amend outstanding Agreements in a manner which may be adverse to such Participant but which is not inconsistent with the Plan. In the discretion of the Administrator, outstanding Agreements may be amended by the Administrator in a manner which is not adverse to the Participant. Nothing in this Paragraph 30 shall limit the Administrator’s authority to take any action permitted pursuant to Paragraph 25.</w:t>
      </w:r>
    </w:p>
    <w:p>
      <w:pPr>
        <w:spacing w:after="0" w:line="188" w:lineRule="exact"/>
        <w:rPr>
          <w:sz w:val="20"/>
          <w:szCs w:val="20"/>
          <w:color w:val="auto"/>
        </w:rPr>
      </w:pPr>
    </w:p>
    <w:p>
      <w:pPr>
        <w:ind w:left="1300" w:hanging="644"/>
        <w:spacing w:after="0"/>
        <w:tabs>
          <w:tab w:leader="none" w:pos="13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EMPLOYMENT OR OTHER RELATIONSHIP.</w:t>
      </w:r>
    </w:p>
    <w:p>
      <w:pPr>
        <w:spacing w:after="0" w:line="20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Nothing in this Plan or any Agreement shall be deemed to prevent the Company or an Affiliate from terminating the employment, consultancy or director status of a Participant, nor to prevent a Participant from terminating his or her own employment, consultancy or director status or to give any Participant a right to be retained in employment or other service by the Company or any Affiliate for any period of time.</w:t>
      </w:r>
    </w:p>
    <w:p>
      <w:pPr>
        <w:sectPr>
          <w:pgSz w:w="11900" w:h="16838" w:orient="portrait"/>
          <w:cols w:equalWidth="0" w:num="1">
            <w:col w:w="11240"/>
          </w:cols>
          <w:pgMar w:left="320" w:top="1399" w:right="339" w:bottom="1440" w:gutter="0" w:footer="0" w:header="0"/>
        </w:sectPr>
      </w:pPr>
    </w:p>
    <w:bookmarkStart w:id="30" w:name="page31"/>
    <w:bookmarkEnd w:id="30"/>
    <w:p>
      <w:pPr>
        <w:ind w:left="1300" w:hanging="644"/>
        <w:spacing w:after="0"/>
        <w:tabs>
          <w:tab w:leader="none" w:pos="130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 AND SECTION 422.</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Company intends that the Plan and any Stock Rights granted hereunder be exempt from or comply with Section 409A, to the extent applicable. The Company intends that ISOs comply with Section 422, to the extent applicable. Any ambiguities in the Plan or any Stock Right shall be construed to effect the intent as described in this Paragraph 32.</w:t>
      </w:r>
    </w:p>
    <w:p>
      <w:pPr>
        <w:spacing w:after="0" w:line="1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If a Participant is a “specified employee” as defined in Section 409A (and as applied according to procedures of the Company and its Affiliates) as of such Participant’s separation from service, to the extent any payment under this Plan or pursuant to a Stock Right constitutes non-exempt deferred compensation under Section 409A that is being paid by reason of the separation from service, no payments due under this Plan or pursuant to a Stock Right may be made until the earlier of: (i) the first day of the seventh month following the Participant’s separation from service, or (ii) the Participant’s date of death; provided, however, that any payments delayed during this six-month period shall be paid in the aggregate in a lump sum, without interest, on the first day of the seventh month following the Participant’s separation from service.</w:t>
      </w:r>
    </w:p>
    <w:p>
      <w:pPr>
        <w:spacing w:after="0" w:line="19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Administrator shall administer the Plan with a view toward ensuring that Stock Rights under the Plan that are subject to Section 409A or Section 422, as applicable comply with the requirements thereof and that Options under the Plan be exempt from the requirements of Section 409A or compliant with Section 422, as applicable, but neither the Administrator nor any member of the Board of Directors, nor the Company nor any of its Affiliates, nor any other person acting hereunder on behalf of the Company, the Administrator or the Board of Directors shall be liable to a Participant or any Survivor by reason of the acceleration of any income, or the imposition of any additional tax or penalty, with respect to a Stock Right, whether by reason of a failure to satisfy the requirements of Section 409A or Section 422 or otherwise.</w:t>
      </w:r>
    </w:p>
    <w:p>
      <w:pPr>
        <w:spacing w:after="0" w:line="179" w:lineRule="exact"/>
        <w:rPr>
          <w:sz w:val="20"/>
          <w:szCs w:val="20"/>
          <w:color w:val="auto"/>
        </w:rPr>
      </w:pPr>
    </w:p>
    <w:p>
      <w:pPr>
        <w:ind w:left="1300" w:hanging="644"/>
        <w:spacing w:after="0"/>
        <w:tabs>
          <w:tab w:leader="none" w:pos="130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INDEMNITY.</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Neither the Board of Directors nor the Administrator, nor any members of either, nor any employees of the Company or any parent, subsidiary, or other Affiliate, shall be liable for any act, omission, interpretation, construction or determination made in good faith in connection with their responsibilities with respect to this Plan, and the Company hereby agrees to indemnify the members of the Board of Directors, the members of the Committee, and the employees of the Company and its parent or subsidiaries in respect of any claim, loss, damage, or expense (including reasonable counsel fees) arising from any such act, omission, interpretation, construction or determination to the full extent permitted by law.</w:t>
      </w:r>
    </w:p>
    <w:p>
      <w:pPr>
        <w:spacing w:after="0" w:line="179" w:lineRule="exact"/>
        <w:rPr>
          <w:sz w:val="20"/>
          <w:szCs w:val="20"/>
          <w:color w:val="auto"/>
        </w:rPr>
      </w:pPr>
    </w:p>
    <w:p>
      <w:pPr>
        <w:ind w:left="1300" w:hanging="644"/>
        <w:spacing w:after="0"/>
        <w:tabs>
          <w:tab w:leader="none" w:pos="130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CLAWBACK.</w:t>
      </w:r>
    </w:p>
    <w:p>
      <w:pPr>
        <w:spacing w:after="0" w:line="20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Notwithstanding anything to the contrary contained in this Plan, the Company may recover from a Participant any compensation received from any Stock Right (whether or not settled) or cause a Participant to forfeit any Stock Right (whether or not vested) in the event that the Company’s Clawback Policy as then in effect is triggered.</w:t>
      </w:r>
    </w:p>
    <w:p>
      <w:pPr>
        <w:spacing w:after="0" w:line="154" w:lineRule="exact"/>
        <w:rPr>
          <w:sz w:val="20"/>
          <w:szCs w:val="20"/>
          <w:color w:val="auto"/>
        </w:rPr>
      </w:pPr>
    </w:p>
    <w:p>
      <w:pPr>
        <w:ind w:left="1300" w:hanging="644"/>
        <w:spacing w:after="0"/>
        <w:tabs>
          <w:tab w:leader="none" w:pos="130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Plan shall be construed and enforced in accordance with the law of the State of Delaware.</w:t>
      </w:r>
    </w:p>
    <w:p>
      <w:pPr>
        <w:sectPr>
          <w:pgSz w:w="11900" w:h="16838" w:orient="portrait"/>
          <w:cols w:equalWidth="0" w:num="1">
            <w:col w:w="11240"/>
          </w:cols>
          <w:pgMar w:left="320" w:top="1399" w:right="339" w:bottom="1440" w:gutter="0" w:footer="0" w:header="0"/>
        </w:sectPr>
      </w:pPr>
    </w:p>
    <w:bookmarkStart w:id="31" w:name="page32"/>
    <w:bookmarkEnd w:id="31"/>
    <w:p>
      <w:pPr>
        <w:ind w:left="1300" w:hanging="644"/>
        <w:spacing w:after="0"/>
        <w:tabs>
          <w:tab w:leader="none" w:pos="130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p>
    <w:p>
      <w:pPr>
        <w:spacing w:after="0" w:line="202"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By accepting or being deemed to have accepted an award under the Plan, each Participant waives (or will be deemed to have waived), to the maximum extent permitted under applicable law, any right to a trial by jury in any action, proceeding or counterclaim concerning any rights under the Plan or any award, or under any amendment, waiver, consent, instrument, document or other agreement delivered or which in the future may be delivered in connection therewith, and agrees (or will be deemed to have agreed) that any such action, proceedings or counterclaim will be tried before a court and not before a jury. By accepting or being deemed to have accepted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any dispute arising under the terms of the Plan or any ward to binding arbitration or as limiting the ability of the Company to require any individual to agree to submit such disputes to binding arbitration as a condition of receiving an award hereunder.</w:t>
      </w:r>
    </w:p>
    <w:p>
      <w:pPr>
        <w:spacing w:after="0" w:line="166" w:lineRule="exact"/>
        <w:rPr>
          <w:sz w:val="20"/>
          <w:szCs w:val="20"/>
          <w:color w:val="auto"/>
        </w:rPr>
      </w:pPr>
    </w:p>
    <w:p>
      <w:pPr>
        <w:ind w:left="1300" w:hanging="644"/>
        <w:spacing w:after="0"/>
        <w:tabs>
          <w:tab w:leader="none" w:pos="130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UNFUNDED OBLIGATIONS.</w:t>
      </w:r>
    </w:p>
    <w:p>
      <w:pPr>
        <w:spacing w:after="0" w:line="18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20"/>
          <w:szCs w:val="20"/>
          <w:color w:val="auto"/>
        </w:rPr>
        <w:t>The Company’s obligations under the Plan are unfunded, and no Participant will have any right to specific assets of the Company in respect of any award under the Plan. Participants will be general unsecured creditors of the Company with respect to any amounts due or payable under the Plan.</w:t>
      </w:r>
    </w:p>
    <w:sectPr>
      <w:pgSz w:w="11900" w:h="16838" w:orient="portrait"/>
      <w:cols w:equalWidth="0" w:num="1">
        <w:col w:w="11240"/>
      </w:cols>
      <w:pgMar w:left="320" w:top="13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1."/>
      <w:numFmt w:val="decimal"/>
      <w:start w:val="1"/>
    </w:lvl>
  </w:abstractNum>
  <w:abstractNum w:abstractNumId="2">
    <w:nsid w:val="2A487CB0"/>
    <w:multiLevelType w:val="hybridMultilevel"/>
    <w:lvl w:ilvl="0">
      <w:lvlJc w:val="left"/>
      <w:lvlText w:val="(%1)"/>
      <w:numFmt w:val="lowerLetter"/>
      <w:start w:val="1"/>
    </w:lvl>
  </w:abstractNum>
  <w:abstractNum w:abstractNumId="3">
    <w:nsid w:val="1D4ED43B"/>
    <w:multiLevelType w:val="hybridMultilevel"/>
    <w:lvl w:ilvl="0">
      <w:lvlJc w:val="left"/>
      <w:lvlText w:val="%1."/>
      <w:numFmt w:val="decimal"/>
      <w:start w:val="3"/>
    </w:lvl>
  </w:abstractNum>
  <w:abstractNum w:abstractNumId="4">
    <w:nsid w:val="725A06FB"/>
    <w:multiLevelType w:val="hybridMultilevel"/>
    <w:lvl w:ilvl="0">
      <w:lvlJc w:val="left"/>
      <w:lvlText w:val="(%1)"/>
      <w:numFmt w:val="lowerLetter"/>
      <w:start w:val="1"/>
    </w:lvl>
  </w:abstractNum>
  <w:abstractNum w:abstractNumId="5">
    <w:nsid w:val="2CD89A32"/>
    <w:multiLevelType w:val="hybridMultilevel"/>
    <w:lvl w:ilvl="0">
      <w:lvlJc w:val="left"/>
      <w:lvlText w:val="%1."/>
      <w:numFmt w:val="decimal"/>
      <w:start w:val="4"/>
    </w:lvl>
  </w:abstractNum>
  <w:abstractNum w:abstractNumId="6">
    <w:nsid w:val="57E4CCAF"/>
    <w:multiLevelType w:val="hybridMultilevel"/>
    <w:lvl w:ilvl="0">
      <w:lvlJc w:val="left"/>
      <w:lvlText w:val="(%1)"/>
      <w:numFmt w:val="lowerLetter"/>
      <w:start w:val="1"/>
    </w:lvl>
  </w:abstractNum>
  <w:abstractNum w:abstractNumId="7">
    <w:nsid w:val="7A6D8D3C"/>
    <w:multiLevelType w:val="hybridMultilevel"/>
    <w:lvl w:ilvl="0">
      <w:lvlJc w:val="left"/>
      <w:lvlText w:val="%1."/>
      <w:numFmt w:val="decimal"/>
      <w:start w:val="6"/>
    </w:lvl>
  </w:abstractNum>
  <w:abstractNum w:abstractNumId="8">
    <w:nsid w:val="4B588F54"/>
    <w:multiLevelType w:val="hybridMultilevel"/>
    <w:lvl w:ilvl="0">
      <w:lvlJc w:val="left"/>
      <w:lvlText w:val="(%1)"/>
      <w:numFmt w:val="lowerLetter"/>
      <w:start w:val="1"/>
    </w:lvl>
  </w:abstractNum>
  <w:abstractNum w:abstractNumId="9">
    <w:nsid w:val="542289EC"/>
    <w:multiLevelType w:val="hybridMultilevel"/>
    <w:lvl w:ilvl="0">
      <w:lvlJc w:val="left"/>
      <w:lvlText w:val="%1."/>
      <w:numFmt w:val="decimal"/>
      <w:start w:val="7"/>
    </w:lvl>
  </w:abstractNum>
  <w:abstractNum w:abstractNumId="10">
    <w:nsid w:val="6DE91B18"/>
    <w:multiLevelType w:val="hybridMultilevel"/>
    <w:lvl w:ilvl="0">
      <w:lvlJc w:val="left"/>
      <w:lvlText w:val="(%1)"/>
      <w:numFmt w:val="lowerLetter"/>
      <w:start w:val="1"/>
    </w:lvl>
  </w:abstractNum>
  <w:abstractNum w:abstractNumId="11">
    <w:nsid w:val="38437FDB"/>
    <w:multiLevelType w:val="hybridMultilevel"/>
    <w:lvl w:ilvl="0">
      <w:lvlJc w:val="left"/>
      <w:lvlText w:val="%1."/>
      <w:numFmt w:val="decimal"/>
      <w:start w:val="8"/>
    </w:lvl>
  </w:abstractNum>
  <w:abstractNum w:abstractNumId="12">
    <w:nsid w:val="7644A45C"/>
    <w:multiLevelType w:val="hybridMultilevel"/>
    <w:lvl w:ilvl="0">
      <w:lvlJc w:val="left"/>
      <w:lvlText w:val="(%1)"/>
      <w:numFmt w:val="lowerLetter"/>
      <w:start w:val="1"/>
    </w:lvl>
  </w:abstractNum>
  <w:abstractNum w:abstractNumId="13">
    <w:nsid w:val="32FFF902"/>
    <w:multiLevelType w:val="hybridMultilevel"/>
    <w:lvl w:ilvl="0">
      <w:lvlJc w:val="left"/>
      <w:lvlText w:val="%1."/>
      <w:numFmt w:val="decimal"/>
      <w:start w:val="11"/>
    </w:lvl>
  </w:abstractNum>
  <w:abstractNum w:abstractNumId="14">
    <w:nsid w:val="684A481A"/>
    <w:multiLevelType w:val="hybridMultilevel"/>
    <w:lvl w:ilvl="0">
      <w:lvlJc w:val="left"/>
      <w:lvlText w:val="%1."/>
      <w:numFmt w:val="decimal"/>
      <w:start w:val="12"/>
    </w:lvl>
  </w:abstractNum>
  <w:abstractNum w:abstractNumId="15">
    <w:nsid w:val="579478FE"/>
    <w:multiLevelType w:val="hybridMultilevel"/>
    <w:lvl w:ilvl="0">
      <w:lvlJc w:val="left"/>
      <w:lvlText w:val="(%1)"/>
      <w:numFmt w:val="lowerLetter"/>
      <w:start w:val="1"/>
    </w:lvl>
  </w:abstractNum>
  <w:abstractNum w:abstractNumId="16">
    <w:nsid w:val="749ABB43"/>
    <w:multiLevelType w:val="hybridMultilevel"/>
    <w:lvl w:ilvl="0">
      <w:lvlJc w:val="left"/>
      <w:lvlText w:val="%1."/>
      <w:numFmt w:val="decimal"/>
      <w:start w:val="13"/>
    </w:lvl>
  </w:abstractNum>
  <w:abstractNum w:abstractNumId="17">
    <w:nsid w:val="3DC240FB"/>
    <w:multiLevelType w:val="hybridMultilevel"/>
    <w:lvl w:ilvl="0">
      <w:lvlJc w:val="left"/>
      <w:lvlText w:val="(%1)"/>
      <w:numFmt w:val="lowerLetter"/>
      <w:start w:val="1"/>
    </w:lvl>
  </w:abstractNum>
  <w:abstractNum w:abstractNumId="18">
    <w:nsid w:val="1BA026FA"/>
    <w:multiLevelType w:val="hybridMultilevel"/>
    <w:lvl w:ilvl="0">
      <w:lvlJc w:val="left"/>
      <w:lvlText w:val="%1."/>
      <w:numFmt w:val="decimal"/>
      <w:start w:val="15"/>
    </w:lvl>
  </w:abstractNum>
  <w:abstractNum w:abstractNumId="19">
    <w:nsid w:val="79A1DEAA"/>
    <w:multiLevelType w:val="hybridMultilevel"/>
    <w:lvl w:ilvl="0">
      <w:lvlJc w:val="left"/>
      <w:lvlText w:val="%1."/>
      <w:numFmt w:val="decimal"/>
      <w:start w:val="19"/>
    </w:lvl>
  </w:abstractNum>
  <w:abstractNum w:abstractNumId="20">
    <w:nsid w:val="75C6C33A"/>
    <w:multiLevelType w:val="hybridMultilevel"/>
    <w:lvl w:ilvl="0">
      <w:lvlJc w:val="left"/>
      <w:lvlText w:val="(%1)"/>
      <w:numFmt w:val="lowerLetter"/>
      <w:start w:val="1"/>
    </w:lvl>
  </w:abstractNum>
  <w:abstractNum w:abstractNumId="21">
    <w:nsid w:val="12E685FB"/>
    <w:multiLevelType w:val="hybridMultilevel"/>
    <w:lvl w:ilvl="0">
      <w:lvlJc w:val="left"/>
      <w:lvlText w:val="%1."/>
      <w:numFmt w:val="decimal"/>
      <w:start w:val="20"/>
    </w:lvl>
  </w:abstractNum>
  <w:abstractNum w:abstractNumId="22">
    <w:nsid w:val="70C6A529"/>
    <w:multiLevelType w:val="hybridMultilevel"/>
    <w:lvl w:ilvl="0">
      <w:lvlJc w:val="left"/>
      <w:lvlText w:val="%1."/>
      <w:numFmt w:val="decimal"/>
      <w:start w:val="22"/>
    </w:lvl>
  </w:abstractNum>
  <w:abstractNum w:abstractNumId="23">
    <w:nsid w:val="520EEDD1"/>
    <w:multiLevelType w:val="hybridMultilevel"/>
    <w:lvl w:ilvl="0">
      <w:lvlJc w:val="left"/>
      <w:lvlText w:val="%1."/>
      <w:numFmt w:val="decimal"/>
      <w:start w:val="1"/>
    </w:lvl>
  </w:abstractNum>
  <w:abstractNum w:abstractNumId="24">
    <w:nsid w:val="374A3FE6"/>
    <w:multiLevelType w:val="hybridMultilevel"/>
    <w:lvl w:ilvl="0">
      <w:lvlJc w:val="left"/>
      <w:lvlText w:val="%1."/>
      <w:numFmt w:val="decimal"/>
      <w:start w:val="2"/>
    </w:lvl>
  </w:abstractNum>
  <w:abstractNum w:abstractNumId="25">
    <w:nsid w:val="4F4EF005"/>
    <w:multiLevelType w:val="hybridMultilevel"/>
    <w:lvl w:ilvl="0">
      <w:lvlJc w:val="left"/>
      <w:lvlText w:val="%1."/>
      <w:numFmt w:val="decimal"/>
      <w:start w:val="3"/>
    </w:lvl>
  </w:abstractNum>
  <w:abstractNum w:abstractNumId="26">
    <w:nsid w:val="23F9C13C"/>
    <w:multiLevelType w:val="hybridMultilevel"/>
    <w:lvl w:ilvl="0">
      <w:lvlJc w:val="left"/>
      <w:lvlText w:val="(%1)"/>
      <w:numFmt w:val="lowerLetter"/>
      <w:start w:val="1"/>
    </w:lvl>
  </w:abstractNum>
  <w:abstractNum w:abstractNumId="27">
    <w:nsid w:val="649BB77C"/>
    <w:multiLevelType w:val="hybridMultilevel"/>
    <w:lvl w:ilvl="0">
      <w:lvlJc w:val="left"/>
      <w:lvlText w:val="(%1)"/>
      <w:numFmt w:val="lowerLetter"/>
      <w:start w:val="2"/>
    </w:lvl>
  </w:abstractNum>
  <w:abstractNum w:abstractNumId="28">
    <w:nsid w:val="275AC794"/>
    <w:multiLevelType w:val="hybridMultilevel"/>
    <w:lvl w:ilvl="0">
      <w:lvlJc w:val="left"/>
      <w:lvlText w:val="%1."/>
      <w:numFmt w:val="decimal"/>
      <w:start w:val="4"/>
    </w:lvl>
  </w:abstractNum>
  <w:abstractNum w:abstractNumId="29">
    <w:nsid w:val="39386575"/>
    <w:multiLevelType w:val="hybridMultilevel"/>
    <w:lvl w:ilvl="0">
      <w:lvlJc w:val="left"/>
      <w:lvlText w:val="(%1)"/>
      <w:numFmt w:val="lowerLetter"/>
      <w:start w:val="1"/>
    </w:lvl>
  </w:abstractNum>
  <w:abstractNum w:abstractNumId="30">
    <w:nsid w:val="1CF10FD8"/>
    <w:multiLevelType w:val="hybridMultilevel"/>
    <w:lvl w:ilvl="0">
      <w:lvlJc w:val="left"/>
      <w:lvlText w:val="(%1)"/>
      <w:numFmt w:val="lowerLetter"/>
      <w:start w:val="4"/>
    </w:lvl>
  </w:abstractNum>
  <w:abstractNum w:abstractNumId="31">
    <w:nsid w:val="180115BE"/>
    <w:multiLevelType w:val="hybridMultilevel"/>
    <w:lvl w:ilvl="0">
      <w:lvlJc w:val="left"/>
      <w:lvlText w:val="%1."/>
      <w:numFmt w:val="decimal"/>
      <w:start w:val="5"/>
    </w:lvl>
  </w:abstractNum>
  <w:abstractNum w:abstractNumId="32">
    <w:nsid w:val="235BA861"/>
    <w:multiLevelType w:val="hybridMultilevel"/>
    <w:lvl w:ilvl="0">
      <w:lvlJc w:val="left"/>
      <w:lvlText w:val="%1."/>
      <w:numFmt w:val="decimal"/>
      <w:start w:val="6"/>
    </w:lvl>
  </w:abstractNum>
  <w:abstractNum w:abstractNumId="33">
    <w:nsid w:val="47398C89"/>
    <w:multiLevelType w:val="hybridMultilevel"/>
    <w:lvl w:ilvl="0">
      <w:lvlJc w:val="left"/>
      <w:lvlText w:val="(%1)"/>
      <w:numFmt w:val="lowerLetter"/>
      <w:start w:val="1"/>
    </w:lvl>
  </w:abstractNum>
  <w:abstractNum w:abstractNumId="34">
    <w:nsid w:val="354FE9F9"/>
    <w:multiLevelType w:val="hybridMultilevel"/>
    <w:lvl w:ilvl="0">
      <w:lvlJc w:val="left"/>
      <w:lvlText w:val="(%1)"/>
      <w:numFmt w:val="lowerRoman"/>
      <w:start w:val="1"/>
    </w:lvl>
    <w:lvl w:ilvl="1">
      <w:lvlJc w:val="left"/>
      <w:lvlText w:val="%2."/>
      <w:numFmt w:val="upperLetter"/>
      <w:start w:val="1"/>
    </w:lvl>
  </w:abstractNum>
  <w:abstractNum w:abstractNumId="35">
    <w:nsid w:val="15B5AF5C"/>
    <w:multiLevelType w:val="hybridMultilevel"/>
    <w:lvl w:ilvl="0">
      <w:lvlJc w:val="left"/>
      <w:lvlText w:val="(%1)"/>
      <w:numFmt w:val="lowerRoman"/>
      <w:start w:val="5"/>
    </w:lvl>
  </w:abstractNum>
  <w:abstractNum w:abstractNumId="36">
    <w:nsid w:val="741226BB"/>
    <w:multiLevelType w:val="hybridMultilevel"/>
    <w:lvl w:ilvl="0">
      <w:lvlJc w:val="left"/>
      <w:lvlText w:val="(%1)"/>
      <w:numFmt w:val="lowerLetter"/>
      <w:start w:val="2"/>
    </w:lvl>
  </w:abstractNum>
  <w:abstractNum w:abstractNumId="37">
    <w:nsid w:val="D34B6A8"/>
    <w:multiLevelType w:val="hybridMultilevel"/>
    <w:lvl w:ilvl="0">
      <w:lvlJc w:val="left"/>
      <w:lvlText w:val="(%1)"/>
      <w:numFmt w:val="lowerRoman"/>
      <w:start w:val="1"/>
    </w:lvl>
    <w:lvl w:ilvl="1">
      <w:lvlJc w:val="left"/>
      <w:lvlText w:val="%2."/>
      <w:numFmt w:val="upperLetter"/>
      <w:start w:val="1"/>
    </w:lvl>
  </w:abstractNum>
  <w:abstractNum w:abstractNumId="38">
    <w:nsid w:val="10233C99"/>
    <w:multiLevelType w:val="hybridMultilevel"/>
    <w:lvl w:ilvl="0">
      <w:lvlJc w:val="left"/>
      <w:lvlText w:val="(%1)"/>
      <w:numFmt w:val="lowerLetter"/>
      <w:start w:val="3"/>
    </w:lvl>
  </w:abstractNum>
  <w:abstractNum w:abstractNumId="39">
    <w:nsid w:val="3F6AB60F"/>
    <w:multiLevelType w:val="hybridMultilevel"/>
    <w:lvl w:ilvl="0">
      <w:lvlJc w:val="left"/>
      <w:lvlText w:val="%1."/>
      <w:numFmt w:val="decimal"/>
      <w:start w:val="7"/>
    </w:lvl>
  </w:abstractNum>
  <w:abstractNum w:abstractNumId="40">
    <w:nsid w:val="61574095"/>
    <w:multiLevelType w:val="hybridMultilevel"/>
    <w:lvl w:ilvl="0">
      <w:lvlJc w:val="left"/>
      <w:lvlText w:val="(%1)"/>
      <w:numFmt w:val="lowerLetter"/>
      <w:start w:val="1"/>
    </w:lvl>
  </w:abstractNum>
  <w:abstractNum w:abstractNumId="41">
    <w:nsid w:val="7E0C57B1"/>
    <w:multiLevelType w:val="hybridMultilevel"/>
    <w:lvl w:ilvl="0">
      <w:lvlJc w:val="left"/>
      <w:lvlText w:val="%1."/>
      <w:numFmt w:val="decimal"/>
      <w:start w:val="8"/>
    </w:lvl>
  </w:abstractNum>
  <w:abstractNum w:abstractNumId="42">
    <w:nsid w:val="77AE35EB"/>
    <w:multiLevelType w:val="hybridMultilevel"/>
    <w:lvl w:ilvl="0">
      <w:lvlJc w:val="left"/>
      <w:lvlText w:val="%1."/>
      <w:numFmt w:val="decimal"/>
      <w:start w:val="9"/>
    </w:lvl>
  </w:abstractNum>
  <w:abstractNum w:abstractNumId="43">
    <w:nsid w:val="579BE4F1"/>
    <w:multiLevelType w:val="hybridMultilevel"/>
    <w:lvl w:ilvl="0">
      <w:lvlJc w:val="left"/>
      <w:lvlText w:val="%1."/>
      <w:numFmt w:val="decimal"/>
      <w:start w:val="10"/>
    </w:lvl>
  </w:abstractNum>
  <w:abstractNum w:abstractNumId="44">
    <w:nsid w:val="310C50B3"/>
    <w:multiLevelType w:val="hybridMultilevel"/>
    <w:lvl w:ilvl="0">
      <w:lvlJc w:val="left"/>
      <w:lvlText w:val="%1."/>
      <w:numFmt w:val="decimal"/>
      <w:start w:val="11"/>
    </w:lvl>
  </w:abstractNum>
  <w:abstractNum w:abstractNumId="45">
    <w:nsid w:val="5FF87E05"/>
    <w:multiLevelType w:val="hybridMultilevel"/>
    <w:lvl w:ilvl="0">
      <w:lvlJc w:val="left"/>
      <w:lvlText w:val="%1."/>
      <w:numFmt w:val="decimal"/>
      <w:start w:val="12"/>
    </w:lvl>
  </w:abstractNum>
  <w:abstractNum w:abstractNumId="46">
    <w:nsid w:val="2F305DEF"/>
    <w:multiLevelType w:val="hybridMultilevel"/>
    <w:lvl w:ilvl="0">
      <w:lvlJc w:val="left"/>
      <w:lvlText w:val="%1."/>
      <w:numFmt w:val="decimal"/>
      <w:start w:val="13"/>
    </w:lvl>
  </w:abstractNum>
  <w:abstractNum w:abstractNumId="47">
    <w:nsid w:val="25A70BF7"/>
    <w:multiLevelType w:val="hybridMultilevel"/>
    <w:lvl w:ilvl="0">
      <w:lvlJc w:val="left"/>
      <w:lvlText w:val="%1."/>
      <w:numFmt w:val="decimal"/>
      <w:start w:val="14"/>
    </w:lvl>
  </w:abstractNum>
  <w:abstractNum w:abstractNumId="48">
    <w:nsid w:val="1DBABF00"/>
    <w:multiLevelType w:val="hybridMultilevel"/>
    <w:lvl w:ilvl="0">
      <w:lvlJc w:val="left"/>
      <w:lvlText w:val="(%1)"/>
      <w:numFmt w:val="lowerLetter"/>
      <w:start w:val="1"/>
    </w:lvl>
  </w:abstractNum>
  <w:abstractNum w:abstractNumId="49">
    <w:nsid w:val="4AD084E9"/>
    <w:multiLevelType w:val="hybridMultilevel"/>
    <w:lvl w:ilvl="0">
      <w:lvlJc w:val="left"/>
      <w:lvlText w:val="%1."/>
      <w:numFmt w:val="decimal"/>
      <w:start w:val="15"/>
    </w:lvl>
  </w:abstractNum>
  <w:abstractNum w:abstractNumId="50">
    <w:nsid w:val="1F48EAA1"/>
    <w:multiLevelType w:val="hybridMultilevel"/>
    <w:lvl w:ilvl="0">
      <w:lvlJc w:val="left"/>
      <w:lvlText w:val="(%1)"/>
      <w:numFmt w:val="lowerLetter"/>
      <w:start w:val="1"/>
    </w:lvl>
  </w:abstractNum>
  <w:abstractNum w:abstractNumId="51">
    <w:nsid w:val="1381823A"/>
    <w:multiLevelType w:val="hybridMultilevel"/>
    <w:lvl w:ilvl="0">
      <w:lvlJc w:val="left"/>
      <w:lvlText w:val="(%1)"/>
      <w:numFmt w:val="lowerLetter"/>
      <w:start w:val="2"/>
    </w:lvl>
  </w:abstractNum>
  <w:abstractNum w:abstractNumId="52">
    <w:nsid w:val="5DB70AE5"/>
    <w:multiLevelType w:val="hybridMultilevel"/>
    <w:lvl w:ilvl="0">
      <w:lvlJc w:val="left"/>
      <w:lvlText w:val="%1."/>
      <w:numFmt w:val="decimal"/>
      <w:start w:val="16"/>
    </w:lvl>
  </w:abstractNum>
  <w:abstractNum w:abstractNumId="53">
    <w:nsid w:val="100F8FCA"/>
    <w:multiLevelType w:val="hybridMultilevel"/>
    <w:lvl w:ilvl="0">
      <w:lvlJc w:val="left"/>
      <w:lvlText w:val="(%1)"/>
      <w:numFmt w:val="lowerLetter"/>
      <w:start w:val="1"/>
    </w:lvl>
  </w:abstractNum>
  <w:abstractNum w:abstractNumId="54">
    <w:nsid w:val="6590700B"/>
    <w:multiLevelType w:val="hybridMultilevel"/>
    <w:lvl w:ilvl="0">
      <w:lvlJc w:val="left"/>
      <w:lvlText w:val="%1."/>
      <w:numFmt w:val="decimal"/>
      <w:start w:val="17"/>
    </w:lvl>
  </w:abstractNum>
  <w:abstractNum w:abstractNumId="55">
    <w:nsid w:val="15014ACB"/>
    <w:multiLevelType w:val="hybridMultilevel"/>
    <w:lvl w:ilvl="0">
      <w:lvlJc w:val="left"/>
      <w:lvlText w:val="(%1)"/>
      <w:numFmt w:val="lowerLetter"/>
      <w:start w:val="1"/>
    </w:lvl>
  </w:abstractNum>
  <w:abstractNum w:abstractNumId="56">
    <w:nsid w:val="5F5E7FD0"/>
    <w:multiLevelType w:val="hybridMultilevel"/>
    <w:lvl w:ilvl="0">
      <w:lvlJc w:val="left"/>
      <w:lvlText w:val="%1."/>
      <w:numFmt w:val="decimal"/>
      <w:start w:val="18"/>
    </w:lvl>
  </w:abstractNum>
  <w:abstractNum w:abstractNumId="57">
    <w:nsid w:val="98A3148"/>
    <w:multiLevelType w:val="hybridMultilevel"/>
    <w:lvl w:ilvl="0">
      <w:lvlJc w:val="left"/>
      <w:lvlText w:val="%1."/>
      <w:numFmt w:val="decimal"/>
      <w:start w:val="19"/>
    </w:lvl>
  </w:abstractNum>
  <w:abstractNum w:abstractNumId="58">
    <w:nsid w:val="799D0247"/>
    <w:multiLevelType w:val="hybridMultilevel"/>
    <w:lvl w:ilvl="0">
      <w:lvlJc w:val="left"/>
      <w:lvlText w:val="%1."/>
      <w:numFmt w:val="decimal"/>
      <w:start w:val="20"/>
    </w:lvl>
  </w:abstractNum>
  <w:abstractNum w:abstractNumId="59">
    <w:nsid w:val="6B94764"/>
    <w:multiLevelType w:val="hybridMultilevel"/>
    <w:lvl w:ilvl="0">
      <w:lvlJc w:val="left"/>
      <w:lvlText w:val="(%1)"/>
      <w:numFmt w:val="lowerLetter"/>
      <w:start w:val="1"/>
    </w:lvl>
  </w:abstractNum>
  <w:abstractNum w:abstractNumId="60">
    <w:nsid w:val="42C296BD"/>
    <w:multiLevelType w:val="hybridMultilevel"/>
    <w:lvl w:ilvl="0">
      <w:lvlJc w:val="left"/>
      <w:lvlText w:val="%1."/>
      <w:numFmt w:val="decimal"/>
      <w:start w:val="21"/>
    </w:lvl>
  </w:abstractNum>
  <w:abstractNum w:abstractNumId="61">
    <w:nsid w:val="168E121F"/>
    <w:multiLevelType w:val="hybridMultilevel"/>
    <w:lvl w:ilvl="0">
      <w:lvlJc w:val="left"/>
      <w:lvlText w:val="%1."/>
      <w:numFmt w:val="decimal"/>
      <w:start w:val="22"/>
    </w:lvl>
  </w:abstractNum>
  <w:abstractNum w:abstractNumId="62">
    <w:nsid w:val="1EBA5D23"/>
    <w:multiLevelType w:val="hybridMultilevel"/>
    <w:lvl w:ilvl="0">
      <w:lvlJc w:val="left"/>
      <w:lvlText w:val="%1."/>
      <w:numFmt w:val="decimal"/>
      <w:start w:val="23"/>
    </w:lvl>
  </w:abstractNum>
  <w:abstractNum w:abstractNumId="63">
    <w:nsid w:val="661E3F1E"/>
    <w:multiLevelType w:val="hybridMultilevel"/>
    <w:lvl w:ilvl="0">
      <w:lvlJc w:val="left"/>
      <w:lvlText w:val="(%1)"/>
      <w:numFmt w:val="lowerLetter"/>
      <w:start w:val="1"/>
    </w:lvl>
  </w:abstractNum>
  <w:abstractNum w:abstractNumId="64">
    <w:nsid w:val="5DC79EA8"/>
    <w:multiLevelType w:val="hybridMultilevel"/>
    <w:lvl w:ilvl="0">
      <w:lvlJc w:val="left"/>
      <w:lvlText w:val="%1."/>
      <w:numFmt w:val="decimal"/>
      <w:start w:val="24"/>
    </w:lvl>
  </w:abstractNum>
  <w:abstractNum w:abstractNumId="65">
    <w:nsid w:val="540A471C"/>
    <w:multiLevelType w:val="hybridMultilevel"/>
    <w:lvl w:ilvl="0">
      <w:lvlJc w:val="left"/>
      <w:lvlText w:val="%1."/>
      <w:numFmt w:val="decimal"/>
      <w:start w:val="25"/>
    </w:lvl>
  </w:abstractNum>
  <w:abstractNum w:abstractNumId="66">
    <w:nsid w:val="7BD3EE7B"/>
    <w:multiLevelType w:val="hybridMultilevel"/>
    <w:lvl w:ilvl="0">
      <w:lvlJc w:val="left"/>
      <w:lvlText w:val="(%1)"/>
      <w:numFmt w:val="lowerLetter"/>
      <w:start w:val="1"/>
    </w:lvl>
  </w:abstractNum>
  <w:abstractNum w:abstractNumId="67">
    <w:nsid w:val="51D9C564"/>
    <w:multiLevelType w:val="hybridMultilevel"/>
    <w:lvl w:ilvl="0">
      <w:lvlJc w:val="left"/>
      <w:lvlText w:val="(%1)"/>
      <w:numFmt w:val="lowerRoman"/>
      <w:start w:val="1"/>
    </w:lvl>
  </w:abstractNum>
  <w:abstractNum w:abstractNumId="68">
    <w:nsid w:val="613EFDC5"/>
    <w:multiLevelType w:val="hybridMultilevel"/>
    <w:lvl w:ilvl="0">
      <w:lvlJc w:val="left"/>
      <w:lvlText w:val="(%1)"/>
      <w:numFmt w:val="lowerLetter"/>
      <w:start w:val="2"/>
    </w:lvl>
  </w:abstractNum>
  <w:abstractNum w:abstractNumId="69">
    <w:nsid w:val="BF72B14"/>
    <w:multiLevelType w:val="hybridMultilevel"/>
    <w:lvl w:ilvl="0">
      <w:lvlJc w:val="left"/>
      <w:lvlText w:val="(%1)"/>
      <w:numFmt w:val="lowerLetter"/>
      <w:start w:val="3"/>
    </w:lvl>
  </w:abstractNum>
  <w:abstractNum w:abstractNumId="70">
    <w:nsid w:val="11447B73"/>
    <w:multiLevelType w:val="hybridMultilevel"/>
    <w:lvl w:ilvl="0">
      <w:lvlJc w:val="left"/>
      <w:lvlText w:val="%1."/>
      <w:numFmt w:val="decimal"/>
      <w:start w:val="26"/>
    </w:lvl>
  </w:abstractNum>
  <w:abstractNum w:abstractNumId="71">
    <w:nsid w:val="42963E5A"/>
    <w:multiLevelType w:val="hybridMultilevel"/>
    <w:lvl w:ilvl="0">
      <w:lvlJc w:val="left"/>
      <w:lvlText w:val="(%1)"/>
      <w:numFmt w:val="lowerLetter"/>
      <w:start w:val="1"/>
    </w:lvl>
  </w:abstractNum>
  <w:abstractNum w:abstractNumId="72">
    <w:nsid w:val="A0382C5"/>
    <w:multiLevelType w:val="hybridMultilevel"/>
    <w:lvl w:ilvl="0">
      <w:lvlJc w:val="left"/>
      <w:lvlText w:val="%1."/>
      <w:numFmt w:val="decimal"/>
      <w:start w:val="27"/>
    </w:lvl>
  </w:abstractNum>
  <w:abstractNum w:abstractNumId="73">
    <w:nsid w:val="8F2B15E"/>
    <w:multiLevelType w:val="hybridMultilevel"/>
    <w:lvl w:ilvl="0">
      <w:lvlJc w:val="left"/>
      <w:lvlText w:val="%1."/>
      <w:numFmt w:val="decimal"/>
      <w:start w:val="28"/>
    </w:lvl>
  </w:abstractNum>
  <w:abstractNum w:abstractNumId="74">
    <w:nsid w:val="1A32234B"/>
    <w:multiLevelType w:val="hybridMultilevel"/>
    <w:lvl w:ilvl="0">
      <w:lvlJc w:val="left"/>
      <w:lvlText w:val="%1."/>
      <w:numFmt w:val="decimal"/>
      <w:start w:val="29"/>
    </w:lvl>
  </w:abstractNum>
  <w:abstractNum w:abstractNumId="75">
    <w:nsid w:val="3B0FD379"/>
    <w:multiLevelType w:val="hybridMultilevel"/>
    <w:lvl w:ilvl="0">
      <w:lvlJc w:val="left"/>
      <w:lvlText w:val="%1."/>
      <w:numFmt w:val="decimal"/>
      <w:start w:val="30"/>
    </w:lvl>
  </w:abstractNum>
  <w:abstractNum w:abstractNumId="76">
    <w:nsid w:val="68EB2F63"/>
    <w:multiLevelType w:val="hybridMultilevel"/>
    <w:lvl w:ilvl="0">
      <w:lvlJc w:val="left"/>
      <w:lvlText w:val="%1."/>
      <w:numFmt w:val="decimal"/>
      <w:start w:val="31"/>
    </w:lvl>
  </w:abstractNum>
  <w:abstractNum w:abstractNumId="77">
    <w:nsid w:val="4962813B"/>
    <w:multiLevelType w:val="hybridMultilevel"/>
    <w:lvl w:ilvl="0">
      <w:lvlJc w:val="left"/>
      <w:lvlText w:val="%1."/>
      <w:numFmt w:val="decimal"/>
      <w:start w:val="32"/>
    </w:lvl>
  </w:abstractNum>
  <w:abstractNum w:abstractNumId="78">
    <w:nsid w:val="60B6DF70"/>
    <w:multiLevelType w:val="hybridMultilevel"/>
    <w:lvl w:ilvl="0">
      <w:lvlJc w:val="left"/>
      <w:lvlText w:val="%1."/>
      <w:numFmt w:val="decimal"/>
      <w:start w:val="33"/>
    </w:lvl>
  </w:abstractNum>
  <w:abstractNum w:abstractNumId="79">
    <w:nsid w:val="6A5EE64"/>
    <w:multiLevelType w:val="hybridMultilevel"/>
    <w:lvl w:ilvl="0">
      <w:lvlJc w:val="left"/>
      <w:lvlText w:val="%1."/>
      <w:numFmt w:val="decimal"/>
      <w:start w:val="34"/>
    </w:lvl>
  </w:abstractNum>
  <w:abstractNum w:abstractNumId="80">
    <w:nsid w:val="14330624"/>
    <w:multiLevelType w:val="hybridMultilevel"/>
    <w:lvl w:ilvl="0">
      <w:lvlJc w:val="left"/>
      <w:lvlText w:val="%1."/>
      <w:numFmt w:val="decimal"/>
      <w:start w:val="35"/>
    </w:lvl>
  </w:abstractNum>
  <w:abstractNum w:abstractNumId="81">
    <w:nsid w:val="7FFFCA11"/>
    <w:multiLevelType w:val="hybridMultilevel"/>
    <w:lvl w:ilvl="0">
      <w:lvlJc w:val="left"/>
      <w:lvlText w:val="%1."/>
      <w:numFmt w:val="decimal"/>
      <w:start w:val="36"/>
    </w:lvl>
  </w:abstractNum>
  <w:abstractNum w:abstractNumId="82">
    <w:nsid w:val="1A27709E"/>
    <w:multiLevelType w:val="hybridMultilevel"/>
    <w:lvl w:ilvl="0">
      <w:lvlJc w:val="left"/>
      <w:lvlText w:val="%1."/>
      <w:numFmt w:val="decimal"/>
      <w:start w:val="3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2026-06-04T15:12:21Z</dcterms:created>
  <dcterms:modified xsi:type="dcterms:W3CDTF">2026-06-04T15:12:21Z</dcterms:modified>
</cp:coreProperties>
</file>