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MYRIAD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62855J104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62855J104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GLENVIEW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4,941,058.00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4,941,058.00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4,941,058.00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62855J104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ROBBINS LARRY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4,941,058.00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4,941,058.00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4,941,058.00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MYRIAD GENETICS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322 North 2200 West, Salt Lake City, Utah, 84116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9" w:lineRule="auto"/>
        <w:rPr>
          <w:sz w:val="20"/>
          <w:szCs w:val="20"/>
          <w:color w:val="auto"/>
        </w:rPr>
      </w:pPr>
      <w:r>
        <w:rPr>
          <w:rFonts w:ascii="Times New Roman" w:cs="Times New Roman" w:eastAsia="Times New Roman" w:hAnsi="Times New Roman"/>
          <w:sz w:val="21"/>
          <w:szCs w:val="21"/>
          <w:color w:val="auto"/>
        </w:rPr>
        <w:t>This Statement is filed on behalf of each of the following persons (collectively, the "Reporting Persons"): i. Glenview Capital Management, LLC ("Glenview Capital Management") ii. Larry Robbins ("Mr. Robbins"). This Statement relates to shares of Common Stock, par value $0.01 per share ("Shares") held for the accounts of Glenview Capital</w:t>
      </w:r>
    </w:p>
    <w:p>
      <w:pPr>
        <w:spacing w:after="0" w:line="1" w:lineRule="exact"/>
        <w:rPr>
          <w:sz w:val="20"/>
          <w:szCs w:val="20"/>
          <w:color w:val="auto"/>
        </w:rPr>
      </w:pPr>
    </w:p>
    <w:p>
      <w:pPr>
        <w:ind w:left="920" w:right="4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Master Fund, Ltd., a Cayman Islands exempted company ("Glenview Capital Master Fund"), Glenview Offshore Opportunity Master Fund, Ltd., a Cayman Islands exempted company ("Glenview Offshore Opportunity Master Fund"), and Glenview Healthcare Master Fund, L.P., a Cayman Islands limited partnership ("Glenview Healthcare Master Fund"). Glenview Capital Management serves as investment manager to each of Glenview Capital Master Fund, Glenview Offshore Opportunity Master Fund and Glenview Healthcare Master Fund. Mr. Robbins is the Chief Executive Officer of Glenview Capital Management.</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3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520 Madison Avenue, 33rd Floor, New York, New York 10022.</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2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Glenview Capital Management is a Delaware limited liability company ii. Mr. Robbins is a citizen of the United States of America.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62855J104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60" w:top="111" w:right="459" w:bottom="0" w:gutter="0" w:footer="0" w:header="0"/>
        </w:sectPr>
      </w:pPr>
    </w:p>
    <w:bookmarkStart w:id="3" w:name="page4"/>
    <w:bookmarkEnd w:id="3"/>
    <w:p>
      <w:pPr>
        <w:ind w:left="920" w:right="140"/>
        <w:spacing w:after="0"/>
        <w:rPr>
          <w:sz w:val="20"/>
          <w:szCs w:val="20"/>
          <w:color w:val="auto"/>
        </w:rPr>
      </w:pPr>
      <w:r>
        <w:rPr>
          <w:rFonts w:ascii="Times New Roman" w:cs="Times New Roman" w:eastAsia="Times New Roman" w:hAnsi="Times New Roman"/>
          <w:sz w:val="22"/>
          <w:szCs w:val="22"/>
          <w:color w:val="auto"/>
        </w:rPr>
        <w:t>As of January 12, 2026, each of the Reporting Persons may be deemed the beneficial owner of 4,941,058 Shares. This amount consists of: (A) 1,886,965 Shares held for the account of Glenview Capital Master Fund; (B) 2,791,657 Shares held for the account of Glenview Offshore Opportunity Master Fund; and (C) 262,436 Shares held for the account of Glenview Healthcare Master Fund.</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12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January 12, 2026, each of the Reporting Persons may be deemed the beneficial owner of approximately 5.30% of the Shares outstanding. (There were 93,213,722 Shares outstanding as of October 31, 2025, based on the Issuer's quarterly report on Form 10-Q filed on November 4, 2025.)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4,941,058.00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4,941,058.00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disclosure in Item 2 hereof.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2" w:right="399" w:bottom="0" w:gutter="0" w:footer="0" w:header="0"/>
          <w:type w:val="continuous"/>
        </w:sectPr>
      </w:pPr>
    </w:p>
    <w:bookmarkStart w:id="4" w:name="page5"/>
    <w:bookmarkEnd w:id="4"/>
    <w:p>
      <w:pPr>
        <w:jc w:val="right"/>
        <w:ind w:right="1960"/>
        <w:spacing w:after="0"/>
        <w:rPr>
          <w:sz w:val="20"/>
          <w:szCs w:val="20"/>
          <w:color w:val="auto"/>
        </w:rPr>
      </w:pPr>
      <w:r>
        <w:rPr>
          <w:rFonts w:ascii="Times New Roman" w:cs="Times New Roman" w:eastAsia="Times New Roman" w:hAnsi="Times New Roman"/>
          <w:sz w:val="22"/>
          <w:szCs w:val="22"/>
          <w:color w:val="auto"/>
        </w:rPr>
        <w:t>GLENVIEW CAPITAL MANAGEMENT, LLC</w:t>
      </w:r>
    </w:p>
    <w:p>
      <w:pPr>
        <w:spacing w:after="0" w:line="153"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J. Horowitz</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Mark J. Horowitz, Co-President</w:t>
      </w:r>
    </w:p>
    <w:p>
      <w:pPr>
        <w:spacing w:after="0" w:line="44"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ROBBINS LARRY</w:t>
      </w:r>
    </w:p>
    <w:p>
      <w:pPr>
        <w:spacing w:after="0" w:line="152" w:lineRule="exact"/>
        <w:rPr>
          <w:sz w:val="20"/>
          <w:szCs w:val="20"/>
          <w:color w:val="auto"/>
        </w:rPr>
      </w:pPr>
    </w:p>
    <w:tbl>
      <w:tblPr>
        <w:tblLayout w:type="fixed"/>
        <w:tblInd w:w="566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3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Mark J. Horowitz</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38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Mark J. Horowitz, attorney-in-fact for Larry</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Robbins</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01/13/2026</w:t>
            </w:r>
          </w:p>
        </w:tc>
        <w:tc>
          <w:tcPr>
            <w:tcW w:w="0" w:type="dxa"/>
            <w:vAlign w:val="bottom"/>
          </w:tcPr>
          <w:p>
            <w:pPr>
              <w:spacing w:after="0"/>
              <w:rPr>
                <w:sz w:val="1"/>
                <w:szCs w:val="1"/>
                <w:color w:val="auto"/>
              </w:rPr>
            </w:pPr>
          </w:p>
        </w:tc>
      </w:tr>
    </w:tbl>
    <w:p>
      <w:pPr>
        <w:spacing w:after="0" w:line="78" w:lineRule="exact"/>
        <w:rPr>
          <w:sz w:val="20"/>
          <w:szCs w:val="20"/>
          <w:color w:val="auto"/>
        </w:rPr>
      </w:pPr>
    </w:p>
    <w:p>
      <w:pPr>
        <w:jc w:val="center"/>
        <w:ind w:right="51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Filing Agreement Exhibit 2: Power of Attorney</w:t>
      </w:r>
    </w:p>
    <w:p>
      <w:pPr>
        <w:sectPr>
          <w:pgSz w:w="11900" w:h="16838" w:orient="portrait"/>
          <w:cols w:equalWidth="0" w:num="1">
            <w:col w:w="10560"/>
          </w:cols>
          <w:pgMar w:left="360" w:top="112" w:right="9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Common Stock of Myriad Genetics, Inc. dated as of January 13, 2026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7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GLENVIEW CAPITAL MANAGEMENT, LLC</w:t>
      </w:r>
    </w:p>
    <w:p>
      <w:pPr>
        <w:spacing w:after="0" w:line="229" w:lineRule="exact"/>
        <w:rPr>
          <w:sz w:val="20"/>
          <w:szCs w:val="20"/>
          <w:color w:val="auto"/>
        </w:rPr>
      </w:pPr>
    </w:p>
    <w:p>
      <w:pPr>
        <w:ind w:left="53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28645" cy="1714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Mark J. Horowitz</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Co-President of Glenview Capital Management, LLC</w:t>
      </w:r>
    </w:p>
    <w:p>
      <w:pPr>
        <w:spacing w:after="0" w:line="20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LARRY ROBBINS</w:t>
      </w:r>
    </w:p>
    <w:p>
      <w:pPr>
        <w:spacing w:after="0" w:line="229" w:lineRule="exact"/>
        <w:rPr>
          <w:sz w:val="20"/>
          <w:szCs w:val="20"/>
          <w:color w:val="auto"/>
        </w:rPr>
      </w:pPr>
    </w:p>
    <w:p>
      <w:pPr>
        <w:ind w:left="53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28645" cy="1714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Mark J. Horowitz, attorney-in-fact for Larry Robbins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2026</w:t>
      </w:r>
    </w:p>
    <w:p>
      <w:pPr>
        <w:sectPr>
          <w:pgSz w:w="11900" w:h="16838" w:orient="portrait"/>
          <w:cols w:equalWidth="0" w:num="1">
            <w:col w:w="11240"/>
          </w:cols>
          <w:pgMar w:left="320" w:top="54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KNOW ALL MEN BY THESE PRESENT, that I, Larry Robbins, hereby make, constitute and appoint Mark J. Horowitz, acting individually, as my agent and attorney-in-fact for the purpose of executing in my name, (a) in my personal capacity or (b) in my capacity as Chief Executive Officer or in other capacities of Glenview Capital Management, LLC, a Delaware limited liability company, and each of its affiliates or entities advised or controlled by me or Glenview Capital Management,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United States Securities and Exchange Commission (the “SEC”) pursuant to the Securities Act of 1933, as amended, or the Securities and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and (2) any information statements on Form 13F required to be filed with the SEC pursuant to Section 13(f) of the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past acts of the attorney-in-fact in furtherance of the foregoing are hereby ratified and confirmed.</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This Power of Attorney revokes the previous Power of Attorney, executed by the undersigned on February 10, 2009, and shall remain in effect until revoked, in writing, by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this 2nd day of February,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Larry Robbins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Robbins</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2026-01-13T15:49:08Z</dcterms:created>
  <dcterms:modified xsi:type="dcterms:W3CDTF">2026-01-13T15:49:08Z</dcterms:modified>
</cp:coreProperties>
</file>