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26,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beginning on August 9, 2021, two purported shareholder derivative complaints were filed with the Court of Chancery of the State of Delaware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against Myriad Genetics,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as nominal defendant, and certain of the Company’s current and/or former directors and officers. On March 3, 2022, the cases were consolidated under the caption </w:t>
      </w:r>
      <w:r>
        <w:rPr>
          <w:rFonts w:ascii="Times New Roman" w:cs="Times New Roman" w:eastAsia="Times New Roman" w:hAnsi="Times New Roman"/>
          <w:sz w:val="18"/>
          <w:szCs w:val="18"/>
          <w:i w:val="1"/>
          <w:iCs w:val="1"/>
          <w:color w:val="auto"/>
        </w:rPr>
        <w:t>In re Myriad Genetics, Inc. Stockholder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Case No. 2021-0686-SG (the “</w:t>
      </w:r>
      <w:r>
        <w:rPr>
          <w:rFonts w:ascii="Times New Roman" w:cs="Times New Roman" w:eastAsia="Times New Roman" w:hAnsi="Times New Roman"/>
          <w:sz w:val="18"/>
          <w:szCs w:val="18"/>
          <w:b w:val="1"/>
          <w:bCs w:val="1"/>
          <w:i w:val="1"/>
          <w:iCs w:val="1"/>
          <w:color w:val="auto"/>
        </w:rPr>
        <w:t>Derivative Action</w:t>
      </w:r>
      <w:r>
        <w:rPr>
          <w:rFonts w:ascii="Times New Roman" w:cs="Times New Roman" w:eastAsia="Times New Roman" w:hAnsi="Times New Roman"/>
          <w:sz w:val="18"/>
          <w:szCs w:val="18"/>
          <w:color w:val="auto"/>
        </w:rPr>
        <w:t>”). During the same period, a purported stockholder derivative complaint against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certain current and/or former directors and officers of the Company was filed with the United States District Court for the District of Delaware, captioned </w:t>
      </w:r>
      <w:r>
        <w:rPr>
          <w:rFonts w:ascii="Times New Roman" w:cs="Times New Roman" w:eastAsia="Times New Roman" w:hAnsi="Times New Roman"/>
          <w:sz w:val="18"/>
          <w:szCs w:val="18"/>
          <w:i w:val="1"/>
          <w:iCs w:val="1"/>
          <w:color w:val="auto"/>
        </w:rPr>
        <w:t>Marcey v. Capone, et al.</w:t>
      </w:r>
      <w:r>
        <w:rPr>
          <w:rFonts w:ascii="Times New Roman" w:cs="Times New Roman" w:eastAsia="Times New Roman" w:hAnsi="Times New Roman"/>
          <w:sz w:val="18"/>
          <w:szCs w:val="18"/>
          <w:color w:val="auto"/>
        </w:rPr>
        <w:t>, Case No. 1:21-cv-01320-MN (D. Del.) (the “</w:t>
      </w:r>
      <w:r>
        <w:rPr>
          <w:rFonts w:ascii="Times New Roman" w:cs="Times New Roman" w:eastAsia="Times New Roman" w:hAnsi="Times New Roman"/>
          <w:sz w:val="18"/>
          <w:szCs w:val="18"/>
          <w:b w:val="1"/>
          <w:bCs w:val="1"/>
          <w:i w:val="1"/>
          <w:iCs w:val="1"/>
          <w:color w:val="auto"/>
        </w:rPr>
        <w:t>Federal Derivative Action</w:t>
      </w:r>
      <w:r>
        <w:rPr>
          <w:rFonts w:ascii="Times New Roman" w:cs="Times New Roman" w:eastAsia="Times New Roman" w:hAnsi="Times New Roman"/>
          <w:sz w:val="18"/>
          <w:szCs w:val="18"/>
          <w:color w:val="auto"/>
        </w:rPr>
        <w:t>”, and together with the Derivative Action, the “</w:t>
      </w:r>
      <w:r>
        <w:rPr>
          <w:rFonts w:ascii="Times New Roman" w:cs="Times New Roman" w:eastAsia="Times New Roman" w:hAnsi="Times New Roman"/>
          <w:sz w:val="18"/>
          <w:szCs w:val="18"/>
          <w:b w:val="1"/>
          <w:bCs w:val="1"/>
          <w:i w:val="1"/>
          <w:iCs w:val="1"/>
          <w:color w:val="auto"/>
        </w:rPr>
        <w:t>Derivative Litigation</w:t>
      </w:r>
      <w:r>
        <w:rPr>
          <w:rFonts w:ascii="Times New Roman" w:cs="Times New Roman" w:eastAsia="Times New Roman" w:hAnsi="Times New Roman"/>
          <w:sz w:val="18"/>
          <w:szCs w:val="18"/>
          <w:color w:val="auto"/>
        </w:rPr>
        <w:t>”). The complaints generally allege that certain current and/or former directors and officers of the Company breached their fiduciary duties to the Company and engaged in other wrongdoings.</w:t>
      </w:r>
    </w:p>
    <w:p>
      <w:pPr>
        <w:spacing w:after="0" w:line="2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April 30, 2024, the parties agreed to settle the Derivative Litigation pursuant to a global stipulation of settlement (the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As part of the Settlement, (i) the Company agreed to adopt or implement certain corporate governance reforms; and (ii) the parties agreed that plaintiffs' counsel will apply to the Court for an award of attorneys' fees and expenses not to exceed $950,000 to be paid by the Company, and that the individual defendants and the Company will not oppose or object to the requested fee award. The Settlement contains no admission of liability, wrongdoing or responsibility by any of the parties.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3, 2024, the parties submitted the Settlement to the Court for approval. On August 6, 2024, the Court held a hearing to consider the Settlement. On November 26, 2024, the Settlement was approved by the Court. The Court's order, among other things, (i) dismissed the consolidated Derivative Action with prejudice; (ii) ordered the federal derivative plaintiff, Marcey, to promptly file the Court’s settlement approval and dismissal order in the Federal Derivative Action and seek prompt dismissal with prejudice of that Federal Derivative Action; and (iii) granted an award of attorneys' fees and expenses of $950,000 payable by the Company.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Form 8-K hereto is being furnished and shall not be deemed to be “filed” for the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other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6"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November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2024-11-26T18:05:19Z</dcterms:created>
  <dcterms:modified xsi:type="dcterms:W3CDTF">2024-11-26T18:05:19Z</dcterms:modified>
</cp:coreProperties>
</file>