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3, 2024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MYRIAD GENETICS,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88" w:lineRule="exact"/>
        <w:rPr>
          <w:sz w:val="24"/>
          <w:szCs w:val="24"/>
          <w:color w:val="auto"/>
        </w:rPr>
      </w:pPr>
    </w:p>
    <w:tbl>
      <w:tblPr>
        <w:tblLayout w:type="fixed"/>
        <w:tblInd w:w="1040" w:type="dxa"/>
        <w:tblCellMar>
          <w:top w:w="0" w:type="dxa"/>
          <w:left w:w="0" w:type="dxa"/>
          <w:bottom w:w="0" w:type="dxa"/>
          <w:right w:w="0" w:type="dxa"/>
        </w:tblCellMar>
      </w:tblPr>
      <w:tr>
        <w:trPr>
          <w:trHeight w:val="178"/>
        </w:trPr>
        <w:tc>
          <w:tcPr>
            <w:tcW w:w="200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0-26642</w:t>
            </w:r>
          </w:p>
        </w:tc>
        <w:tc>
          <w:tcPr>
            <w:tcW w:w="160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87-0494517</w:t>
            </w:r>
          </w:p>
        </w:tc>
      </w:tr>
      <w:tr>
        <w:trPr>
          <w:trHeight w:val="117"/>
        </w:trPr>
        <w:tc>
          <w:tcPr>
            <w:tcW w:w="2000" w:type="dxa"/>
            <w:vAlign w:val="bottom"/>
          </w:tcPr>
          <w:p>
            <w:pPr>
              <w:jc w:val="center"/>
              <w:ind w:right="519"/>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5340" w:type="dxa"/>
            <w:vAlign w:val="bottom"/>
          </w:tcPr>
          <w:p>
            <w:pPr>
              <w:jc w:val="center"/>
              <w:ind w:right="76"/>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1600" w:type="dxa"/>
            <w:vAlign w:val="bottom"/>
          </w:tcPr>
          <w:p>
            <w:pPr>
              <w:jc w:val="center"/>
              <w:ind w:left="639"/>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000" w:type="dxa"/>
            <w:vAlign w:val="bottom"/>
          </w:tcPr>
          <w:p>
            <w:pPr>
              <w:jc w:val="center"/>
              <w:ind w:right="519"/>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534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600" w:type="dxa"/>
            <w:vAlign w:val="bottom"/>
          </w:tcPr>
          <w:p>
            <w:pPr>
              <w:jc w:val="center"/>
              <w:ind w:left="63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42"/>
        </w:trPr>
        <w:tc>
          <w:tcPr>
            <w:tcW w:w="2000" w:type="dxa"/>
            <w:vAlign w:val="bottom"/>
          </w:tcPr>
          <w:p>
            <w:pPr>
              <w:spacing w:after="0"/>
              <w:rPr>
                <w:sz w:val="24"/>
                <w:szCs w:val="24"/>
                <w:color w:val="auto"/>
              </w:rPr>
            </w:pPr>
          </w:p>
        </w:tc>
        <w:tc>
          <w:tcPr>
            <w:tcW w:w="5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322 North 2200 West</w:t>
            </w:r>
          </w:p>
        </w:tc>
        <w:tc>
          <w:tcPr>
            <w:tcW w:w="1600" w:type="dxa"/>
            <w:vAlign w:val="bottom"/>
          </w:tcPr>
          <w:p>
            <w:pPr>
              <w:spacing w:after="0"/>
              <w:rPr>
                <w:sz w:val="24"/>
                <w:szCs w:val="24"/>
                <w:color w:val="auto"/>
              </w:rPr>
            </w:pPr>
          </w:p>
        </w:tc>
      </w:tr>
      <w:tr>
        <w:trPr>
          <w:trHeight w:val="167"/>
        </w:trPr>
        <w:tc>
          <w:tcPr>
            <w:tcW w:w="2000" w:type="dxa"/>
            <w:vAlign w:val="bottom"/>
          </w:tcPr>
          <w:p>
            <w:pPr>
              <w:spacing w:after="0"/>
              <w:rPr>
                <w:sz w:val="14"/>
                <w:szCs w:val="14"/>
                <w:color w:val="auto"/>
              </w:rPr>
            </w:pPr>
          </w:p>
        </w:tc>
        <w:tc>
          <w:tcPr>
            <w:tcW w:w="5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Salt Lake City, Utah 84116</w:t>
            </w:r>
          </w:p>
        </w:tc>
        <w:tc>
          <w:tcPr>
            <w:tcW w:w="16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534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tc>
        <w:tc>
          <w:tcPr>
            <w:tcW w:w="1600" w:type="dxa"/>
            <w:vAlign w:val="bottom"/>
          </w:tcPr>
          <w:p>
            <w:pPr>
              <w:spacing w:after="0"/>
              <w:rPr>
                <w:sz w:val="12"/>
                <w:szCs w:val="12"/>
                <w:color w:val="auto"/>
              </w:rPr>
            </w:pPr>
          </w:p>
        </w:tc>
      </w:tr>
      <w:tr>
        <w:trPr>
          <w:trHeight w:val="252"/>
        </w:trPr>
        <w:tc>
          <w:tcPr>
            <w:tcW w:w="2000" w:type="dxa"/>
            <w:vAlign w:val="bottom"/>
          </w:tcPr>
          <w:p>
            <w:pPr>
              <w:spacing w:after="0"/>
              <w:rPr>
                <w:sz w:val="21"/>
                <w:szCs w:val="21"/>
                <w:color w:val="auto"/>
              </w:rPr>
            </w:pPr>
          </w:p>
        </w:tc>
        <w:tc>
          <w:tcPr>
            <w:tcW w:w="5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(801) 584-3600</w:t>
            </w:r>
          </w:p>
        </w:tc>
        <w:tc>
          <w:tcPr>
            <w:tcW w:w="1600" w:type="dxa"/>
            <w:vAlign w:val="bottom"/>
          </w:tcPr>
          <w:p>
            <w:pPr>
              <w:spacing w:after="0"/>
              <w:rPr>
                <w:sz w:val="21"/>
                <w:szCs w:val="21"/>
                <w:color w:val="auto"/>
              </w:rPr>
            </w:pPr>
          </w:p>
        </w:tc>
      </w:tr>
      <w:tr>
        <w:trPr>
          <w:trHeight w:val="236"/>
        </w:trPr>
        <w:tc>
          <w:tcPr>
            <w:tcW w:w="2000" w:type="dxa"/>
            <w:vAlign w:val="bottom"/>
          </w:tcPr>
          <w:p>
            <w:pPr>
              <w:spacing w:after="0"/>
              <w:rPr>
                <w:sz w:val="20"/>
                <w:szCs w:val="20"/>
                <w:color w:val="auto"/>
              </w:rPr>
            </w:pPr>
          </w:p>
        </w:tc>
        <w:tc>
          <w:tcPr>
            <w:tcW w:w="5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600" w:type="dxa"/>
            <w:vAlign w:val="bottom"/>
          </w:tcPr>
          <w:p>
            <w:pPr>
              <w:spacing w:after="0"/>
              <w:rPr>
                <w:sz w:val="20"/>
                <w:szCs w:val="20"/>
                <w:color w:val="auto"/>
              </w:rPr>
            </w:pPr>
          </w:p>
        </w:tc>
      </w:tr>
      <w:tr>
        <w:trPr>
          <w:trHeight w:val="149"/>
        </w:trPr>
        <w:tc>
          <w:tcPr>
            <w:tcW w:w="2000" w:type="dxa"/>
            <w:vAlign w:val="bottom"/>
          </w:tcPr>
          <w:p>
            <w:pPr>
              <w:spacing w:after="0"/>
              <w:rPr>
                <w:sz w:val="12"/>
                <w:szCs w:val="12"/>
                <w:color w:val="auto"/>
              </w:rPr>
            </w:pPr>
          </w:p>
        </w:tc>
        <w:tc>
          <w:tcPr>
            <w:tcW w:w="534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600" w:type="dxa"/>
            <w:vAlign w:val="bottom"/>
          </w:tcPr>
          <w:p>
            <w:pPr>
              <w:spacing w:after="0"/>
              <w:rPr>
                <w:sz w:val="12"/>
                <w:szCs w:val="12"/>
                <w:color w:val="auto"/>
              </w:rPr>
            </w:pPr>
          </w:p>
        </w:tc>
      </w:tr>
    </w:tbl>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6"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6" w:lineRule="exact"/>
        <w:rPr>
          <w:rFonts w:ascii="MS PGothic" w:cs="MS PGothic" w:eastAsia="MS PGothic" w:hAnsi="MS PGothic"/>
          <w:sz w:val="14"/>
          <w:szCs w:val="14"/>
          <w:color w:val="auto"/>
        </w:rPr>
      </w:pPr>
    </w:p>
    <w:p>
      <w:pPr>
        <w:ind w:right="4280" w:firstLine="19"/>
        <w:spacing w:after="0" w:line="534" w:lineRule="auto"/>
        <w:tabs>
          <w:tab w:leader="none" w:pos="67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15"/>
        </w:trPr>
        <w:tc>
          <w:tcPr>
            <w:tcW w:w="4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4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Trading</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4"/>
        </w:trPr>
        <w:tc>
          <w:tcPr>
            <w:tcW w:w="4460" w:type="dxa"/>
            <w:vAlign w:val="bottom"/>
            <w:gridSpan w:val="2"/>
            <w:vMerge w:val="continue"/>
          </w:tcPr>
          <w:p>
            <w:pPr>
              <w:spacing w:after="0"/>
              <w:rPr>
                <w:sz w:val="13"/>
                <w:szCs w:val="13"/>
                <w:color w:val="auto"/>
              </w:rPr>
            </w:pPr>
          </w:p>
        </w:tc>
        <w:tc>
          <w:tcPr>
            <w:tcW w:w="26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4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Common Stock, $0.01 par value</w:t>
            </w:r>
          </w:p>
        </w:tc>
        <w:tc>
          <w:tcPr>
            <w:tcW w:w="280" w:type="dxa"/>
            <w:vAlign w:val="bottom"/>
          </w:tcPr>
          <w:p>
            <w:pPr>
              <w:spacing w:after="0"/>
              <w:rPr>
                <w:sz w:val="10"/>
                <w:szCs w:val="1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MYGN</w:t>
            </w:r>
          </w:p>
        </w:tc>
        <w:tc>
          <w:tcPr>
            <w:tcW w:w="280" w:type="dxa"/>
            <w:vAlign w:val="bottom"/>
          </w:tcPr>
          <w:p>
            <w:pPr>
              <w:spacing w:after="0"/>
              <w:rPr>
                <w:sz w:val="10"/>
                <w:szCs w:val="10"/>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Nasdaq Global Select Market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Beginning on August 9, 2021, two purported shareholder derivative complaints were filed with the Court of Chancery of the State of Delaware (the “</w:t>
      </w:r>
      <w:r>
        <w:rPr>
          <w:rFonts w:ascii="Times New Roman" w:cs="Times New Roman" w:eastAsia="Times New Roman" w:hAnsi="Times New Roman"/>
          <w:sz w:val="14"/>
          <w:szCs w:val="14"/>
          <w:b w:val="1"/>
          <w:bCs w:val="1"/>
          <w:i w:val="1"/>
          <w:iCs w:val="1"/>
          <w:color w:val="auto"/>
        </w:rPr>
        <w:t>Court</w:t>
      </w:r>
      <w:r>
        <w:rPr>
          <w:rFonts w:ascii="Times New Roman" w:cs="Times New Roman" w:eastAsia="Times New Roman" w:hAnsi="Times New Roman"/>
          <w:sz w:val="14"/>
          <w:szCs w:val="14"/>
          <w:color w:val="auto"/>
        </w:rPr>
        <w:t>”) against Myriad Genetics,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as nominal defendant, and certain of the Company’s current and/or former directors and officers. On March 3, 2022, the cases were consolidated under the caption </w:t>
      </w:r>
      <w:r>
        <w:rPr>
          <w:rFonts w:ascii="Times New Roman" w:cs="Times New Roman" w:eastAsia="Times New Roman" w:hAnsi="Times New Roman"/>
          <w:sz w:val="14"/>
          <w:szCs w:val="14"/>
          <w:i w:val="1"/>
          <w:iCs w:val="1"/>
          <w:color w:val="auto"/>
        </w:rPr>
        <w:t>In re Myriad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Genetics, Inc. Stockholder Derivative Litigation</w:t>
      </w:r>
      <w:r>
        <w:rPr>
          <w:rFonts w:ascii="Times New Roman" w:cs="Times New Roman" w:eastAsia="Times New Roman" w:hAnsi="Times New Roman"/>
          <w:sz w:val="14"/>
          <w:szCs w:val="14"/>
          <w:color w:val="auto"/>
        </w:rPr>
        <w:t>, Case No. 2021-0686-SG (the “</w:t>
      </w:r>
      <w:r>
        <w:rPr>
          <w:rFonts w:ascii="Times New Roman" w:cs="Times New Roman" w:eastAsia="Times New Roman" w:hAnsi="Times New Roman"/>
          <w:sz w:val="14"/>
          <w:szCs w:val="14"/>
          <w:b w:val="1"/>
          <w:bCs w:val="1"/>
          <w:i w:val="1"/>
          <w:iCs w:val="1"/>
          <w:color w:val="auto"/>
        </w:rPr>
        <w:t>Derivative Action</w:t>
      </w:r>
      <w:r>
        <w:rPr>
          <w:rFonts w:ascii="Times New Roman" w:cs="Times New Roman" w:eastAsia="Times New Roman" w:hAnsi="Times New Roman"/>
          <w:sz w:val="14"/>
          <w:szCs w:val="14"/>
          <w:color w:val="auto"/>
        </w:rPr>
        <w:t>”). During the same period, a purported stockholder derivative complaint against the Company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certain current and/or former directors and officers of the Company was filed with the United States District Court for the District of Delaware, captioned </w:t>
      </w:r>
      <w:r>
        <w:rPr>
          <w:rFonts w:ascii="Times New Roman" w:cs="Times New Roman" w:eastAsia="Times New Roman" w:hAnsi="Times New Roman"/>
          <w:sz w:val="14"/>
          <w:szCs w:val="14"/>
          <w:i w:val="1"/>
          <w:iCs w:val="1"/>
          <w:color w:val="auto"/>
        </w:rPr>
        <w:t>Marcey v. Capone, et al.</w:t>
      </w:r>
      <w:r>
        <w:rPr>
          <w:rFonts w:ascii="Times New Roman" w:cs="Times New Roman" w:eastAsia="Times New Roman" w:hAnsi="Times New Roman"/>
          <w:sz w:val="14"/>
          <w:szCs w:val="14"/>
          <w:color w:val="auto"/>
        </w:rPr>
        <w:t>, Case No. 1:21-cv-01320-MN (D. Del.) (the “</w:t>
      </w:r>
      <w:r>
        <w:rPr>
          <w:rFonts w:ascii="Times New Roman" w:cs="Times New Roman" w:eastAsia="Times New Roman" w:hAnsi="Times New Roman"/>
          <w:sz w:val="14"/>
          <w:szCs w:val="14"/>
          <w:b w:val="1"/>
          <w:bCs w:val="1"/>
          <w:i w:val="1"/>
          <w:iCs w:val="1"/>
          <w:color w:val="auto"/>
        </w:rPr>
        <w:t>Federal Derivative Action</w:t>
      </w:r>
      <w:r>
        <w:rPr>
          <w:rFonts w:ascii="Times New Roman" w:cs="Times New Roman" w:eastAsia="Times New Roman" w:hAnsi="Times New Roman"/>
          <w:sz w:val="14"/>
          <w:szCs w:val="14"/>
          <w:color w:val="auto"/>
        </w:rPr>
        <w:t>”, and together with the Derivative Action, the “</w:t>
      </w:r>
      <w:r>
        <w:rPr>
          <w:rFonts w:ascii="Times New Roman" w:cs="Times New Roman" w:eastAsia="Times New Roman" w:hAnsi="Times New Roman"/>
          <w:sz w:val="14"/>
          <w:szCs w:val="14"/>
          <w:b w:val="1"/>
          <w:bCs w:val="1"/>
          <w:i w:val="1"/>
          <w:iCs w:val="1"/>
          <w:color w:val="auto"/>
        </w:rPr>
        <w:t>Derivative Litigation</w:t>
      </w:r>
      <w:r>
        <w:rPr>
          <w:rFonts w:ascii="Times New Roman" w:cs="Times New Roman" w:eastAsia="Times New Roman" w:hAnsi="Times New Roman"/>
          <w:sz w:val="14"/>
          <w:szCs w:val="14"/>
          <w:color w:val="auto"/>
        </w:rPr>
        <w:t>”). The complaints generally allege that certain current and former officers and/or directors of the Company breached their fiduciary duties to the Company and engaged in other wrongdoings.</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On April 30, 2024, the parties agreed to settle the Derivative Litigation pursuant to a global Stipulation of Settlement (the “</w:t>
      </w:r>
      <w:r>
        <w:rPr>
          <w:rFonts w:ascii="Times New Roman" w:cs="Times New Roman" w:eastAsia="Times New Roman" w:hAnsi="Times New Roman"/>
          <w:sz w:val="14"/>
          <w:szCs w:val="14"/>
          <w:b w:val="1"/>
          <w:bCs w:val="1"/>
          <w:i w:val="1"/>
          <w:iCs w:val="1"/>
          <w:color w:val="auto"/>
        </w:rPr>
        <w:t>Stipulation</w:t>
      </w:r>
      <w:r>
        <w:rPr>
          <w:rFonts w:ascii="Times New Roman" w:cs="Times New Roman" w:eastAsia="Times New Roman" w:hAnsi="Times New Roman"/>
          <w:sz w:val="14"/>
          <w:szCs w:val="14"/>
          <w:color w:val="auto"/>
        </w:rPr>
        <w:t>”). The Stipulation and the settlement contemplated therein (the “</w:t>
      </w:r>
      <w:r>
        <w:rPr>
          <w:rFonts w:ascii="Times New Roman" w:cs="Times New Roman" w:eastAsia="Times New Roman" w:hAnsi="Times New Roman"/>
          <w:sz w:val="14"/>
          <w:szCs w:val="14"/>
          <w:b w:val="1"/>
          <w:bCs w:val="1"/>
          <w:i w:val="1"/>
          <w:iCs w:val="1"/>
          <w:color w:val="auto"/>
        </w:rPr>
        <w:t>Proposed Settlement</w:t>
      </w:r>
      <w:r>
        <w:rPr>
          <w:rFonts w:ascii="Times New Roman" w:cs="Times New Roman" w:eastAsia="Times New Roman" w:hAnsi="Times New Roman"/>
          <w:sz w:val="14"/>
          <w:szCs w:val="14"/>
          <w:color w:val="auto"/>
        </w:rPr>
        <w:t>”), which is subject to the approval of the Court, are intended by the parties to fully, finally, and forever compromise, discharge, resolve, release, and settle the claims in the Derivative Litigation and to result in the complete dismissal of the Derivative Litigation with prejudice, upon the terms and subject to the conditions set forth in the Stipulation. The Proposed Settlement involves (i) the Company adopting or implementing certain corporate governance reforms and (ii) plaintiffs’ counsel applying to the Court for an award of attorneys’ fees and expenses in an amount not to exceed $950,000 to be paid by the Company and that the individual defendants and the Company will not oppose or object to the requested fee award. The Proposed Settlement is subject to the approval of the Court and a hearing on the Proposed Settlement is scheduled for August 6, 2024.</w:t>
      </w:r>
    </w:p>
    <w:p>
      <w:pPr>
        <w:spacing w:after="0" w:line="163"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As required by the Stipulation and the Court’s May 13, 2024 Scheduling Order, the Notice of Proposed Derivative Settlement (the “</w:t>
      </w:r>
      <w:r>
        <w:rPr>
          <w:rFonts w:ascii="Times New Roman" w:cs="Times New Roman" w:eastAsia="Times New Roman" w:hAnsi="Times New Roman"/>
          <w:sz w:val="14"/>
          <w:szCs w:val="14"/>
          <w:b w:val="1"/>
          <w:bCs w:val="1"/>
          <w:i w:val="1"/>
          <w:iCs w:val="1"/>
          <w:color w:val="auto"/>
        </w:rPr>
        <w:t>Notice</w:t>
      </w:r>
      <w:r>
        <w:rPr>
          <w:rFonts w:ascii="Times New Roman" w:cs="Times New Roman" w:eastAsia="Times New Roman" w:hAnsi="Times New Roman"/>
          <w:sz w:val="14"/>
          <w:szCs w:val="14"/>
          <w:color w:val="auto"/>
        </w:rPr>
        <w:t>”) and the Stipulation are furnished as Exhibits 99.1 and 99.2, respectively, to this Current Report on Form 8-K.</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information in this Item 7.01 of Form 8-K and Exhibits 99.1 and 99.2 hereto are being furnished and shall not be deemed to be “filed” for the purposes of Section 18 of the Securities Exchange Act of 1934, as amended (the “</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or otherwise subject to the liabilities of that section, nor shall such information be deemed incorporated by reference in any other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80" w:type="dxa"/>
            <w:vAlign w:val="bottom"/>
          </w:tcPr>
          <w:p>
            <w:pPr>
              <w:spacing w:after="0"/>
              <w:rPr>
                <w:sz w:val="13"/>
                <w:szCs w:val="13"/>
                <w:color w:val="auto"/>
              </w:rPr>
            </w:pPr>
          </w:p>
        </w:tc>
        <w:tc>
          <w:tcPr>
            <w:tcW w:w="968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Notice of Proposed Derivative Settlement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Stipulation of Settlement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766"/>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MYRIAD GENETICS, INC.</w:t>
      </w:r>
    </w:p>
    <w:p>
      <w:pPr>
        <w:spacing w:after="0" w:line="255" w:lineRule="exact"/>
        <w:rPr>
          <w:sz w:val="20"/>
          <w:szCs w:val="20"/>
          <w:color w:val="auto"/>
        </w:rPr>
      </w:pPr>
    </w:p>
    <w:p>
      <w:pPr>
        <w:spacing w:after="0"/>
        <w:tabs>
          <w:tab w:leader="none" w:pos="6180" w:val="left"/>
          <w:tab w:leader="none" w:pos="6640" w:val="left"/>
        </w:tabs>
        <w:rPr>
          <w:sz w:val="20"/>
          <w:szCs w:val="20"/>
          <w:color w:val="auto"/>
        </w:rPr>
      </w:pPr>
      <w:r>
        <w:rPr>
          <w:rFonts w:ascii="Times New Roman" w:cs="Times New Roman" w:eastAsia="Times New Roman" w:hAnsi="Times New Roman"/>
          <w:sz w:val="14"/>
          <w:szCs w:val="14"/>
          <w:color w:val="auto"/>
        </w:rPr>
        <w:t>Date: June 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28575</wp:posOffset>
            </wp:positionV>
            <wp:extent cx="29241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6985"/>
                    </a:xfrm>
                    <a:prstGeom prst="rect">
                      <a:avLst/>
                    </a:prstGeom>
                    <a:noFill/>
                  </pic:spPr>
                </pic:pic>
              </a:graphicData>
            </a:graphic>
          </wp:anchor>
        </w:drawing>
      </w:r>
    </w:p>
    <w:p>
      <w:pPr>
        <w:spacing w:after="0" w:line="4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color w:val="auto"/>
        </w:rPr>
        <w:t>Scott J. Leffler</w:t>
      </w:r>
    </w:p>
    <w:p>
      <w:pPr>
        <w:spacing w:after="0" w:line="5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780"/>
          </w:cols>
          <w:pgMar w:left="320" w:top="728"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THE COURT OF CHANCERY OF THE STATE OF DELAWARE</w:t>
      </w:r>
    </w:p>
    <w:p>
      <w:pPr>
        <w:sectPr>
          <w:pgSz w:w="11900" w:h="16838" w:orient="portrait"/>
          <w:cols w:equalWidth="0" w:num="1">
            <w:col w:w="11280"/>
          </w:cols>
          <w:pgMar w:left="300" w:top="730" w:right="3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right="300"/>
        <w:spacing w:after="0" w:line="273" w:lineRule="auto"/>
        <w:rPr>
          <w:sz w:val="20"/>
          <w:szCs w:val="20"/>
          <w:color w:val="auto"/>
        </w:rPr>
      </w:pPr>
      <w:r>
        <w:rPr>
          <w:rFonts w:ascii="Times New Roman" w:cs="Times New Roman" w:eastAsia="Times New Roman" w:hAnsi="Times New Roman"/>
          <w:sz w:val="20"/>
          <w:szCs w:val="20"/>
          <w:color w:val="auto"/>
        </w:rPr>
        <w:t>IN RE MYRIAD GENETICS, INC. STOCKHOLDER DERIVATIVE 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520" w:hanging="513"/>
        <w:spacing w:after="0"/>
        <w:tabs>
          <w:tab w:leader="none" w:pos="5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 No. 2021-0686-SG</w:t>
      </w:r>
    </w:p>
    <w:p>
      <w:pPr>
        <w:spacing w:after="0" w:line="148" w:lineRule="exact"/>
        <w:rPr>
          <w:sz w:val="20"/>
          <w:szCs w:val="20"/>
          <w:color w:val="auto"/>
        </w:rPr>
      </w:pPr>
    </w:p>
    <w:p>
      <w:pPr>
        <w:sectPr>
          <w:pgSz w:w="11900" w:h="16838" w:orient="portrait"/>
          <w:cols w:equalWidth="0" w:num="2">
            <w:col w:w="5880" w:space="720"/>
            <w:col w:w="4680"/>
          </w:cols>
          <w:pgMar w:left="300" w:top="73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OF PENDENCY OF SETTLEMENT OF DERIVATIVE LITIGATION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ALL CURRENT STOCKHOLDERS OF MYRIAD GENETICS, INC. (NASDAQ SYMBOL: MYGN)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PLEASE READ THIS NOTICE CAREFULLY AND IN ITS ENTIRETY. YOUR RIGHTS WILL BE AFFECTED BY THE LEGAL PROCEEDINGS IN THIS DERIVATIVE LITIGATION. THE COURT WILL HOLD A HEARING TO APPROVE THE PROPOSED SETTLEMENT ON AUGUST 6, 2024, AT 10:00 AM (EST), AT THE COURT OF CHANCERY SUSSEX COUNTY COURTHOUSE, 34 THE CIRCLE, GEORGETOWN, DE 19947.</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IF THE COURT APPROVES THE PROPOSED SETTLEMENT, YOU WILL BE FOREVER BARRED FROM CONTESTING THE FAIRNESS, REASONABLENESS AND ADEQUACY OF THE PROPOSED SETTLEMENT, OR PURSUING THE RELEASED CLAIMS DEFINED HEREIN.</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IF YOU </w:t>
      </w:r>
      <w:r>
        <w:rPr>
          <w:rFonts w:ascii="Times New Roman" w:cs="Times New Roman" w:eastAsia="Times New Roman" w:hAnsi="Times New Roman"/>
          <w:sz w:val="20"/>
          <w:szCs w:val="20"/>
          <w:b w:val="1"/>
          <w:bCs w:val="1"/>
          <w:u w:val="single" w:color="auto"/>
          <w:color w:val="auto"/>
        </w:rPr>
        <w:t>DO NOT</w:t>
      </w:r>
      <w:r>
        <w:rPr>
          <w:rFonts w:ascii="Times New Roman" w:cs="Times New Roman" w:eastAsia="Times New Roman" w:hAnsi="Times New Roman"/>
          <w:sz w:val="20"/>
          <w:szCs w:val="20"/>
          <w:b w:val="1"/>
          <w:bCs w:val="1"/>
          <w:color w:val="auto"/>
        </w:rPr>
        <w:t xml:space="preserve"> INTEND TO OBJECT TO THE PROPOSED SETTLEMENT, OR THE ATTORNEY’S FEE AWARD AMOUNT DESCRIBED HEREIN, NO ACTION IS REQUIRED BY YOU IN RESPONSE TO THIS NOTICE.</w:t>
      </w:r>
    </w:p>
    <w:p>
      <w:pPr>
        <w:spacing w:after="0" w:line="138" w:lineRule="exact"/>
        <w:rPr>
          <w:sz w:val="20"/>
          <w:szCs w:val="20"/>
          <w:color w:val="auto"/>
        </w:rPr>
      </w:pPr>
    </w:p>
    <w:p>
      <w:pPr>
        <w:ind w:left="520" w:hanging="515"/>
        <w:spacing w:after="0"/>
        <w:tabs>
          <w:tab w:leader="none" w:pos="52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WHY ARE YOU RECEIVING THIS NOTICE?</w:t>
      </w:r>
    </w:p>
    <w:p>
      <w:pPr>
        <w:sectPr>
          <w:pgSz w:w="11900" w:h="16838" w:orient="portrait"/>
          <w:cols w:equalWidth="0" w:num="1">
            <w:col w:w="11280"/>
          </w:cols>
          <w:pgMar w:left="300" w:top="730" w:right="319" w:bottom="1440" w:gutter="0" w:footer="0" w:header="0"/>
          <w:type w:val="continuous"/>
        </w:sectPr>
      </w:pPr>
    </w:p>
    <w:bookmarkStart w:id="5" w:name="page6"/>
    <w:bookmarkEnd w:id="5"/>
    <w:p>
      <w:pPr>
        <w:jc w:val="both"/>
        <w:ind w:firstLine="509"/>
        <w:spacing w:after="0" w:line="468" w:lineRule="auto"/>
        <w:rPr>
          <w:sz w:val="20"/>
          <w:szCs w:val="20"/>
          <w:color w:val="auto"/>
        </w:rPr>
      </w:pPr>
      <w:r>
        <w:rPr>
          <w:rFonts w:ascii="Times New Roman" w:cs="Times New Roman" w:eastAsia="Times New Roman" w:hAnsi="Times New Roman"/>
          <w:sz w:val="20"/>
          <w:szCs w:val="20"/>
          <w:color w:val="auto"/>
        </w:rPr>
        <w:t>The purpose of this Notice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is to inform you of (i) the derivative litigation in the above-captioned Action and the Federal Derivative Action (collectively, the “Derivative Litigation”) brought by Plaintiffs derivatively on behalf Myriad Genetics, Inc. (“Myriad” or the “Company”); (ii) a proposal to settle the Derivative Litigation as provided in a Stipulation of Settlement (“Stipulation”) dated April 30, 2024, which sets forth the terms and conditions of the proposed Settlement of the Derivative Litigation; (iii) your right, among other things, to object to the proposed Settlement and Plaintiffs’ Counsel’s requested Fee Award, and to attend and participate in a hearing scheduled for August 6, 2024 at 10:00 a.m. (EST) (the “Settlement Hearing”), at the Court of Chancery Sussex County Courthouse, 34 The Circle, Georgetown, DE 19947. This Notice describes the rights you may have under the Stipulation and what steps you may, but are not required to, take concerning the proposed Settlement. If the Court approves the Stipulation, the Parties will ask the Court to approve an Order and Final Judgment (the “Final Judgment”) that would end the Derivative Litigation.</w:t>
      </w:r>
    </w:p>
    <w:p>
      <w:pPr>
        <w:spacing w:after="0" w:line="43" w:lineRule="exact"/>
        <w:rPr>
          <w:sz w:val="20"/>
          <w:szCs w:val="20"/>
          <w:color w:val="auto"/>
        </w:rPr>
      </w:pPr>
    </w:p>
    <w:p>
      <w:pPr>
        <w:ind w:left="520" w:hanging="515"/>
        <w:spacing w:after="0"/>
        <w:tabs>
          <w:tab w:leader="none" w:pos="52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BACKGROUND OF THE DERIVATIVE LITIGATION AND SETTLEMENT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THE FOLLOWING DESCRIPTION DOES NOT CONSTITUTE FINDINGS OF ANY COURT. IT IS BASED ON STATEMENTS OF THE PARTIES AND SHOULD NOT BE UNDERSTOOD AS AN EXPRESSION OF ANY OPINION OF ANY COURT AS TO THE MERITS OF ANY OF THE CLAIMS OR DEFENSES RAISED BY ANY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13474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5" w:lineRule="exact"/>
        <w:rPr>
          <w:sz w:val="20"/>
          <w:szCs w:val="20"/>
          <w:color w:val="auto"/>
        </w:rPr>
      </w:pPr>
    </w:p>
    <w:p>
      <w:pPr>
        <w:ind w:right="380" w:firstLine="5"/>
        <w:spacing w:after="0" w:line="227" w:lineRule="auto"/>
        <w:tabs>
          <w:tab w:leader="none" w:pos="114"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All capitalized terms not otherwise defined herein shall have the same meaning ascribed to such terms in the Stipulation and Scheduling Order.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80"/>
          </w:cols>
          <w:pgMar w:left="300" w:top="838" w:right="319" w:bottom="1440" w:gutter="0" w:footer="0" w:header="0"/>
        </w:sectPr>
      </w:pPr>
    </w:p>
    <w:bookmarkStart w:id="6" w:name="page7"/>
    <w:bookmarkEnd w:id="6"/>
    <w:p>
      <w:pPr>
        <w:jc w:val="both"/>
        <w:ind w:firstLine="509"/>
        <w:spacing w:after="0" w:line="479" w:lineRule="auto"/>
        <w:rPr>
          <w:sz w:val="20"/>
          <w:szCs w:val="20"/>
          <w:color w:val="auto"/>
        </w:rPr>
      </w:pPr>
      <w:r>
        <w:rPr>
          <w:rFonts w:ascii="Times New Roman" w:cs="Times New Roman" w:eastAsia="Times New Roman" w:hAnsi="Times New Roman"/>
          <w:sz w:val="20"/>
          <w:szCs w:val="20"/>
          <w:color w:val="auto"/>
        </w:rPr>
        <w:t>Myriad is a Delaware Corporation with its headquarters in Salt Lake City, Utah. Myriad is a molecular diagnostic company that develops and markets pharmacogenomic lab tests that screen patients for the presence of certain traits or diseases and match patients to particular drugs based on their genetic profiles.</w:t>
      </w:r>
    </w:p>
    <w:p>
      <w:pPr>
        <w:spacing w:after="0" w:line="2" w:lineRule="exact"/>
        <w:rPr>
          <w:sz w:val="20"/>
          <w:szCs w:val="20"/>
          <w:color w:val="auto"/>
        </w:rPr>
      </w:pPr>
    </w:p>
    <w:p>
      <w:pPr>
        <w:jc w:val="both"/>
        <w:ind w:firstLine="509"/>
        <w:spacing w:after="0" w:line="479" w:lineRule="auto"/>
        <w:rPr>
          <w:sz w:val="20"/>
          <w:szCs w:val="20"/>
          <w:color w:val="auto"/>
        </w:rPr>
      </w:pPr>
      <w:r>
        <w:rPr>
          <w:rFonts w:ascii="Times New Roman" w:cs="Times New Roman" w:eastAsia="Times New Roman" w:hAnsi="Times New Roman"/>
          <w:sz w:val="20"/>
          <w:szCs w:val="20"/>
          <w:color w:val="auto"/>
        </w:rPr>
        <w:t>Plaintiffs allege that Defendants Mark C. Capone, Bryan M. Dechairo, R. Bryan Riggsbee, Heiner Dreismann, Walter Gilbert, John T. Henderson, Dennis Langer, Lee N. Newcomer, S. Louise Phanstiel, Colleen F. Reitan, and Lawrence C. Best (the “Individual Defendants”), current and former officers and/or directors of Myriad, breached their fiduciary duties to Myriad, and engaged in other wrongdoing, by failing to oversee the Company’s making of and/or causing the Company to make false and misleading statements about the efficacy of GeneSight, the results of the clinical trial studying GeneSight’s efficacy (the “GUIDED Study”), and the compliance of the GUIDED Study with guidance from the U.S. Food and Drug Administration (“FDA”).</w:t>
      </w:r>
    </w:p>
    <w:p>
      <w:pPr>
        <w:spacing w:after="0" w:line="1" w:lineRule="exact"/>
        <w:rPr>
          <w:sz w:val="20"/>
          <w:szCs w:val="20"/>
          <w:color w:val="auto"/>
        </w:rPr>
      </w:pPr>
    </w:p>
    <w:p>
      <w:pPr>
        <w:jc w:val="both"/>
        <w:ind w:firstLine="509"/>
        <w:spacing w:after="0" w:line="478" w:lineRule="auto"/>
        <w:rPr>
          <w:sz w:val="20"/>
          <w:szCs w:val="20"/>
          <w:color w:val="auto"/>
        </w:rPr>
      </w:pPr>
      <w:r>
        <w:rPr>
          <w:rFonts w:ascii="Times New Roman" w:cs="Times New Roman" w:eastAsia="Times New Roman" w:hAnsi="Times New Roman"/>
          <w:sz w:val="20"/>
          <w:szCs w:val="20"/>
          <w:color w:val="auto"/>
        </w:rPr>
        <w:t xml:space="preserve">On April 24, 2020, Plaintiff Hickok served an inspection demand on Myriad pursuant to 8 </w:t>
      </w:r>
      <w:r>
        <w:rPr>
          <w:rFonts w:ascii="Times New Roman" w:cs="Times New Roman" w:eastAsia="Times New Roman" w:hAnsi="Times New Roman"/>
          <w:sz w:val="20"/>
          <w:szCs w:val="20"/>
          <w:i w:val="1"/>
          <w:iCs w:val="1"/>
          <w:color w:val="auto"/>
        </w:rPr>
        <w:t>Del. Code</w:t>
      </w:r>
      <w:r>
        <w:rPr>
          <w:rFonts w:ascii="Times New Roman" w:cs="Times New Roman" w:eastAsia="Times New Roman" w:hAnsi="Times New Roman"/>
          <w:sz w:val="20"/>
          <w:szCs w:val="20"/>
          <w:color w:val="auto"/>
        </w:rPr>
        <w:t xml:space="preserve"> § 220 for the production of internal documents.</w:t>
      </w:r>
    </w:p>
    <w:p>
      <w:pPr>
        <w:jc w:val="both"/>
        <w:ind w:firstLine="509"/>
        <w:spacing w:after="0" w:line="479" w:lineRule="auto"/>
        <w:rPr>
          <w:sz w:val="20"/>
          <w:szCs w:val="20"/>
          <w:color w:val="auto"/>
        </w:rPr>
      </w:pPr>
      <w:r>
        <w:rPr>
          <w:rFonts w:ascii="Times New Roman" w:cs="Times New Roman" w:eastAsia="Times New Roman" w:hAnsi="Times New Roman"/>
          <w:sz w:val="20"/>
          <w:szCs w:val="20"/>
          <w:color w:val="auto"/>
        </w:rPr>
        <w:t>Following negotiations between Plaintiff Hickok and Myriad regarding the scope of the inspection demand, the Company made productions to plaintiff Hickok on September 1, 2020, January 15, 2021, and May 28, 2021, comprising 1,775 pages.</w:t>
      </w:r>
    </w:p>
    <w:p>
      <w:pPr>
        <w:spacing w:after="0" w:line="1" w:lineRule="exact"/>
        <w:rPr>
          <w:sz w:val="20"/>
          <w:szCs w:val="20"/>
          <w:color w:val="auto"/>
        </w:rPr>
      </w:pPr>
    </w:p>
    <w:p>
      <w:pPr>
        <w:jc w:val="both"/>
        <w:ind w:firstLine="509"/>
        <w:spacing w:after="0" w:line="509" w:lineRule="auto"/>
        <w:rPr>
          <w:sz w:val="20"/>
          <w:szCs w:val="20"/>
          <w:color w:val="auto"/>
        </w:rPr>
      </w:pPr>
      <w:r>
        <w:rPr>
          <w:rFonts w:ascii="Times New Roman" w:cs="Times New Roman" w:eastAsia="Times New Roman" w:hAnsi="Times New Roman"/>
          <w:sz w:val="20"/>
          <w:szCs w:val="20"/>
          <w:color w:val="auto"/>
        </w:rPr>
        <w:t xml:space="preserve">On May 19, 2021, Esther Kogus (“Kogus”) served an inspection demand on Myriad pursuant to 8 </w:t>
      </w:r>
      <w:r>
        <w:rPr>
          <w:rFonts w:ascii="Times New Roman" w:cs="Times New Roman" w:eastAsia="Times New Roman" w:hAnsi="Times New Roman"/>
          <w:sz w:val="20"/>
          <w:szCs w:val="20"/>
          <w:i w:val="1"/>
          <w:iCs w:val="1"/>
          <w:color w:val="auto"/>
        </w:rPr>
        <w:t>Del. Code</w:t>
      </w:r>
      <w:r>
        <w:rPr>
          <w:rFonts w:ascii="Times New Roman" w:cs="Times New Roman" w:eastAsia="Times New Roman" w:hAnsi="Times New Roman"/>
          <w:sz w:val="20"/>
          <w:szCs w:val="20"/>
          <w:color w:val="auto"/>
        </w:rPr>
        <w:t xml:space="preserve"> § 220 for the production of internal documents. The Company made a production to Ms. Kogus in June 2021.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80"/>
          </w:cols>
          <w:pgMar w:left="300" w:top="843" w:right="319" w:bottom="1440" w:gutter="0" w:footer="0" w:header="0"/>
        </w:sectPr>
      </w:pPr>
    </w:p>
    <w:bookmarkStart w:id="7" w:name="page8"/>
    <w:bookmarkEnd w:id="7"/>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On August 9, 2021, Plaintiff Hickok filed a verified shareholder derivative complaint in this Court (the “Hickok Action”) against certain current and/or former directors and officers of Myriad alleging breach of fiduciary duty, unjust enrichment, and insider trading.</w:t>
      </w:r>
    </w:p>
    <w:p>
      <w:pPr>
        <w:spacing w:after="0" w:line="1" w:lineRule="exact"/>
        <w:rPr>
          <w:sz w:val="20"/>
          <w:szCs w:val="20"/>
          <w:color w:val="auto"/>
        </w:rPr>
      </w:pPr>
    </w:p>
    <w:p>
      <w:pPr>
        <w:jc w:val="both"/>
        <w:ind w:firstLine="509"/>
        <w:spacing w:after="0" w:line="478" w:lineRule="auto"/>
        <w:rPr>
          <w:sz w:val="20"/>
          <w:szCs w:val="20"/>
          <w:color w:val="auto"/>
        </w:rPr>
      </w:pPr>
      <w:r>
        <w:rPr>
          <w:rFonts w:ascii="Times New Roman" w:cs="Times New Roman" w:eastAsia="Times New Roman" w:hAnsi="Times New Roman"/>
          <w:sz w:val="20"/>
          <w:szCs w:val="20"/>
          <w:color w:val="auto"/>
        </w:rPr>
        <w:t>On September 17, 2021, Plaintiff Marcey filed a verified stockholder derivative complaint in the United States District Court for the District of Delaware (the “Marcey Action”) against certain current and/or former directors and officers of Myriad alleging breach of fiduciary duty, unjust enrichment, waste of corporate assets, insider trading, and violations of Sections 14(a) and 20(a) of the Securities Exchange Act of 1934 (the “Exchange Act”).</w:t>
      </w:r>
    </w:p>
    <w:p>
      <w:pPr>
        <w:spacing w:after="0" w:line="3" w:lineRule="exact"/>
        <w:rPr>
          <w:sz w:val="20"/>
          <w:szCs w:val="20"/>
          <w:color w:val="auto"/>
        </w:rPr>
      </w:pPr>
    </w:p>
    <w:p>
      <w:pPr>
        <w:jc w:val="both"/>
        <w:ind w:firstLine="509"/>
        <w:spacing w:after="0" w:line="478" w:lineRule="auto"/>
        <w:rPr>
          <w:sz w:val="20"/>
          <w:szCs w:val="20"/>
          <w:color w:val="auto"/>
        </w:rPr>
      </w:pPr>
      <w:r>
        <w:rPr>
          <w:rFonts w:ascii="Times New Roman" w:cs="Times New Roman" w:eastAsia="Times New Roman" w:hAnsi="Times New Roman"/>
          <w:sz w:val="20"/>
          <w:szCs w:val="20"/>
          <w:color w:val="auto"/>
        </w:rPr>
        <w:t xml:space="preserve">On November 19, 2021, the Hickok Action was stayed; provided, however, that any party could terminate the stay upon 30-days’ notice to all parties following a dismissal with prejudice of a factually related federal securities class action, captioned </w:t>
      </w:r>
      <w:r>
        <w:rPr>
          <w:rFonts w:ascii="Times New Roman" w:cs="Times New Roman" w:eastAsia="Times New Roman" w:hAnsi="Times New Roman"/>
          <w:sz w:val="20"/>
          <w:szCs w:val="20"/>
          <w:i w:val="1"/>
          <w:iCs w:val="1"/>
          <w:color w:val="auto"/>
        </w:rPr>
        <w:t>In re Myriad Genetics,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 Sec. Litig.</w:t>
      </w:r>
      <w:r>
        <w:rPr>
          <w:rFonts w:ascii="Times New Roman" w:cs="Times New Roman" w:eastAsia="Times New Roman" w:hAnsi="Times New Roman"/>
          <w:sz w:val="20"/>
          <w:szCs w:val="20"/>
          <w:color w:val="auto"/>
        </w:rPr>
        <w:t>, No. 2:19-cv-00707-DBB (D. Utah), pending in the United States District Court for the District of Utah (the “Securities Class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w:t>
      </w:r>
    </w:p>
    <w:p>
      <w:pPr>
        <w:spacing w:after="0" w:line="3"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On December 13, 2021, the judge presiding over the Securities Class Action certified a class of Myriad investors who purchased Myriad securities during the period August 9, 2017 through February 6, 2020.</w:t>
      </w:r>
    </w:p>
    <w:p>
      <w:pPr>
        <w:spacing w:after="0" w:line="1" w:lineRule="exact"/>
        <w:rPr>
          <w:sz w:val="20"/>
          <w:szCs w:val="20"/>
          <w:color w:val="auto"/>
        </w:rPr>
      </w:pPr>
    </w:p>
    <w:p>
      <w:pPr>
        <w:jc w:val="both"/>
        <w:ind w:firstLine="509"/>
        <w:spacing w:after="0" w:line="505" w:lineRule="auto"/>
        <w:rPr>
          <w:sz w:val="20"/>
          <w:szCs w:val="20"/>
          <w:color w:val="auto"/>
        </w:rPr>
      </w:pPr>
      <w:r>
        <w:rPr>
          <w:rFonts w:ascii="Times New Roman" w:cs="Times New Roman" w:eastAsia="Times New Roman" w:hAnsi="Times New Roman"/>
          <w:sz w:val="20"/>
          <w:szCs w:val="20"/>
          <w:color w:val="auto"/>
        </w:rPr>
        <w:t>On January 4, 2022, the Marcey Action was stayed pending resolution of forthcoming summary judgment motions in the Securities Class Action.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80"/>
          </w:cols>
          <w:pgMar w:left="300" w:top="843" w:right="319" w:bottom="1440" w:gutter="0" w:footer="0" w:header="0"/>
        </w:sectPr>
      </w:pPr>
    </w:p>
    <w:bookmarkStart w:id="8" w:name="page9"/>
    <w:bookmarkEnd w:id="8"/>
    <w:p>
      <w:pPr>
        <w:jc w:val="both"/>
        <w:ind w:firstLine="509"/>
        <w:spacing w:after="0" w:line="479" w:lineRule="auto"/>
        <w:rPr>
          <w:sz w:val="20"/>
          <w:szCs w:val="20"/>
          <w:color w:val="auto"/>
        </w:rPr>
      </w:pPr>
      <w:r>
        <w:rPr>
          <w:rFonts w:ascii="Times New Roman" w:cs="Times New Roman" w:eastAsia="Times New Roman" w:hAnsi="Times New Roman"/>
          <w:sz w:val="20"/>
          <w:szCs w:val="20"/>
          <w:color w:val="auto"/>
        </w:rPr>
        <w:t>On January 18, 2022, Esther Kogus filed a verified stockholder derivative complaint in this Court (the “Kogus Action”) against certain current and/or former directors and officers of Myriad alleging breach of fiduciary duty, unjust enrichment, and aiding and abetting breaches of fiduciary duty.</w:t>
      </w:r>
    </w:p>
    <w:p>
      <w:pPr>
        <w:spacing w:after="0" w:line="2" w:lineRule="exact"/>
        <w:rPr>
          <w:sz w:val="20"/>
          <w:szCs w:val="20"/>
          <w:color w:val="auto"/>
        </w:rPr>
      </w:pPr>
    </w:p>
    <w:p>
      <w:pPr>
        <w:jc w:val="both"/>
        <w:ind w:firstLine="509"/>
        <w:spacing w:after="0" w:line="476" w:lineRule="auto"/>
        <w:rPr>
          <w:sz w:val="20"/>
          <w:szCs w:val="20"/>
          <w:color w:val="auto"/>
        </w:rPr>
      </w:pPr>
      <w:r>
        <w:rPr>
          <w:rFonts w:ascii="Times New Roman" w:cs="Times New Roman" w:eastAsia="Times New Roman" w:hAnsi="Times New Roman"/>
          <w:sz w:val="20"/>
          <w:szCs w:val="20"/>
          <w:color w:val="auto"/>
        </w:rPr>
        <w:t>On March 3, 2022, the Hickok Action and the Kogus Action were consolidated as the Action and stayed; provided, however, that any party could terminate the stay upon 30-days’ notice to all parties following a dismissal with prejudice of the Securities Class Action.</w:t>
      </w: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On April 4, 2022, Plaintiffs in this Action designated the verified stockholder derivative complaint filed in the Hickok Action as the operative complaint in this Action.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On September 28, 2022, Esther Kogus died.</w:t>
      </w:r>
    </w:p>
    <w:p>
      <w:pPr>
        <w:spacing w:after="0" w:line="226"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In March 2023, per the terms of the orders temporarily staying the Derivative Litigation, counsel for Defendants informed counsel for Plaintiffs that the parties to the Securities Class Action would be participating in a mediation on May 1, 2023.</w:t>
      </w:r>
    </w:p>
    <w:p>
      <w:pPr>
        <w:spacing w:after="0" w:line="1"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Although Plaintiffs did not participate in the mediation, on April 27, 2023, Plaintiffs served a settlement demand on Defendants in an effort to explore resolution of the Derivative Litigation.</w:t>
      </w:r>
    </w:p>
    <w:p>
      <w:pPr>
        <w:spacing w:after="0" w:line="1" w:lineRule="exact"/>
        <w:rPr>
          <w:sz w:val="20"/>
          <w:szCs w:val="20"/>
          <w:color w:val="auto"/>
        </w:rPr>
      </w:pPr>
    </w:p>
    <w:p>
      <w:pPr>
        <w:ind w:left="520"/>
        <w:spacing w:after="0" w:line="501" w:lineRule="auto"/>
        <w:rPr>
          <w:sz w:val="20"/>
          <w:szCs w:val="20"/>
          <w:color w:val="auto"/>
        </w:rPr>
      </w:pPr>
      <w:r>
        <w:rPr>
          <w:rFonts w:ascii="Times New Roman" w:cs="Times New Roman" w:eastAsia="Times New Roman" w:hAnsi="Times New Roman"/>
          <w:sz w:val="19"/>
          <w:szCs w:val="19"/>
          <w:color w:val="auto"/>
        </w:rPr>
        <w:t>On or around July 3, 2023, the parties to the Securities Class Action executed a term sheet memorializing the settlement of that action. On or around July 12, 2023, Defendants provided substantive responses to the corporate governance enhancements proposed in</w:t>
      </w:r>
    </w:p>
    <w:p>
      <w:pPr>
        <w:spacing w:after="0"/>
        <w:rPr>
          <w:sz w:val="20"/>
          <w:szCs w:val="20"/>
          <w:color w:val="auto"/>
        </w:rPr>
      </w:pPr>
      <w:r>
        <w:rPr>
          <w:rFonts w:ascii="Times New Roman" w:cs="Times New Roman" w:eastAsia="Times New Roman" w:hAnsi="Times New Roman"/>
          <w:sz w:val="20"/>
          <w:szCs w:val="20"/>
          <w:color w:val="auto"/>
        </w:rPr>
        <w:t>Plaintiffs’ April 27, 2023 settlement demand.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80"/>
          </w:cols>
          <w:pgMar w:left="300" w:top="843" w:right="31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20"/>
          <w:szCs w:val="20"/>
          <w:color w:val="auto"/>
        </w:rPr>
        <w:t>For the next several months, the Parties engaged in extensive settlement negotiations, both in writing and telephonically.</w:t>
      </w:r>
    </w:p>
    <w:p>
      <w:pPr>
        <w:spacing w:after="0" w:line="226"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On August 3, 2023, the parties to the Securities Class Action signed a stipulation of settlement and moved for preliminary approval of the settlement.</w:t>
      </w:r>
    </w:p>
    <w:p>
      <w:pPr>
        <w:spacing w:after="0" w:line="1" w:lineRule="exact"/>
        <w:rPr>
          <w:sz w:val="20"/>
          <w:szCs w:val="20"/>
          <w:color w:val="auto"/>
        </w:rPr>
      </w:pPr>
    </w:p>
    <w:p>
      <w:pPr>
        <w:jc w:val="both"/>
        <w:ind w:firstLine="509"/>
        <w:spacing w:after="0" w:line="476" w:lineRule="auto"/>
        <w:rPr>
          <w:sz w:val="20"/>
          <w:szCs w:val="20"/>
          <w:color w:val="auto"/>
        </w:rPr>
      </w:pPr>
      <w:r>
        <w:rPr>
          <w:rFonts w:ascii="Times New Roman" w:cs="Times New Roman" w:eastAsia="Times New Roman" w:hAnsi="Times New Roman"/>
          <w:sz w:val="20"/>
          <w:szCs w:val="20"/>
          <w:color w:val="auto"/>
        </w:rPr>
        <w:t>The Parties in the Derivative Litigation came to an agreement regarding the Corporate Governance Enhancements and executed a Memorandum of Understanding (“MOU”) on or around December 11, 2023.</w:t>
      </w:r>
    </w:p>
    <w:p>
      <w:pPr>
        <w:jc w:val="both"/>
        <w:ind w:firstLine="446"/>
        <w:spacing w:after="0" w:line="479" w:lineRule="auto"/>
        <w:rPr>
          <w:sz w:val="20"/>
          <w:szCs w:val="20"/>
          <w:color w:val="auto"/>
        </w:rPr>
      </w:pPr>
      <w:r>
        <w:rPr>
          <w:rFonts w:ascii="Times New Roman" w:cs="Times New Roman" w:eastAsia="Times New Roman" w:hAnsi="Times New Roman"/>
          <w:sz w:val="20"/>
          <w:szCs w:val="20"/>
          <w:color w:val="auto"/>
        </w:rPr>
        <w:t>On April 5, 2024, Esther Kogus’ grandson, Leo Shumacher filed a Suggestion of Death upon the Record in the Action relating to Esther Kogus.</w:t>
      </w:r>
    </w:p>
    <w:p>
      <w:pPr>
        <w:spacing w:after="0" w:line="1" w:lineRule="exact"/>
        <w:rPr>
          <w:sz w:val="20"/>
          <w:szCs w:val="20"/>
          <w:color w:val="auto"/>
        </w:rPr>
      </w:pPr>
    </w:p>
    <w:p>
      <w:pPr>
        <w:jc w:val="both"/>
        <w:ind w:firstLine="446"/>
        <w:spacing w:after="0" w:line="481" w:lineRule="auto"/>
        <w:rPr>
          <w:sz w:val="20"/>
          <w:szCs w:val="20"/>
          <w:color w:val="auto"/>
        </w:rPr>
      </w:pPr>
      <w:r>
        <w:rPr>
          <w:rFonts w:ascii="Times New Roman" w:cs="Times New Roman" w:eastAsia="Times New Roman" w:hAnsi="Times New Roman"/>
          <w:sz w:val="20"/>
          <w:szCs w:val="20"/>
          <w:color w:val="auto"/>
        </w:rPr>
        <w:t xml:space="preserve">On April 16, 2024, Mr. Shumacher filed an Unopposed Motion to Substitute Party Due to Death based,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upon the transfer of the Myriad stock held by Ms. Kogus to Mr. Shumacher, the designated beneficiary for Ms. Kogus’ Myriad stock shares, upon Ms. Kogus’ death.</w:t>
      </w:r>
    </w:p>
    <w:p>
      <w:pPr>
        <w:spacing w:after="0" w:line="1" w:lineRule="exact"/>
        <w:rPr>
          <w:sz w:val="20"/>
          <w:szCs w:val="20"/>
          <w:color w:val="auto"/>
        </w:rPr>
      </w:pPr>
    </w:p>
    <w:p>
      <w:pPr>
        <w:jc w:val="both"/>
        <w:ind w:firstLine="446"/>
        <w:spacing w:after="0" w:line="481" w:lineRule="auto"/>
        <w:rPr>
          <w:sz w:val="20"/>
          <w:szCs w:val="20"/>
          <w:color w:val="auto"/>
        </w:rPr>
      </w:pPr>
      <w:r>
        <w:rPr>
          <w:rFonts w:ascii="Times New Roman" w:cs="Times New Roman" w:eastAsia="Times New Roman" w:hAnsi="Times New Roman"/>
          <w:sz w:val="20"/>
          <w:szCs w:val="20"/>
          <w:color w:val="auto"/>
        </w:rPr>
        <w:t>On April 19, 2024, the Delaware Court of Chancery granted the Unopposed Motion to Substitute Party Due to Death and Ordered that Mr. Shumacher be substituted for Ms. Kogus as a plaintiff in the Action.</w:t>
      </w:r>
    </w:p>
    <w:p>
      <w:pPr>
        <w:spacing w:after="0" w:line="1" w:lineRule="exact"/>
        <w:rPr>
          <w:sz w:val="20"/>
          <w:szCs w:val="20"/>
          <w:color w:val="auto"/>
        </w:rPr>
      </w:pPr>
    </w:p>
    <w:p>
      <w:pPr>
        <w:jc w:val="both"/>
        <w:ind w:firstLine="446"/>
        <w:spacing w:after="0" w:line="413" w:lineRule="auto"/>
        <w:rPr>
          <w:sz w:val="20"/>
          <w:szCs w:val="20"/>
          <w:color w:val="auto"/>
        </w:rPr>
      </w:pPr>
      <w:r>
        <w:rPr>
          <w:rFonts w:ascii="Times New Roman" w:cs="Times New Roman" w:eastAsia="Times New Roman" w:hAnsi="Times New Roman"/>
          <w:sz w:val="20"/>
          <w:szCs w:val="20"/>
          <w:color w:val="auto"/>
        </w:rPr>
        <w:t>Mr. Shumacher, who has been kept apprised of the settlement negotiations, approves of terms of the proposed Settlement as memorialized in the MOU.</w:t>
      </w: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THE COURT HAS NOT FINALLY DETERMINED THE MERITS OF PLAINTIFFS' CLAIMS OR THE DEFENSES THERETO. THIS NOTICE DOES NOT IMPLY THAT THERE HAS BEEN OR WOULD BE ANY FINDING OF VIOLATION OF THE LAW BY THE INDIVIDUAL DEFENDANTS OR THAT RECOVERY COULD BE HAD IN ANY AMOUNT IF THE DERIVATIVE LITIGATION WAS NOT SETTLED. DEFENDANTS HAVE DENIED, AND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80"/>
          </w:cols>
          <w:pgMar w:left="300" w:top="84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CONTINUE TO DENY, ANY AND ALL WRONGDOING AS SET FORTH FURTHER BELOW.</w:t>
      </w:r>
    </w:p>
    <w:p>
      <w:pPr>
        <w:spacing w:after="0" w:line="173" w:lineRule="exact"/>
        <w:rPr>
          <w:sz w:val="20"/>
          <w:szCs w:val="20"/>
          <w:color w:val="auto"/>
        </w:rPr>
      </w:pPr>
    </w:p>
    <w:p>
      <w:pPr>
        <w:ind w:left="520" w:hanging="515"/>
        <w:spacing w:after="0"/>
        <w:tabs>
          <w:tab w:leader="none" w:pos="5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WHAT ARE THE TERMS OF THE SETTLEMENT?</w:t>
      </w:r>
    </w:p>
    <w:p>
      <w:pPr>
        <w:spacing w:after="0" w:line="305" w:lineRule="exact"/>
        <w:rPr>
          <w:sz w:val="20"/>
          <w:szCs w:val="20"/>
          <w:color w:val="auto"/>
        </w:rPr>
      </w:pPr>
    </w:p>
    <w:p>
      <w:pPr>
        <w:jc w:val="both"/>
        <w:ind w:firstLine="509"/>
        <w:spacing w:after="0" w:line="476" w:lineRule="auto"/>
        <w:rPr>
          <w:sz w:val="20"/>
          <w:szCs w:val="20"/>
          <w:color w:val="auto"/>
        </w:rPr>
      </w:pPr>
      <w:r>
        <w:rPr>
          <w:rFonts w:ascii="Times New Roman" w:cs="Times New Roman" w:eastAsia="Times New Roman" w:hAnsi="Times New Roman"/>
          <w:sz w:val="20"/>
          <w:szCs w:val="20"/>
          <w:color w:val="auto"/>
        </w:rPr>
        <w:t>In consideration for the full Settlement and release of the Released Claims, and upon Court approval of the Settlement, Myriad has implemented or will implement the Corporate Governance Enhancements set forth in Exhibit A to the Stipulation.</w:t>
      </w:r>
    </w:p>
    <w:p>
      <w:pPr>
        <w:jc w:val="both"/>
        <w:ind w:firstLine="509"/>
        <w:spacing w:after="0" w:line="480" w:lineRule="auto"/>
        <w:rPr>
          <w:sz w:val="20"/>
          <w:szCs w:val="20"/>
          <w:color w:val="auto"/>
        </w:rPr>
      </w:pPr>
      <w:r>
        <w:rPr>
          <w:rFonts w:ascii="Times New Roman" w:cs="Times New Roman" w:eastAsia="Times New Roman" w:hAnsi="Times New Roman"/>
          <w:sz w:val="20"/>
          <w:szCs w:val="20"/>
          <w:color w:val="auto"/>
        </w:rPr>
        <w:t>The Corporate Governance Enhancements include the adoption by the Company of a New Disclosure Committee Charter, Job Profiles and Responsibilities guidelines for the Chief Compliance Officer and the Chief Scientific Officer, a New Mental Health Scientific Advisory Board Charter, Amendments to the Research Product and Innovation Committee Charter, Amendments to the Compensation and Human Capital Committee Charter, and Amendments to the Audit and Finance Committee Charter, among other corporate governance improvements detailed in Exhibit A to the Stipulation.</w:t>
      </w:r>
    </w:p>
    <w:p>
      <w:pPr>
        <w:spacing w:after="0" w:line="3" w:lineRule="exact"/>
        <w:rPr>
          <w:sz w:val="20"/>
          <w:szCs w:val="20"/>
          <w:color w:val="auto"/>
        </w:rPr>
      </w:pPr>
    </w:p>
    <w:p>
      <w:pPr>
        <w:jc w:val="both"/>
        <w:ind w:firstLine="509"/>
        <w:spacing w:after="0" w:line="476" w:lineRule="auto"/>
        <w:rPr>
          <w:sz w:val="20"/>
          <w:szCs w:val="20"/>
          <w:color w:val="auto"/>
        </w:rPr>
      </w:pPr>
      <w:r>
        <w:rPr>
          <w:rFonts w:ascii="Times New Roman" w:cs="Times New Roman" w:eastAsia="Times New Roman" w:hAnsi="Times New Roman"/>
          <w:sz w:val="20"/>
          <w:szCs w:val="20"/>
          <w:color w:val="auto"/>
        </w:rPr>
        <w:t>Plaintiffs believe that the Corporate Governance Enhancements will prevent a recurrence of the misconduct alleged in the Action and substantially protect and improve shareholder value.</w:t>
      </w:r>
    </w:p>
    <w:p>
      <w:pPr>
        <w:jc w:val="both"/>
        <w:ind w:firstLine="509"/>
        <w:spacing w:after="0" w:line="489" w:lineRule="auto"/>
        <w:rPr>
          <w:sz w:val="20"/>
          <w:szCs w:val="20"/>
          <w:color w:val="auto"/>
        </w:rPr>
      </w:pPr>
      <w:r>
        <w:rPr>
          <w:rFonts w:ascii="Times New Roman" w:cs="Times New Roman" w:eastAsia="Times New Roman" w:hAnsi="Times New Roman"/>
          <w:sz w:val="20"/>
          <w:szCs w:val="20"/>
          <w:color w:val="auto"/>
        </w:rPr>
        <w:t>In further consideration for the full Settlement and release of the Released Claims, Defendants have acknowledged that the filing of, pendency of, and/or settlement demands made in the Derivative Litigation were a substantial and material cause, factor or consideration for the Board’s decision to adopt, implement, and/or maintain the Corporate Governance Enhancements, and that the Corporate Governance Enhancements confer substantial benefits upon Myriad and its stockholders.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80"/>
          </w:cols>
          <w:pgMar w:left="300" w:top="722" w:right="319" w:bottom="1440" w:gutter="0" w:footer="0" w:header="0"/>
        </w:sectPr>
      </w:pPr>
    </w:p>
    <w:bookmarkStart w:id="11" w:name="page12"/>
    <w:bookmarkEnd w:id="11"/>
    <w:p>
      <w:pPr>
        <w:ind w:firstLine="509"/>
        <w:spacing w:after="0" w:line="418" w:lineRule="auto"/>
        <w:rPr>
          <w:sz w:val="20"/>
          <w:szCs w:val="20"/>
          <w:color w:val="auto"/>
        </w:rPr>
      </w:pPr>
      <w:r>
        <w:rPr>
          <w:rFonts w:ascii="Times New Roman" w:cs="Times New Roman" w:eastAsia="Times New Roman" w:hAnsi="Times New Roman"/>
          <w:sz w:val="20"/>
          <w:szCs w:val="20"/>
          <w:color w:val="auto"/>
        </w:rPr>
        <w:t>The Corporate Governance Enhancements shall remain in effect for a period of not less than four (4) years from the date of adoption, subject to certain conditions set forth in Exhibit A to the Stipulation.</w:t>
      </w:r>
    </w:p>
    <w:p>
      <w:pPr>
        <w:spacing w:after="0" w:line="1"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WHAT CLAIMS WILL THE SETTLEMENT RELEASE?</w:t>
      </w:r>
    </w:p>
    <w:p>
      <w:pPr>
        <w:spacing w:after="0" w:line="294" w:lineRule="exact"/>
        <w:rPr>
          <w:sz w:val="20"/>
          <w:szCs w:val="20"/>
          <w:color w:val="auto"/>
        </w:rPr>
      </w:pPr>
    </w:p>
    <w:p>
      <w:pPr>
        <w:ind w:firstLine="509"/>
        <w:spacing w:after="0" w:line="481" w:lineRule="auto"/>
        <w:rPr>
          <w:sz w:val="20"/>
          <w:szCs w:val="20"/>
          <w:color w:val="auto"/>
        </w:rPr>
      </w:pPr>
      <w:r>
        <w:rPr>
          <w:rFonts w:ascii="Times New Roman" w:cs="Times New Roman" w:eastAsia="Times New Roman" w:hAnsi="Times New Roman"/>
          <w:sz w:val="20"/>
          <w:szCs w:val="20"/>
          <w:color w:val="auto"/>
        </w:rPr>
        <w:t>Upon the Effective Date of the Settlement, Plaintiffs’ Releasing Parties shall completely, fully, finally and forever release, relinquish, settle and discharge each and all of the Released Defendant Parties from any and all of the Defendants’ Released Claims.</w:t>
      </w:r>
    </w:p>
    <w:p>
      <w:pPr>
        <w:spacing w:after="0" w:line="1" w:lineRule="exact"/>
        <w:rPr>
          <w:sz w:val="20"/>
          <w:szCs w:val="20"/>
          <w:color w:val="auto"/>
        </w:rPr>
      </w:pPr>
    </w:p>
    <w:p>
      <w:pPr>
        <w:ind w:firstLine="509"/>
        <w:spacing w:after="0" w:line="505" w:lineRule="auto"/>
        <w:rPr>
          <w:sz w:val="20"/>
          <w:szCs w:val="20"/>
          <w:color w:val="auto"/>
        </w:rPr>
      </w:pPr>
      <w:r>
        <w:rPr>
          <w:rFonts w:ascii="Times New Roman" w:cs="Times New Roman" w:eastAsia="Times New Roman" w:hAnsi="Times New Roman"/>
          <w:sz w:val="20"/>
          <w:szCs w:val="20"/>
          <w:color w:val="auto"/>
        </w:rPr>
        <w:t>Upon the Effective Date of the Settlement, Defendants’ Releasing Parties shall completely, fully, finally and forever release, relinquish, settle and discharge each and all of the Released Plaintiff Parties from any and all of the Plaintiffs’ Released Claims.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80"/>
          </w:cols>
          <w:pgMar w:left="300" w:top="843" w:right="319" w:bottom="1440" w:gutter="0" w:footer="0" w:header="0"/>
        </w:sectPr>
      </w:pPr>
    </w:p>
    <w:bookmarkStart w:id="12" w:name="page13"/>
    <w:bookmarkEnd w:id="12"/>
    <w:p>
      <w:pPr>
        <w:jc w:val="both"/>
        <w:ind w:firstLine="509"/>
        <w:spacing w:after="0" w:line="479"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“Defendants’ Released Claims” means any and all claims, demands, rights, liabilities, losses, obligations, duties, damages,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debts, expenses, interest, penalties, sanctions, fees, attorneys’ fees, actions, potential actions, causes of action, suits, judgments, defenses, counterclaims, offsets, decrees, matters, issues and controversies of any kind, nature or description whatsoever (however denominated), whether known or unknown, including Unknown Claims, that Plaintiffs asserted or could have asserted either directly or on behalf of nominal defendant Myriad in the Derivative Litigation or in any other court, tribunal, forum or proceeding, whether based on state, federal, local, foreign, statutory, regulatory, common or other law or rule, and which are based upon, arise out of, or relate in any way to, or involve, directly or indirectly, (a) the actions, inactions, deliberations, disclosures, discussions, decisions, votes, or any other conduct of any kind by any of the Released Defendant Parties, relating in any way to any facts, matters, events, circumstances, claims, or allegations alleged or that could have been alleged in the Derivative Litigation, or (b) the institution, commencement, prosecution, defense, mediation, or settlement of the Derivative Litigation.</w:t>
      </w:r>
    </w:p>
    <w:p>
      <w:pPr>
        <w:spacing w:after="0" w:line="4" w:lineRule="exact"/>
        <w:rPr>
          <w:sz w:val="20"/>
          <w:szCs w:val="20"/>
          <w:color w:val="auto"/>
        </w:rPr>
      </w:pPr>
    </w:p>
    <w:p>
      <w:pPr>
        <w:jc w:val="both"/>
        <w:ind w:firstLine="509"/>
        <w:spacing w:after="0" w:line="509"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color w:val="auto"/>
        </w:rPr>
        <w:t>“Defendants’ Releasing Parties” means Defendants and their respective agents, spouses, heirs, predecessors,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transferors, transferees, personal representatives, representatives and assigns.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80"/>
          </w:cols>
          <w:pgMar w:left="300" w:top="839" w:right="319" w:bottom="1440" w:gutter="0" w:footer="0" w:header="0"/>
        </w:sectPr>
      </w:pPr>
    </w:p>
    <w:bookmarkStart w:id="13" w:name="page14"/>
    <w:bookmarkEnd w:id="13"/>
    <w:p>
      <w:pPr>
        <w:jc w:val="both"/>
        <w:ind w:firstLine="509"/>
        <w:spacing w:after="0" w:line="479"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color w:val="auto"/>
        </w:rPr>
        <w:t>“Plaintiffs’ Released Claims” means all claims and causes of action of every nature and description, whether known or unknown,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arising under federal, state, common or foreign law, including Unknown Claims, that arise out of or relate in any way to Released Plaintiff Parties’ institution, prosecution, or settlement of the Derivative Litigation.</w:t>
      </w:r>
    </w:p>
    <w:p>
      <w:pPr>
        <w:spacing w:after="0" w:line="2" w:lineRule="exact"/>
        <w:rPr>
          <w:sz w:val="20"/>
          <w:szCs w:val="20"/>
          <w:color w:val="auto"/>
        </w:rPr>
      </w:pPr>
    </w:p>
    <w:p>
      <w:pPr>
        <w:jc w:val="both"/>
        <w:ind w:firstLine="509"/>
        <w:spacing w:after="0" w:line="479"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color w:val="auto"/>
        </w:rPr>
        <w:t>“Plaintiffs’ Releasing Parties” means Plaintiffs, Myriad, and all Current Myriad Stockholders, whether acting 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representatively, or derivatively on behalf of Myriad, and their respective agents, spouses, heirs, predecessors, successors, transferors, transferees, personal representatives, representatives and assigns.</w:t>
      </w:r>
    </w:p>
    <w:p>
      <w:pPr>
        <w:spacing w:after="0" w:line="2" w:lineRule="exact"/>
        <w:rPr>
          <w:sz w:val="20"/>
          <w:szCs w:val="20"/>
          <w:color w:val="auto"/>
        </w:rPr>
      </w:pPr>
    </w:p>
    <w:p>
      <w:pPr>
        <w:jc w:val="both"/>
        <w:ind w:firstLine="509"/>
        <w:spacing w:after="0" w:line="505" w:lineRule="auto"/>
        <w:rPr>
          <w:sz w:val="20"/>
          <w:szCs w:val="20"/>
          <w:color w:val="auto"/>
        </w:rPr>
      </w:pPr>
      <w:r>
        <w:rPr>
          <w:rFonts w:ascii="Times New Roman" w:cs="Times New Roman" w:eastAsia="Times New Roman" w:hAnsi="Times New Roman"/>
          <w:sz w:val="19"/>
          <w:szCs w:val="19"/>
          <w:b w:val="1"/>
          <w:bCs w:val="1"/>
          <w:color w:val="auto"/>
        </w:rPr>
        <w:t xml:space="preserve">4.5 </w:t>
      </w:r>
      <w:r>
        <w:rPr>
          <w:rFonts w:ascii="Times New Roman" w:cs="Times New Roman" w:eastAsia="Times New Roman" w:hAnsi="Times New Roman"/>
          <w:sz w:val="19"/>
          <w:szCs w:val="19"/>
          <w:color w:val="auto"/>
        </w:rPr>
        <w:t>“Released Claim(s)” means Plaintiffs’ Released Claims and Defendants’ Released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for the avoidance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doubt, that Released Claims shall not include any claims relating to the enforcement of this Stipulation or Settlement or any claims by Myriad or the Individual Defendants for insurance coverage or any claims by the Individual Defendants for indemnification or advancement.</w:t>
      </w:r>
    </w:p>
    <w:p>
      <w:pPr>
        <w:jc w:val="both"/>
        <w:ind w:firstLine="509"/>
        <w:spacing w:after="0" w:line="491" w:lineRule="auto"/>
        <w:rPr>
          <w:sz w:val="20"/>
          <w:szCs w:val="20"/>
          <w:color w:val="auto"/>
        </w:rPr>
      </w:pPr>
      <w:r>
        <w:rPr>
          <w:rFonts w:ascii="Times New Roman" w:cs="Times New Roman" w:eastAsia="Times New Roman" w:hAnsi="Times New Roman"/>
          <w:sz w:val="20"/>
          <w:szCs w:val="20"/>
          <w:b w:val="1"/>
          <w:bCs w:val="1"/>
          <w:color w:val="auto"/>
        </w:rPr>
        <w:t xml:space="preserve">4.6 </w:t>
      </w:r>
      <w:r>
        <w:rPr>
          <w:rFonts w:ascii="Times New Roman" w:cs="Times New Roman" w:eastAsia="Times New Roman" w:hAnsi="Times New Roman"/>
          <w:sz w:val="20"/>
          <w:szCs w:val="20"/>
          <w:color w:val="auto"/>
        </w:rPr>
        <w:t>“Released Defendant Parties” means all Defendants in the Derivative Litigation, and any and all of their and Myriad’s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former agents, parents, controlling persons, general or limited partners, members, managers, managing members, direct or indirect equity holders, subsidiaries, affiliates, employees, officers, directors, predecessors, successors, attorneys, heirs, assigns, insurers, reinsurers, consultants, and other representatives, servants and related persons, in their capacities as such.</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80"/>
          </w:cols>
          <w:pgMar w:left="300" w:top="839" w:right="319" w:bottom="1440" w:gutter="0" w:footer="0" w:header="0"/>
        </w:sectPr>
      </w:pPr>
    </w:p>
    <w:bookmarkStart w:id="14" w:name="page15"/>
    <w:bookmarkEnd w:id="14"/>
    <w:p>
      <w:pPr>
        <w:ind w:left="5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color w:val="auto"/>
        </w:rPr>
        <w:t>“Released Party” or “Released Parties” means each and all of the Released Plaintiff Parties and the Released Defendant Parties.</w:t>
      </w:r>
    </w:p>
    <w:p>
      <w:pPr>
        <w:spacing w:after="0" w:line="22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4.8</w:t>
      </w:r>
      <w:r>
        <w:rPr>
          <w:sz w:val="20"/>
          <w:szCs w:val="20"/>
          <w:color w:val="auto"/>
        </w:rPr>
        <w:tab/>
      </w:r>
      <w:r>
        <w:rPr>
          <w:rFonts w:ascii="Times New Roman" w:cs="Times New Roman" w:eastAsia="Times New Roman" w:hAnsi="Times New Roman"/>
          <w:sz w:val="20"/>
          <w:szCs w:val="20"/>
          <w:color w:val="auto"/>
        </w:rPr>
        <w:t>“Released Plaintiff Parties” means Plaintiffs and Plaintiffs’ Counsel and each of their respective agents, assigns, and related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persons.</w:t>
      </w:r>
    </w:p>
    <w:p>
      <w:pPr>
        <w:spacing w:after="0" w:line="222"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4.9</w:t>
      </w:r>
      <w:r>
        <w:rPr>
          <w:sz w:val="20"/>
          <w:szCs w:val="20"/>
          <w:color w:val="auto"/>
        </w:rPr>
        <w:tab/>
      </w:r>
      <w:r>
        <w:rPr>
          <w:rFonts w:ascii="Times New Roman" w:cs="Times New Roman" w:eastAsia="Times New Roman" w:hAnsi="Times New Roman"/>
          <w:sz w:val="19"/>
          <w:szCs w:val="19"/>
          <w:color w:val="auto"/>
        </w:rPr>
        <w:t>“Releasing Parties” means Plaintiffs’ Releasing Parties and Defendants’ Releasing Parties.</w:t>
      </w:r>
    </w:p>
    <w:p>
      <w:pPr>
        <w:spacing w:after="0" w:line="226" w:lineRule="exact"/>
        <w:rPr>
          <w:sz w:val="20"/>
          <w:szCs w:val="20"/>
          <w:color w:val="auto"/>
        </w:rPr>
      </w:pPr>
    </w:p>
    <w:p>
      <w:pPr>
        <w:jc w:val="both"/>
        <w:ind w:firstLine="509"/>
        <w:spacing w:after="0" w:line="498" w:lineRule="auto"/>
        <w:rPr>
          <w:sz w:val="20"/>
          <w:szCs w:val="20"/>
          <w:color w:val="auto"/>
        </w:rPr>
      </w:pPr>
      <w:r>
        <w:rPr>
          <w:rFonts w:ascii="Times New Roman" w:cs="Times New Roman" w:eastAsia="Times New Roman" w:hAnsi="Times New Roman"/>
          <w:sz w:val="20"/>
          <w:szCs w:val="20"/>
          <w:b w:val="1"/>
          <w:bCs w:val="1"/>
          <w:color w:val="auto"/>
        </w:rPr>
        <w:t xml:space="preserve">4.10 </w:t>
      </w:r>
      <w:r>
        <w:rPr>
          <w:rFonts w:ascii="Times New Roman" w:cs="Times New Roman" w:eastAsia="Times New Roman" w:hAnsi="Times New Roman"/>
          <w:sz w:val="20"/>
          <w:szCs w:val="20"/>
          <w:color w:val="auto"/>
        </w:rPr>
        <w:t>“Unknown Claims” means any Released Claim which the Releasing Party does not know or suspect to exist in his, her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favor at the time of the Effective Date as against the Released Parties, including without limitation those which, if known, might have affected the decision to enter into or object to the Settlement.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80"/>
          </w:cols>
          <w:pgMar w:left="300" w:top="839" w:right="319" w:bottom="1440" w:gutter="0" w:footer="0" w:header="0"/>
        </w:sectPr>
      </w:pPr>
    </w:p>
    <w:bookmarkStart w:id="15" w:name="page16"/>
    <w:bookmarkEnd w:id="15"/>
    <w:p>
      <w:pPr>
        <w:ind w:left="520" w:hanging="515"/>
        <w:spacing w:after="0"/>
        <w:tabs>
          <w:tab w:leader="none" w:pos="52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WHAT ARE THE REASONS FOR SETTLING THE DERIVATIVE LITIGATION?</w:t>
      </w:r>
    </w:p>
    <w:p>
      <w:pPr>
        <w:spacing w:after="0" w:line="294" w:lineRule="exact"/>
        <w:rPr>
          <w:sz w:val="20"/>
          <w:szCs w:val="20"/>
          <w:color w:val="auto"/>
        </w:rPr>
      </w:pPr>
    </w:p>
    <w:p>
      <w:pPr>
        <w:jc w:val="both"/>
        <w:ind w:firstLine="509"/>
        <w:spacing w:after="0" w:line="484" w:lineRule="auto"/>
        <w:rPr>
          <w:sz w:val="20"/>
          <w:szCs w:val="20"/>
          <w:color w:val="auto"/>
        </w:rPr>
      </w:pPr>
      <w:r>
        <w:rPr>
          <w:rFonts w:ascii="Times New Roman" w:cs="Times New Roman" w:eastAsia="Times New Roman" w:hAnsi="Times New Roman"/>
          <w:sz w:val="20"/>
          <w:szCs w:val="20"/>
          <w:color w:val="auto"/>
        </w:rPr>
        <w:t>Plaintiffs’ entry into the Stipulation is not intended to be and shall not be construed as an admission or concession concerning the relative strength or merit of the claims alleged in the Derivative Litigation. Plaintiffs’ Counsel has taken into account the uncertain outcome and the risk of any litigation, especially in complex cases such as the Derivative Litigation, as well as the difficulties and delays inherent in such litigation, and Plaintiffs’ Counsel is also mindful of the inherent problems of proof and possible defenses to the claims alleged in the Derivative Litigation. Based upon Plaintiffs’ Counsel’s evaluation, Plaintiffs have determined that the Settlement is fair, reasonable, adequate, and in the best interests of Myriad and all Current Myriad Stockholders and has agreed to settle the Derivative Litigation upon the terms and subject to the conditions set forth in the Stipulation.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80"/>
          </w:cols>
          <w:pgMar w:left="300" w:top="722" w:right="319" w:bottom="1440" w:gutter="0" w:footer="0" w:header="0"/>
        </w:sectPr>
      </w:pPr>
    </w:p>
    <w:bookmarkStart w:id="16" w:name="page17"/>
    <w:bookmarkEnd w:id="16"/>
    <w:p>
      <w:pPr>
        <w:jc w:val="both"/>
        <w:ind w:firstLine="509"/>
        <w:spacing w:after="0" w:line="466" w:lineRule="auto"/>
        <w:rPr>
          <w:sz w:val="20"/>
          <w:szCs w:val="20"/>
          <w:color w:val="auto"/>
        </w:rPr>
      </w:pPr>
      <w:r>
        <w:rPr>
          <w:rFonts w:ascii="Times New Roman" w:cs="Times New Roman" w:eastAsia="Times New Roman" w:hAnsi="Times New Roman"/>
          <w:sz w:val="20"/>
          <w:szCs w:val="20"/>
          <w:color w:val="auto"/>
        </w:rPr>
        <w:t>Defendants have denied, and continue to deny, that they committed any breach of duty, made or allowed to be made any false or misleading statements, violated any law, or engaged in any wrongdoing, expressly maintain that they diligently and scrupulously complied with their fiduciary and other legal duties, to the extent such duties exist, and further believe that the Derivative Litigation is without merit. Defendants further believe Plaintiffs did not have standing to bring this Derivative Litigation on behalf of Myriad pursuant to Del. R. Ch. Ct. 23.1. Defendants have entered into the Stipulation to eliminate the uncertainty, burden and expense of further protracted litigation. Neither their entry into the Stipulation nor the Stipulation itself shall be construed or deemed to be evidence of or an admission or concession on the part of any of the Defendants, with respect to any claim or allegation of any fault or liability or wrongdoing or damage whatsoever, or any infirmity in the defenses that Defendants have, or could have, asserted in the Derivative Litigation. Defendants expressly deny that Plaintiffs have asserted any valid claims as to any of them, and expressly deny any and all allegations of fault, liability, wrongdoing or damages whatsoever.</w:t>
      </w:r>
    </w:p>
    <w:p>
      <w:pPr>
        <w:spacing w:after="0" w:line="8"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HOW WILL THE ATTORNEYS GET PAID?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80"/>
          </w:cols>
          <w:pgMar w:left="300" w:top="843" w:right="319" w:bottom="1440" w:gutter="0" w:footer="0" w:header="0"/>
        </w:sectPr>
      </w:pPr>
    </w:p>
    <w:bookmarkStart w:id="17" w:name="page18"/>
    <w:bookmarkEnd w:id="17"/>
    <w:p>
      <w:pPr>
        <w:jc w:val="both"/>
        <w:ind w:firstLine="509"/>
        <w:spacing w:after="0" w:line="478" w:lineRule="auto"/>
        <w:rPr>
          <w:sz w:val="20"/>
          <w:szCs w:val="20"/>
          <w:color w:val="auto"/>
        </w:rPr>
      </w:pPr>
      <w:r>
        <w:rPr>
          <w:rFonts w:ascii="Times New Roman" w:cs="Times New Roman" w:eastAsia="Times New Roman" w:hAnsi="Times New Roman"/>
          <w:sz w:val="20"/>
          <w:szCs w:val="20"/>
          <w:color w:val="auto"/>
        </w:rPr>
        <w:t>After negotiation of the principal terms of the Settlement, including the Corporate Governance Enhancements and the definition of Released Claims, the Parties began negotiations regarding the amount of attorneys’ fees and expenses that Plaintiffs’ Counsel would request they be paid in connection with the Settlement of the Derivative Litigation. After extensive, arm’s-length negotiations, the Parties agreed that Plaintiffs’ Counsel will apply to the Court for an award of attorneys’ fees and expenses not to exceed $950,000 in the aggregate (the “Fee Award”).</w:t>
      </w:r>
    </w:p>
    <w:p>
      <w:pPr>
        <w:spacing w:after="0" w:line="2"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Defendants acknowledge and agree that Plaintiffs’ Counsel is entitled to a fee award. Defendants have agreed not to oppose or object to the application by Plaintiffs’ Counsel for the requested agreed-upon Fee Award.</w:t>
      </w:r>
    </w:p>
    <w:p>
      <w:pPr>
        <w:spacing w:after="0" w:line="1" w:lineRule="exact"/>
        <w:rPr>
          <w:sz w:val="20"/>
          <w:szCs w:val="20"/>
          <w:color w:val="auto"/>
        </w:rPr>
      </w:pPr>
    </w:p>
    <w:p>
      <w:pPr>
        <w:jc w:val="both"/>
        <w:ind w:firstLine="509"/>
        <w:spacing w:after="0" w:line="481" w:lineRule="auto"/>
        <w:rPr>
          <w:sz w:val="20"/>
          <w:szCs w:val="20"/>
          <w:color w:val="auto"/>
        </w:rPr>
      </w:pPr>
      <w:r>
        <w:rPr>
          <w:rFonts w:ascii="Times New Roman" w:cs="Times New Roman" w:eastAsia="Times New Roman" w:hAnsi="Times New Roman"/>
          <w:sz w:val="20"/>
          <w:szCs w:val="20"/>
          <w:color w:val="auto"/>
        </w:rPr>
        <w:t>Plaintiffs may also seek the Court’s approval of reasonable services awards for each of the Plaintiffs, to be paid from the Fee Award, and Defendants have agreed not to oppose any such request.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requested Fee Award will be paid by Myriad and/or its insurers.</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Neither Plaintiffs nor Plaintiffs’ Counsel will make any application for an award of attorneys’ fees or expenses in any other jurisdiction.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otherwise provided in the Stipulation, each of the Parties shall bear his, her, or its own fees and costs.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80"/>
          </w:cols>
          <w:pgMar w:left="300" w:top="843" w:right="319" w:bottom="1440" w:gutter="0" w:footer="0" w:header="0"/>
        </w:sectPr>
      </w:pPr>
    </w:p>
    <w:bookmarkStart w:id="18" w:name="page19"/>
    <w:bookmarkEnd w:id="18"/>
    <w:p>
      <w:pPr>
        <w:jc w:val="both"/>
        <w:ind w:firstLine="509"/>
        <w:spacing w:after="0" w:line="447" w:lineRule="auto"/>
        <w:rPr>
          <w:sz w:val="20"/>
          <w:szCs w:val="20"/>
          <w:color w:val="auto"/>
        </w:rPr>
      </w:pPr>
      <w:r>
        <w:rPr>
          <w:rFonts w:ascii="Times New Roman" w:cs="Times New Roman" w:eastAsia="Times New Roman" w:hAnsi="Times New Roman"/>
          <w:sz w:val="20"/>
          <w:szCs w:val="20"/>
          <w:color w:val="auto"/>
        </w:rPr>
        <w:t>The approval, validity, and enforceability of the Settlement is in no way dependent upon or impacted by the approval or disapproval of the requested Fee Award. Final resolution by the Court of the requested Fee Award is not a precondition to the dismissal with prejudice of the Derivative Litigation. Any failure of the Court to approve the requested Fee Award, in whole or in part, does not provide any of the Parties with the right to terminate the Settlement.</w:t>
      </w:r>
    </w:p>
    <w:p>
      <w:pPr>
        <w:spacing w:after="0" w:line="1"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WHEN WILL THE SETTLEMENT HEARING TAKE PLACE?</w:t>
      </w:r>
    </w:p>
    <w:p>
      <w:pPr>
        <w:spacing w:after="0" w:line="305" w:lineRule="exact"/>
        <w:rPr>
          <w:sz w:val="20"/>
          <w:szCs w:val="20"/>
          <w:color w:val="auto"/>
        </w:rPr>
      </w:pPr>
    </w:p>
    <w:p>
      <w:pPr>
        <w:jc w:val="both"/>
        <w:ind w:firstLine="509"/>
        <w:spacing w:after="0" w:line="483" w:lineRule="auto"/>
        <w:rPr>
          <w:sz w:val="20"/>
          <w:szCs w:val="20"/>
          <w:color w:val="auto"/>
        </w:rPr>
      </w:pPr>
      <w:r>
        <w:rPr>
          <w:rFonts w:ascii="Times New Roman" w:cs="Times New Roman" w:eastAsia="Times New Roman" w:hAnsi="Times New Roman"/>
          <w:sz w:val="20"/>
          <w:szCs w:val="20"/>
          <w:color w:val="auto"/>
        </w:rPr>
        <w:t>The Court has scheduled a Settlement Hearing to be held on August 6, 2024 at 10:00 a.m. (EST), the Court of Chancery Sussex County Courthouse, 34 The Circle, Georgetown, DE 19947. At the Settlement Hearing, the Court will consider whether the terms of the Settlement are fair, reasonable, and adequate and thus should be finally approved, whether the Fee Award should be approved, and whether the Action should be dismissed with prejudice by entry of the Final Judgment pursuant to the Stipulation. The Court will also hear and rule on any objections to the proposed Settlement and Fee Award, and rule on such other matters as the Court may deem appropriate. The Court may adjourn the Settlement Hearing from time to time without further notice to anyone other than the Parties and any Objectors (as defined below). The Court reserves the right to approve the Stipulation at or after the Settlement Hearing with such modifications as may be consented to by the Parties to the Stipulation and without further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80"/>
          </w:cols>
          <w:pgMar w:left="300" w:top="843" w:right="319" w:bottom="1440" w:gutter="0" w:footer="0" w:header="0"/>
        </w:sectPr>
      </w:pPr>
    </w:p>
    <w:bookmarkStart w:id="19" w:name="page20"/>
    <w:bookmarkEnd w:id="19"/>
    <w:p>
      <w:pPr>
        <w:ind w:left="520" w:hanging="515"/>
        <w:spacing w:after="0"/>
        <w:tabs>
          <w:tab w:leader="none" w:pos="52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DO I HAVE A RIGHT TO APPEAR AND OBJECT?</w:t>
      </w:r>
    </w:p>
    <w:p>
      <w:pPr>
        <w:spacing w:after="0" w:line="294" w:lineRule="exact"/>
        <w:rPr>
          <w:sz w:val="20"/>
          <w:szCs w:val="20"/>
          <w:color w:val="auto"/>
        </w:rPr>
      </w:pPr>
    </w:p>
    <w:p>
      <w:pPr>
        <w:jc w:val="both"/>
        <w:ind w:firstLine="509"/>
        <w:spacing w:after="0" w:line="480" w:lineRule="auto"/>
        <w:rPr>
          <w:sz w:val="20"/>
          <w:szCs w:val="20"/>
          <w:color w:val="auto"/>
        </w:rPr>
      </w:pPr>
      <w:r>
        <w:rPr>
          <w:rFonts w:ascii="Times New Roman" w:cs="Times New Roman" w:eastAsia="Times New Roman" w:hAnsi="Times New Roman"/>
          <w:sz w:val="20"/>
          <w:szCs w:val="20"/>
          <w:color w:val="auto"/>
        </w:rPr>
        <w:t xml:space="preserve">Yes. Any record or beneficial stockholder of Myriad who wishes to object to the Stipulation, the proposed Final Judgment, and/or the Fee Award (“Objector”), may appear in person or by his, her, or its attorney at the Settlement Hearing and present any evidence or argument that may be proper and relevant;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no Objector shall be heard or entitled to contest the approval of the terms and conditions of the Settlement, or, if approved, the Final Judgment, unless he, she, or it has, no later than twenty (20) calendar days prior to the Settlement Hearing (unless the Court in its discretion shall thereafter otherwise direct, upon application of such person and for good cause shown), filed with the Register in Chancery, Court of Chancery, New Castle County Courthouse, 500 North King Street, Wilmington, Delaware 19801, and served upon counsel listed below, the following: (i) proof of current ownership of Myriad stock; (ii) a written notice of the Objector’s intention to appear that states the Objector’s name, address, and telephone number and, if represented, the Objector’s counsel;</w:t>
      </w:r>
    </w:p>
    <w:p>
      <w:pPr>
        <w:spacing w:after="0" w:line="2" w:lineRule="exact"/>
        <w:rPr>
          <w:sz w:val="20"/>
          <w:szCs w:val="20"/>
          <w:color w:val="auto"/>
        </w:rPr>
      </w:pPr>
    </w:p>
    <w:p>
      <w:pPr>
        <w:jc w:val="both"/>
        <w:ind w:firstLine="5"/>
        <w:spacing w:after="0" w:line="490" w:lineRule="auto"/>
        <w:tabs>
          <w:tab w:leader="none" w:pos="37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detailed statement of all of the grounds thereon and the reasons for the Objector’s desire to appear and to be heard, and (iv) all documents or writings which the Objector desires the Court to consider. Such filings must be served upon the following counsel by hand delivery, overnight mail, or the Court’s electronic filing and service system:</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80"/>
          </w:cols>
          <w:pgMar w:left="300" w:top="913" w:right="31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9"/>
          <w:szCs w:val="19"/>
          <w:b w:val="1"/>
          <w:bCs w:val="1"/>
          <w:color w:val="auto"/>
        </w:rPr>
        <w:t>SCHUBERT JONCKHEER &amp; KOLBE LLP</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Robert C. Schubert</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Willem F. Jonckheer</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2001 Union Street, Suite 200</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San Francisco, California 94111</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(415) 788-4220</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RIGRODSKY LAW, P.A.</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Timothy J. MacFall</w:t>
      </w:r>
    </w:p>
    <w:p>
      <w:pPr>
        <w:spacing w:after="0" w:line="11" w:lineRule="exact"/>
        <w:rPr>
          <w:sz w:val="20"/>
          <w:szCs w:val="20"/>
          <w:color w:val="auto"/>
        </w:rPr>
      </w:pPr>
    </w:p>
    <w:p>
      <w:pPr>
        <w:ind w:left="60" w:right="1820"/>
        <w:spacing w:after="0" w:line="252" w:lineRule="auto"/>
        <w:rPr>
          <w:sz w:val="20"/>
          <w:szCs w:val="20"/>
          <w:color w:val="auto"/>
        </w:rPr>
      </w:pPr>
      <w:r>
        <w:rPr>
          <w:rFonts w:ascii="Times New Roman" w:cs="Times New Roman" w:eastAsia="Times New Roman" w:hAnsi="Times New Roman"/>
          <w:sz w:val="20"/>
          <w:szCs w:val="20"/>
          <w:color w:val="auto"/>
        </w:rPr>
        <w:t>300 Delaware Avenue, Suite 210 Wilmington, Delaware 19801 (302) 295-5310</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Co-Lead Counsel for Plaintiffs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in the Action</w:t>
      </w:r>
    </w:p>
    <w:p>
      <w:pPr>
        <w:spacing w:after="0" w:line="20" w:lineRule="exact"/>
        <w:rPr>
          <w:sz w:val="20"/>
          <w:szCs w:val="20"/>
          <w:color w:val="auto"/>
        </w:rPr>
      </w:pPr>
      <w:r>
        <w:rPr>
          <w:sz w:val="20"/>
          <w:szCs w:val="20"/>
          <w:color w:val="auto"/>
        </w:rPr>
        <w:br w:type="column"/>
      </w:r>
    </w:p>
    <w:p>
      <w:pPr>
        <w:ind w:right="132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SKADDEN, ARPS, SLATE, MEAGHER &amp; FLOM LLP </w:t>
      </w:r>
      <w:r>
        <w:rPr>
          <w:rFonts w:ascii="Times New Roman" w:cs="Times New Roman" w:eastAsia="Times New Roman" w:hAnsi="Times New Roman"/>
          <w:sz w:val="20"/>
          <w:szCs w:val="20"/>
          <w:color w:val="auto"/>
        </w:rPr>
        <w:t>Winston P.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 South Grand Avenue, Suite 3400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 90071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(213) 687-5000</w:t>
      </w:r>
    </w:p>
    <w:p>
      <w:pPr>
        <w:spacing w:after="0" w:line="176" w:lineRule="exact"/>
        <w:rPr>
          <w:sz w:val="20"/>
          <w:szCs w:val="20"/>
          <w:color w:val="auto"/>
        </w:rPr>
      </w:pPr>
    </w:p>
    <w:p>
      <w:pPr>
        <w:ind w:right="1700"/>
        <w:spacing w:after="0" w:line="258" w:lineRule="auto"/>
        <w:rPr>
          <w:sz w:val="20"/>
          <w:szCs w:val="20"/>
          <w:color w:val="auto"/>
        </w:rPr>
      </w:pPr>
      <w:r>
        <w:rPr>
          <w:rFonts w:ascii="Times New Roman" w:cs="Times New Roman" w:eastAsia="Times New Roman" w:hAnsi="Times New Roman"/>
          <w:sz w:val="20"/>
          <w:szCs w:val="20"/>
          <w:b w:val="1"/>
          <w:bCs w:val="1"/>
          <w:color w:val="auto"/>
        </w:rPr>
        <w:t>MINTZ, LEVIN, COHN, FERRIS, GLOVSKY and POPEO, P.C.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F. Sylvia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Financial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 02111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(617) 542-6000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Counsel for Defendants</w:t>
      </w:r>
    </w:p>
    <w:p>
      <w:pPr>
        <w:spacing w:after="0" w:line="462" w:lineRule="exact"/>
        <w:rPr>
          <w:sz w:val="20"/>
          <w:szCs w:val="20"/>
          <w:color w:val="auto"/>
        </w:rPr>
      </w:pPr>
    </w:p>
    <w:p>
      <w:pPr>
        <w:sectPr>
          <w:pgSz w:w="11900" w:h="16838" w:orient="portrait"/>
          <w:cols w:equalWidth="0" w:num="2">
            <w:col w:w="4480" w:space="720"/>
            <w:col w:w="6080"/>
          </w:cols>
          <w:pgMar w:left="300" w:top="765" w:right="319" w:bottom="1440" w:gutter="0" w:footer="0" w:header="0"/>
        </w:sectPr>
      </w:pP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Any person who fails to object in the manner prescribed above shall be deemed to have waived such objection (including the right to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appeal), unless the Court in its discretion allows such objection to be heard at the Settlement Hearing, and shall forever be barred from raising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objection in the Derivative Litigation or any other action or proceeding or otherwise contesting the Stipulation or Fee Award, and will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be bound by the Final Judgment and the releases to be given.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80"/>
          </w:cols>
          <w:pgMar w:left="300" w:top="765" w:right="319" w:bottom="1440" w:gutter="0" w:footer="0" w:header="0"/>
          <w:type w:val="continuous"/>
        </w:sectPr>
      </w:pPr>
    </w:p>
    <w:bookmarkStart w:id="21" w:name="page22"/>
    <w:bookmarkEnd w:id="21"/>
    <w:p>
      <w:pPr>
        <w:ind w:left="520" w:hanging="515"/>
        <w:spacing w:after="0"/>
        <w:tabs>
          <w:tab w:leader="none" w:pos="52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HOW DO I GET ADDITIONAL INFORMATION?</w:t>
      </w:r>
    </w:p>
    <w:p>
      <w:pPr>
        <w:spacing w:after="0" w:line="290" w:lineRule="exact"/>
        <w:rPr>
          <w:sz w:val="20"/>
          <w:szCs w:val="20"/>
          <w:color w:val="auto"/>
        </w:rPr>
      </w:pPr>
    </w:p>
    <w:p>
      <w:pPr>
        <w:jc w:val="both"/>
        <w:ind w:firstLine="509"/>
        <w:spacing w:after="0" w:line="480" w:lineRule="auto"/>
        <w:rPr>
          <w:sz w:val="20"/>
          <w:szCs w:val="20"/>
          <w:color w:val="auto"/>
        </w:rPr>
      </w:pPr>
      <w:r>
        <w:rPr>
          <w:rFonts w:ascii="Times New Roman" w:cs="Times New Roman" w:eastAsia="Times New Roman" w:hAnsi="Times New Roman"/>
          <w:sz w:val="20"/>
          <w:szCs w:val="20"/>
          <w:color w:val="auto"/>
        </w:rPr>
        <w:t xml:space="preserve">This Notice summarizes the Stipulation. It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 complete statement of the events in the Derivative Litigation nor a complete recitation of the terms and conditions of the Stipulation. For additional information about the Derivative Litigation and Settlement, please refer to the documents filed with the Court, in the Federal Derivative Action, and in the Stipulation. The Stipulation and this Notice are also attached to a Form 8-K filed by the Company with the U.S. Securities and Exchange Commission, that can be found at https://investor.myriad.com/sec-filings/. You may also examine the files in the Action during regular business hours of each business day at the office of the Register in Chancery, Court of Chancery, New Castle County Courthouse, 500 North King Street, Wilmington, Delaware 1980. The Clerk’s office will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mail copies of documents to you. You may also access the files in the Federal Derivative Action by accessing the docket in that case, for a fee, through the Public Access to Court Electronic Records (PACER) system at https://pacer.login.uscourts.gov/, or by visiting the Office of the Clerk for the United States District Court for the District of Delaware, 844 North King St., Unit 18, Wilmington, DE 19801, between 8:30 a.m. and 4:00 p.m. Eastern, Monday through Friday, excluding Court holidays. For more information concerning the Settlement, you may also call or write to Plaintiffs’ Counsel referenced above in Section 8.</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PLEASE DO NOT CALL OR WRITE TO THE COURT.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80"/>
          </w:cols>
          <w:pgMar w:left="300" w:top="722" w:right="319" w:bottom="144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2024-06-03T15:15:09Z</dcterms:created>
  <dcterms:modified xsi:type="dcterms:W3CDTF">2024-06-03T15:15:09Z</dcterms:modified>
</cp:coreProperties>
</file>