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pPr>
      <w:r>
        <w:rPr>
          <w:rFonts w:ascii="Times New Roman;serif" w:hAnsi="Times New Roman;serif"/>
          <w:b/>
          <w:color w:val="000000"/>
          <w:sz w:val="24"/>
        </w:rPr>
        <w:t>Date of Report (Date of earliest event reported):</w:t>
      </w:r>
      <w:r>
        <w:rPr>
          <w:color w:val="000000"/>
        </w:rPr>
        <w:t>  </w:t>
      </w:r>
      <w:r>
        <w:rPr>
          <w:rFonts w:ascii="Times New Roman;serif" w:hAnsi="Times New Roman;serif"/>
          <w:b/>
          <w:color w:val="000000"/>
          <w:sz w:val="24"/>
        </w:rPr>
        <w:t>May 5, 2026</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MYRIAD GENETICS,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5467" w:type="dxa"/>
        <w:jc w:val="left"/>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3"/>
        <w:gridCol w:w="433"/>
        <w:gridCol w:w="618"/>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0-26642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87-0494517</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322 North 2200 West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Salt Lake City, Utah 84116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(801) 584-3600</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6742" w:type="dxa"/>
        <w:jc w:val="left"/>
        <w:tblInd w:w="0" w:type="dxa"/>
        <w:tblLayout w:type="fixed"/>
        <w:tblCellMar>
          <w:top w:w="28" w:type="dxa"/>
          <w:left w:w="28" w:type="dxa"/>
          <w:bottom w:w="28" w:type="dxa"/>
          <w:right w:w="28" w:type="dxa"/>
        </w:tblCellMar>
      </w:tblPr>
      <w:tblGrid>
        <w:gridCol w:w="705"/>
        <w:gridCol w:w="618"/>
        <w:gridCol w:w="627"/>
        <w:gridCol w:w="109"/>
        <w:gridCol w:w="109"/>
        <w:gridCol w:w="109"/>
        <w:gridCol w:w="274"/>
        <w:gridCol w:w="274"/>
        <w:gridCol w:w="276"/>
        <w:gridCol w:w="109"/>
        <w:gridCol w:w="109"/>
        <w:gridCol w:w="109"/>
        <w:gridCol w:w="970"/>
        <w:gridCol w:w="970"/>
        <w:gridCol w:w="1374"/>
      </w:tblGrid>
      <w:tr>
        <w:trP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MYGN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5, 2026, Myriad Genetics, Inc. announced its financial results for the three months ended March 31, 2026.  The earnings release is attached hereto as Exhibit 99.1 to this Current Report on Form 8-K and incorporated herein by reference.</w:t>
      </w:r>
    </w:p>
    <w:p>
      <w:pPr>
        <w:pStyle w:val="TextBody"/>
        <w:bidi w:val="0"/>
        <w:spacing w:lineRule="auto" w:line="288" w:before="120" w:after="283"/>
        <w:jc w:val="both"/>
        <w:rPr/>
      </w:pPr>
      <w:r>
        <w:rPr>
          <w:rFonts w:ascii="Times New Roman;serif" w:hAnsi="Times New Roman;serif"/>
          <w:b w:val="false"/>
          <w:color w:val="000000"/>
          <w:sz w:val="20"/>
          <w:u w:val="single"/>
        </w:rPr>
        <w:t>Cautionary Note Regarding Forward-Looking Statements</w:t>
      </w:r>
      <w:r>
        <w:rPr>
          <w:rFonts w:ascii="Times New Roman;serif" w:hAnsi="Times New Roman;serif"/>
          <w:b w:val="false"/>
          <w:color w:val="000000"/>
          <w:sz w:val="20"/>
        </w:rPr>
        <w:t>. Except for historical information contained in this Current Report on Form 8-K, 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Exhibit 99.1 to this Current Report on Form 8-K regarding these forward-looking statements.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767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40"/>
        <w:gridCol w:w="1940"/>
        <w:gridCol w:w="276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mygn-xearningsrelease.htm">
              <w:r>
                <w:rPr>
                  <w:rStyle w:val="InternetLink"/>
                  <w:rFonts w:ascii="Times New Roman;serif" w:hAnsi="Times New Roman;serif"/>
                  <w:b w:val="false"/>
                  <w:color w:val="000080"/>
                  <w:sz w:val="20"/>
                  <w:u w:val="single"/>
                  <w:shd w:fill="FFFFFF" w:val="clear"/>
                </w:rPr>
                <w:t xml:space="preserve">Earnings release dated </w:t>
              </w:r>
            </w:hyperlink>
            <w:hyperlink w:anchor="ex991mygn-xearningsrelease.htm">
              <w:r>
                <w:rPr>
                  <w:rStyle w:val="InternetLink"/>
                  <w:rFonts w:ascii="Times New Roman;serif" w:hAnsi="Times New Roman;serif"/>
                  <w:b w:val="false"/>
                  <w:color w:val="000080"/>
                  <w:sz w:val="20"/>
                  <w:u w:val="single"/>
                  <w:shd w:fill="FFFFFF" w:val="clear"/>
                </w:rPr>
                <w:t xml:space="preserve">May </w:t>
              </w:r>
            </w:hyperlink>
            <w:hyperlink w:anchor="ex991mygn-xearningsrelease.htm">
              <w:r>
                <w:rPr>
                  <w:rStyle w:val="InternetLink"/>
                  <w:rFonts w:ascii="Times New Roman;serif" w:hAnsi="Times New Roman;serif"/>
                  <w:b w:val="false"/>
                  <w:color w:val="000080"/>
                  <w:sz w:val="20"/>
                  <w:u w:val="single"/>
                  <w:shd w:fill="FFFFFF" w:val="clear"/>
                </w:rPr>
                <w:t>5</w:t>
              </w:r>
            </w:hyperlink>
            <w:hyperlink w:anchor="ex991mygn-xearningsrelease.htm">
              <w:r>
                <w:rPr>
                  <w:rStyle w:val="InternetLink"/>
                  <w:rFonts w:ascii="Times New Roman;serif" w:hAnsi="Times New Roman;serif"/>
                  <w:b w:val="false"/>
                  <w:color w:val="000080"/>
                  <w:sz w:val="20"/>
                  <w:u w:val="single"/>
                  <w:shd w:fill="FFFFFF" w:val="clear"/>
                </w:rPr>
                <w:t>, 2026 for the three months ended</w:t>
              </w:r>
            </w:hyperlink>
            <w:hyperlink w:anchor="ex991mygn-xearningsrelease.htm">
              <w:r>
                <w:rPr>
                  <w:rStyle w:val="InternetLink"/>
                  <w:rFonts w:ascii="Times New Roman;serif" w:hAnsi="Times New Roman;serif"/>
                  <w:b w:val="false"/>
                  <w:color w:val="000080"/>
                  <w:sz w:val="20"/>
                  <w:u w:val="single"/>
                  <w:shd w:fill="FFFFFF" w:val="clear"/>
                </w:rPr>
                <w:t xml:space="preserve"> March </w:t>
              </w:r>
            </w:hyperlink>
            <w:hyperlink w:anchor="ex991mygn-xearningsrelease.htm">
              <w:r>
                <w:rPr>
                  <w:rStyle w:val="InternetLink"/>
                  <w:rFonts w:ascii="Times New Roman;serif" w:hAnsi="Times New Roman;serif"/>
                  <w:b w:val="false"/>
                  <w:color w:val="000080"/>
                  <w:sz w:val="20"/>
                  <w:u w:val="single"/>
                  <w:shd w:fill="FFFFFF" w:val="clear"/>
                </w:rPr>
                <w:t>31, 202</w:t>
              </w:r>
            </w:hyperlink>
            <w:hyperlink w:anchor="ex991mygn-xearningsrelease.htm">
              <w:r>
                <w:rPr>
                  <w:rStyle w:val="InternetLink"/>
                  <w:rFonts w:ascii="Times New Roman;serif" w:hAnsi="Times New Roman;serif"/>
                  <w:b w:val="false"/>
                  <w:color w:val="000080"/>
                  <w:sz w:val="20"/>
                  <w:u w:val="single"/>
                  <w:shd w:fill="FFFFFF" w:val="clear"/>
                </w:rPr>
                <w:t>6</w:t>
              </w:r>
            </w:hyperlink>
            <w:hyperlink w:anchor="ex991mygn-xearningsrelease.htm">
              <w:r>
                <w:rPr>
                  <w:rStyle w:val="InternetLink"/>
                  <w:rFonts w:ascii="Times New Roman;serif" w:hAnsi="Times New Roman;serif"/>
                  <w:b w:val="false"/>
                  <w:color w:val="000080"/>
                  <w:sz w:val="20"/>
                  <w:u w:val="single"/>
                  <w:shd w:fill="FFFFFF" w:val="clear"/>
                </w:rPr>
                <w:t>.</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0" w:after="283"/>
        <w:jc w:val="left"/>
        <w:rPr/>
      </w:pPr>
      <w:r>
        <w:rPr/>
      </w:r>
    </w:p>
    <w:p>
      <w:pPr>
        <w:pStyle w:val="TextBody"/>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The exhibit(s) may contain hypertext links to information on our website or other parties’ websites. The information on our website and other parties’ websites is not incorporated by reference into this Current Report on Form 8-K and does not constitute a part of this Current Report on Form 8-K.</w:t>
      </w:r>
    </w:p>
    <w:p>
      <w:pPr>
        <w:pStyle w:val="TextBody"/>
        <w:bidi w:val="0"/>
        <w:spacing w:lineRule="auto" w:line="288" w:before="240" w:after="283"/>
        <w:jc w:val="both"/>
        <w:rPr/>
      </w:pPr>
      <w:r>
        <w:rPr>
          <w:rFonts w:ascii="Times New Roman;serif" w:hAnsi="Times New Roman;serif"/>
          <w:b w:val="false"/>
          <w:color w:val="000000"/>
          <w:sz w:val="20"/>
          <w:u w:val="single"/>
        </w:rPr>
        <w:t>Limitation on Incorporation by Reference</w:t>
      </w:r>
      <w:r>
        <w:rPr>
          <w:rFonts w:ascii="Times New Roman;serif" w:hAnsi="Times New Roman;serif"/>
          <w:b w:val="false"/>
          <w:color w:val="000000"/>
          <w:sz w:val="20"/>
        </w:rPr>
        <w:t>. In accordance with General Instruction B-2 of Form 8-K, the information set forth in Item 2.02 and in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240" w:after="283"/>
        <w:ind w:left="0" w:right="0" w:firstLine="720"/>
        <w:jc w:val="both"/>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3763" w:type="dxa"/>
        <w:jc w:val="left"/>
        <w:tblInd w:w="0" w:type="dxa"/>
        <w:tblLayout w:type="fixed"/>
        <w:tblCellMar>
          <w:top w:w="28" w:type="dxa"/>
          <w:left w:w="28" w:type="dxa"/>
          <w:bottom w:w="28" w:type="dxa"/>
          <w:right w:w="28" w:type="dxa"/>
        </w:tblCellMar>
      </w:tblPr>
      <w:tblGrid>
        <w:gridCol w:w="135"/>
        <w:gridCol w:w="119"/>
        <w:gridCol w:w="119"/>
        <w:gridCol w:w="420"/>
        <w:gridCol w:w="420"/>
        <w:gridCol w:w="420"/>
        <w:gridCol w:w="622"/>
        <w:gridCol w:w="622"/>
        <w:gridCol w:w="886"/>
      </w:tblGrid>
      <w:tr>
        <w:trPr/>
        <w:tc>
          <w:tcPr>
            <w:tcW w:w="1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MYRIAD GENETICS, INC.</w:t>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R. Wheeler</w:t>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20" w:before="0" w:after="0"/>
        <w:jc w:val="right"/>
        <w:rPr>
          <w:rFonts w:ascii="ITC Franklin Gothic LT Pro Bk;sans-serif" w:hAnsi="ITC Franklin Gothic LT Pro Bk;sans-serif"/>
          <w:b/>
          <w:color w:val="000000"/>
          <w:sz w:val="24"/>
          <w:shd w:fill="FFFFFF" w:val="clear"/>
        </w:rPr>
      </w:pPr>
      <w:r>
        <w:rPr>
          <w:rFonts w:ascii="ITC Franklin Gothic LT Pro Bk;sans-serif" w:hAnsi="ITC Franklin Gothic LT Pro Bk;sans-serif"/>
          <w:b/>
          <w:color w:val="000000"/>
          <w:sz w:val="24"/>
          <w:shd w:fill="FFFFFF" w:val="clear"/>
        </w:rPr>
        <w:t>Exhibit 99.1</w:t>
      </w:r>
    </w:p>
    <w:p>
      <w:pPr>
        <w:pStyle w:val="TextBody"/>
        <w:bidi w:val="0"/>
        <w:spacing w:before="0" w:after="0"/>
        <w:jc w:val="center"/>
        <w:rPr/>
      </w:pPr>
      <w:r>
        <w:rPr/>
        <w:drawing>
          <wp:inline distT="0" distB="0" distL="0" distR="0">
            <wp:extent cx="6515100" cy="10668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515100" cy="1066800"/>
                    </a:xfrm>
                    <a:prstGeom prst="rect">
                      <a:avLst/>
                    </a:prstGeom>
                  </pic:spPr>
                </pic:pic>
              </a:graphicData>
            </a:graphic>
          </wp:inline>
        </w:drawing>
      </w:r>
    </w:p>
    <w:p>
      <w:pPr>
        <w:pStyle w:val="TextBody"/>
        <w:bidi w:val="0"/>
        <w:spacing w:lineRule="auto" w:line="276" w:before="0" w:after="0"/>
        <w:jc w:val="center"/>
        <w:rPr>
          <w:rFonts w:ascii="ITC Franklin Gothic LT Pro Bk;sans-serif" w:hAnsi="ITC Franklin Gothic LT Pro Bk;sans-serif"/>
          <w:b/>
          <w:color w:val="000000"/>
          <w:sz w:val="24"/>
          <w:shd w:fill="FFFFFF" w:val="clear"/>
        </w:rPr>
      </w:pPr>
      <w:r>
        <w:rPr>
          <w:rFonts w:ascii="ITC Franklin Gothic LT Pro Bk;sans-serif" w:hAnsi="ITC Franklin Gothic LT Pro Bk;sans-serif"/>
          <w:b/>
          <w:color w:val="000000"/>
          <w:sz w:val="24"/>
          <w:shd w:fill="FFFFFF" w:val="clear"/>
        </w:rPr>
        <w:t xml:space="preserve">Myriad Genetics Reports First Quarter 2026 Financial Results; </w:t>
      </w:r>
    </w:p>
    <w:p>
      <w:pPr>
        <w:pStyle w:val="TextBody"/>
        <w:bidi w:val="0"/>
        <w:spacing w:lineRule="auto" w:line="276" w:before="0" w:after="0"/>
        <w:jc w:val="center"/>
        <w:rPr>
          <w:rFonts w:ascii="ITC Franklin Gothic LT Pro Bk;sans-serif" w:hAnsi="ITC Franklin Gothic LT Pro Bk;sans-serif"/>
          <w:b/>
          <w:color w:val="000000"/>
          <w:sz w:val="24"/>
        </w:rPr>
      </w:pPr>
      <w:r>
        <w:rPr>
          <w:rFonts w:ascii="ITC Franklin Gothic LT Pro Bk;sans-serif" w:hAnsi="ITC Franklin Gothic LT Pro Bk;sans-serif"/>
          <w:b/>
          <w:color w:val="000000"/>
          <w:sz w:val="24"/>
        </w:rPr>
        <w:t>Reiterates 2026 Financial Guidance Reflecting Ongoing Progress in the Cancer Care Continuum Business</w:t>
      </w:r>
    </w:p>
    <w:p>
      <w:pPr>
        <w:pStyle w:val="TextBody"/>
        <w:bidi w:val="0"/>
        <w:spacing w:before="0" w:after="0"/>
        <w:jc w:val="center"/>
        <w:rPr/>
      </w:pPr>
      <w:r>
        <w:rPr/>
      </w:r>
    </w:p>
    <w:p>
      <w:pPr>
        <w:pStyle w:val="TextBody"/>
        <w:bidi w:val="0"/>
        <w:spacing w:lineRule="auto" w:line="360" w:before="0" w:after="0"/>
        <w:jc w:val="left"/>
        <w:rPr/>
      </w:pPr>
      <w:r>
        <w:rPr>
          <w:rFonts w:ascii="ITC Franklin Gothic LT Pro Bk;sans-serif" w:hAnsi="ITC Franklin Gothic LT Pro Bk;sans-serif"/>
          <w:b/>
          <w:color w:val="000000"/>
          <w:sz w:val="24"/>
          <w:shd w:fill="FFFFFF" w:val="clear"/>
        </w:rPr>
        <w:t>Highl</w:t>
      </w:r>
      <w:r>
        <w:rPr>
          <w:rFonts w:ascii="ITC Franklin Gothic LT Pro Bk;sans-serif" w:hAnsi="ITC Franklin Gothic LT Pro Bk;sans-serif"/>
          <w:b/>
          <w:color w:val="000000"/>
          <w:sz w:val="24"/>
        </w:rPr>
        <w:t>ights</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color w:val="000000"/>
          <w:sz w:val="24"/>
        </w:rPr>
        <w:t xml:space="preserve">First quarter </w:t>
      </w:r>
      <w:r>
        <w:rPr>
          <w:rFonts w:ascii="ITC Franklin Gothic LT Pro Bk;sans-serif" w:hAnsi="ITC Franklin Gothic LT Pro Bk;sans-serif"/>
          <w:b/>
          <w:color w:val="000000"/>
          <w:sz w:val="24"/>
          <w:shd w:fill="FFFFFF" w:val="clear"/>
        </w:rPr>
        <w:t>2026</w:t>
      </w:r>
      <w:r>
        <w:rPr>
          <w:color w:val="000000"/>
        </w:rPr>
        <w:t xml:space="preserve"> </w:t>
      </w:r>
      <w:r>
        <w:rPr>
          <w:rFonts w:ascii="ITC Franklin Gothic LT Pro Bk;sans-serif" w:hAnsi="ITC Franklin Gothic LT Pro Bk;sans-serif"/>
          <w:b/>
          <w:color w:val="000000"/>
          <w:sz w:val="24"/>
        </w:rPr>
        <w:t>revenue of $200.4 million grew 2% year-over-year, reflecting stable test volume and 2% year-over-year growth in average revenue per test.</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color w:val="000000"/>
          <w:sz w:val="24"/>
        </w:rPr>
        <w:t>First quarter 2026 test volume reflects 13% and 7% test volume growth year-over-year in Cancer Care Continuum and Mental Health, respectively, offset by a 12% decline year-over-year in Prenatal Health test volume.</w:t>
      </w:r>
    </w:p>
    <w:p>
      <w:pPr>
        <w:pStyle w:val="TextBody"/>
        <w:bidi w:val="0"/>
        <w:spacing w:lineRule="auto" w:line="360" w:before="0" w:after="0"/>
        <w:ind w:left="0" w:right="0" w:hanging="360"/>
        <w:jc w:val="left"/>
        <w:rPr/>
      </w:pPr>
      <w:r>
        <w:rPr>
          <w:color w:val="000000"/>
        </w:rPr>
        <w:t>•</w:t>
      </w:r>
      <w:r>
        <w:rPr>
          <w:rFonts w:ascii="ITC Franklin Gothic LT Pro Bk;sans-serif" w:hAnsi="ITC Franklin Gothic LT Pro Bk;sans-serif"/>
          <w:b/>
          <w:color w:val="000000"/>
          <w:sz w:val="24"/>
        </w:rPr>
        <w:t>Launched Precise Molecular Residual Disease (MRD), Myriad Genetics' ultrasensitive assay, representing progress toward earlier insight, more informed decisions, and better outcomes for cancer patients.</w:t>
      </w:r>
    </w:p>
    <w:p>
      <w:pPr>
        <w:pStyle w:val="TextBody"/>
        <w:bidi w:val="0"/>
        <w:spacing w:lineRule="auto" w:line="360" w:before="0" w:after="0"/>
        <w:ind w:left="0" w:right="0" w:hanging="360"/>
        <w:jc w:val="left"/>
        <w:rPr/>
      </w:pPr>
      <w:r>
        <w:rPr>
          <w:color w:val="000000"/>
        </w:rPr>
        <w:t>•</w:t>
      </w:r>
      <w:r>
        <w:rPr>
          <w:rFonts w:ascii="ITC Franklin Gothic LT Pro Bk;sans-serif" w:hAnsi="ITC Franklin Gothic LT Pro Bk;sans-serif"/>
          <w:b/>
          <w:color w:val="000000"/>
          <w:sz w:val="24"/>
        </w:rPr>
        <w:t>Received FDA approval of the MyChoice CDx test as the companion diagnostic for Zejula®, for patients with advanced ovarian cancer.</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color w:val="000000"/>
          <w:sz w:val="24"/>
        </w:rPr>
        <w:t xml:space="preserve">First quarter 2026 gross margin was 68.7%, up 20.0 basis points from the first quarter 2025.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color w:val="000000"/>
          <w:sz w:val="24"/>
        </w:rPr>
        <w:t>First quarter 2026 GAAP net loss of $34.1 million, or $0.36 per share, while adjusted loss per share was $0.09 per share and adjusted EBITDA was $(4.5) million.</w:t>
      </w:r>
    </w:p>
    <w:p>
      <w:pPr>
        <w:pStyle w:val="TextBody"/>
        <w:bidi w:val="0"/>
        <w:spacing w:before="0" w:after="0"/>
        <w:jc w:val="left"/>
        <w:rPr/>
      </w:pPr>
      <w:r>
        <w:rPr/>
      </w:r>
    </w:p>
    <w:p>
      <w:pPr>
        <w:pStyle w:val="TextBody"/>
        <w:bidi w:val="0"/>
        <w:spacing w:lineRule="auto" w:line="360" w:before="0" w:after="0"/>
        <w:jc w:val="both"/>
        <w:rPr/>
      </w:pPr>
      <w:r>
        <w:rPr>
          <w:rFonts w:ascii="ITC Franklin Gothic LT Pro Bk;sans-serif" w:hAnsi="ITC Franklin Gothic LT Pro Bk;sans-serif"/>
          <w:b/>
          <w:color w:val="000000"/>
          <w:sz w:val="22"/>
          <w:shd w:fill="FFFFFF" w:val="clear"/>
        </w:rPr>
        <w:t xml:space="preserve">SALT LAKE CITY, May 5, 2026 – </w:t>
      </w:r>
      <w:r>
        <w:rPr>
          <w:rFonts w:ascii="ITC Franklin Gothic LT Pro Bk;sans-serif" w:hAnsi="ITC Franklin Gothic LT Pro Bk;sans-serif"/>
          <w:b w:val="false"/>
          <w:color w:val="000000"/>
          <w:sz w:val="22"/>
        </w:rPr>
        <w:t>Myriad Genetics, Inc. (NASDAQ: MYGN), a leader in molecular diagnostic testing and precision medicine, today announced financial results for its first quarter ended March 31, 2026, and reaffirmed its financial guidance for the full-year 2026.</w:t>
      </w:r>
    </w:p>
    <w:p>
      <w:pPr>
        <w:pStyle w:val="TextBody"/>
        <w:bidi w:val="0"/>
        <w:spacing w:before="0" w:after="0"/>
        <w:jc w:val="left"/>
        <w:rPr/>
      </w:pPr>
      <w:r>
        <w:rPr/>
      </w:r>
    </w:p>
    <w:p>
      <w:pPr>
        <w:pStyle w:val="TextBody"/>
        <w:bidi w:val="0"/>
        <w:spacing w:lineRule="auto" w:line="360" w:before="0" w:after="0"/>
        <w:jc w:val="left"/>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"We are seeing strong performance across a number of key areas, including the Cancer Care Continuum as we begin to realize a return on our focused strategy. We have implemented a dedicated hereditary cancer sales force and other key programs designed to support the expected continued growth in germline testing. And with decisive steps taken to address our Prenatal Health business, we expect improved performance in the remainder of 2026,” said Sam Raha, President and CEO, Myriad Genetics. “Our limited launch of Precise MRD for breast cancer patients has received positive early feedback and we remain on track with our other planned launches in 2026, as part of our milestone-rich year. We are confident these tests will be important drivers of our growth in 2027 and beyond."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2560"/>
                <wp:effectExtent l="0" t="0" r="0" b="0"/>
                <wp:wrapNone/>
                <wp:docPr id="6"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w:t>
                      </w:r>
                    </w:p>
                  </w:txbxContent>
                </v:textbox>
                <w10:wrap type="none"/>
              </v:rect>
            </w:pict>
          </mc:Fallback>
        </mc:AlternateContent>
      </w:r>
    </w:p>
    <w:p>
      <w:pPr>
        <w:pStyle w:val="TextBody"/>
        <w:bidi w:val="0"/>
        <w:spacing w:before="0" w:after="120"/>
        <w:jc w:val="both"/>
        <w:rPr/>
      </w:pPr>
      <w:r>
        <w:rPr/>
      </w:r>
    </w:p>
    <w:p>
      <w:pPr>
        <w:pStyle w:val="TextBody"/>
        <w:bidi w:val="0"/>
        <w:spacing w:lineRule="auto" w:line="42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Financial and Operational Highlights</w:t>
      </w:r>
    </w:p>
    <w:p>
      <w:pPr>
        <w:pStyle w:val="TextBody"/>
        <w:bidi w:val="0"/>
        <w:spacing w:lineRule="auto" w:line="360" w:before="0" w:after="0"/>
        <w:ind w:left="0" w:right="0" w:hanging="360"/>
        <w:jc w:val="both"/>
        <w:rPr/>
      </w:pPr>
      <w:r>
        <w:rPr>
          <w:color w:val="000000"/>
          <w:shd w:fill="FFFFFF" w:val="clear"/>
        </w:rPr>
        <w:t>•</w:t>
      </w:r>
      <w:r>
        <w:rPr>
          <w:rFonts w:ascii="ITC Franklin Gothic LT Pro Bk;sans-serif" w:hAnsi="ITC Franklin Gothic LT Pro Bk;sans-serif"/>
          <w:b w:val="false"/>
          <w:color w:val="000000"/>
          <w:sz w:val="22"/>
          <w:shd w:fill="FFFFFF" w:val="clear"/>
        </w:rPr>
        <w:t xml:space="preserve">Test </w:t>
      </w:r>
      <w:r>
        <w:rPr>
          <w:rFonts w:ascii="ITC Franklin Gothic LT Pro Bk;sans-serif" w:hAnsi="ITC Franklin Gothic LT Pro Bk;sans-serif"/>
          <w:b w:val="false"/>
          <w:color w:val="000000"/>
          <w:sz w:val="22"/>
        </w:rPr>
        <w:t xml:space="preserve">volumes of 385,000 in the </w:t>
      </w:r>
      <w:r>
        <w:rPr>
          <w:rFonts w:ascii="ITC Franklin Gothic LT Pro Bk;sans-serif" w:hAnsi="ITC Franklin Gothic LT Pro Bk;sans-serif"/>
          <w:b w:val="false"/>
          <w:color w:val="000000"/>
          <w:sz w:val="22"/>
          <w:shd w:fill="FFFFFF" w:val="clear"/>
        </w:rPr>
        <w:t xml:space="preserve">first </w:t>
      </w:r>
      <w:r>
        <w:rPr>
          <w:rFonts w:ascii="ITC Franklin Gothic LT Pro Bk;sans-serif" w:hAnsi="ITC Franklin Gothic LT Pro Bk;sans-serif"/>
          <w:b w:val="false"/>
          <w:color w:val="000000"/>
          <w:sz w:val="22"/>
        </w:rPr>
        <w:t>quarter of 2026 were stable ye</w:t>
      </w:r>
      <w:r>
        <w:rPr>
          <w:rFonts w:ascii="ITC Franklin Gothic LT Pro Bk;sans-serif" w:hAnsi="ITC Franklin Gothic LT Pro Bk;sans-serif"/>
          <w:b w:val="false"/>
          <w:color w:val="000000"/>
          <w:sz w:val="22"/>
          <w:shd w:fill="FFFFFF" w:val="clear"/>
        </w:rPr>
        <w:t>ar-over-year.</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 xml:space="preserve">The following table </w:t>
      </w:r>
      <w:r>
        <w:rPr>
          <w:rFonts w:ascii="ITC Franklin Gothic LT Pro Bk;sans-serif" w:hAnsi="ITC Franklin Gothic LT Pro Bk;sans-serif"/>
          <w:b w:val="false"/>
          <w:color w:val="000000"/>
          <w:sz w:val="22"/>
          <w:shd w:fill="FFFFFF" w:val="clear"/>
        </w:rPr>
        <w:t>summarizes year-over-year testing volume changes in the company's core product categories:</w:t>
      </w:r>
    </w:p>
    <w:tbl>
      <w:tblPr>
        <w:tblW w:w="7847" w:type="dxa"/>
        <w:jc w:val="left"/>
        <w:tblInd w:w="0" w:type="dxa"/>
        <w:tblLayout w:type="fixed"/>
        <w:tblCellMar>
          <w:top w:w="28" w:type="dxa"/>
          <w:left w:w="28" w:type="dxa"/>
          <w:bottom w:w="28" w:type="dxa"/>
          <w:right w:w="28" w:type="dxa"/>
        </w:tblCellMar>
      </w:tblPr>
      <w:tblGrid>
        <w:gridCol w:w="772"/>
        <w:gridCol w:w="677"/>
        <w:gridCol w:w="681"/>
        <w:gridCol w:w="109"/>
        <w:gridCol w:w="109"/>
        <w:gridCol w:w="336"/>
        <w:gridCol w:w="336"/>
        <w:gridCol w:w="336"/>
        <w:gridCol w:w="336"/>
        <w:gridCol w:w="336"/>
        <w:gridCol w:w="336"/>
        <w:gridCol w:w="336"/>
        <w:gridCol w:w="336"/>
        <w:gridCol w:w="336"/>
        <w:gridCol w:w="109"/>
        <w:gridCol w:w="109"/>
        <w:gridCol w:w="109"/>
        <w:gridCol w:w="233"/>
        <w:gridCol w:w="233"/>
        <w:gridCol w:w="196"/>
        <w:gridCol w:w="109"/>
        <w:gridCol w:w="109"/>
        <w:gridCol w:w="109"/>
        <w:gridCol w:w="216"/>
        <w:gridCol w:w="219"/>
        <w:gridCol w:w="72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Three Months Ended March 31,</w:t>
            </w:r>
          </w:p>
        </w:tc>
        <w:tc>
          <w:tcPr>
            <w:tcW w:w="2475" w:type="dxa"/>
            <w:gridSpan w:val="12"/>
            <w:tcBorders/>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i/>
                <w:color w:val="000000"/>
                <w:sz w:val="16"/>
              </w:rPr>
            </w:pPr>
            <w:r>
              <w:rPr>
                <w:rFonts w:ascii="ITC Franklin Gothic LT Pro Bk;sans-serif" w:hAnsi="ITC Franklin Gothic LT Pro Bk;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 Change</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Product volumes: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Cancer Care Continuum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13 </w:t>
            </w:r>
          </w:p>
        </w:tc>
        <w:tc>
          <w:tcPr>
            <w:tcW w:w="724"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Prenatal Health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153 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(12)</w:t>
            </w:r>
          </w:p>
        </w:tc>
        <w:tc>
          <w:tcPr>
            <w:tcW w:w="724"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Mental Health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136 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7 </w:t>
            </w:r>
          </w:p>
        </w:tc>
        <w:tc>
          <w:tcPr>
            <w:tcW w:w="724"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385 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bl>
    <w:p>
      <w:pPr>
        <w:pStyle w:val="TextBody"/>
        <w:bidi w:val="0"/>
        <w:spacing w:before="0" w:after="0"/>
        <w:jc w:val="left"/>
        <w:rPr/>
      </w:pPr>
      <w:r>
        <w:rPr/>
      </w:r>
    </w:p>
    <w:p>
      <w:pPr>
        <w:pStyle w:val="TextBody"/>
        <w:bidi w:val="0"/>
        <w:spacing w:lineRule="auto" w:line="360" w:before="0" w:after="0"/>
        <w:ind w:left="0" w:right="0" w:hanging="360"/>
        <w:jc w:val="both"/>
        <w:rPr/>
      </w:pPr>
      <w:r>
        <w:rPr>
          <w:color w:val="000000"/>
          <w:shd w:fill="FFFFFF" w:val="clear"/>
        </w:rPr>
        <w:t>•</w:t>
      </w:r>
      <w:r>
        <w:rPr>
          <w:rFonts w:ascii="ITC Franklin Gothic LT Pro Bk;sans-serif" w:hAnsi="ITC Franklin Gothic LT Pro Bk;sans-serif"/>
          <w:b w:val="false"/>
          <w:color w:val="000000"/>
          <w:sz w:val="22"/>
          <w:shd w:fill="FFFFFF" w:val="clear"/>
        </w:rPr>
        <w:t>The following table summarizes year-over-year revenue changes in the company's core product categories:</w:t>
      </w:r>
    </w:p>
    <w:tbl>
      <w:tblPr>
        <w:tblW w:w="8122" w:type="dxa"/>
        <w:jc w:val="left"/>
        <w:tblInd w:w="0" w:type="dxa"/>
        <w:tblLayout w:type="fixed"/>
        <w:tblCellMar>
          <w:top w:w="28" w:type="dxa"/>
          <w:left w:w="28" w:type="dxa"/>
          <w:bottom w:w="28" w:type="dxa"/>
          <w:right w:w="28" w:type="dxa"/>
        </w:tblCellMar>
      </w:tblPr>
      <w:tblGrid>
        <w:gridCol w:w="770"/>
        <w:gridCol w:w="679"/>
        <w:gridCol w:w="680"/>
        <w:gridCol w:w="109"/>
        <w:gridCol w:w="109"/>
        <w:gridCol w:w="207"/>
        <w:gridCol w:w="207"/>
        <w:gridCol w:w="207"/>
        <w:gridCol w:w="207"/>
        <w:gridCol w:w="207"/>
        <w:gridCol w:w="207"/>
        <w:gridCol w:w="402"/>
        <w:gridCol w:w="1174"/>
        <w:gridCol w:w="207"/>
        <w:gridCol w:w="109"/>
        <w:gridCol w:w="109"/>
        <w:gridCol w:w="109"/>
        <w:gridCol w:w="211"/>
        <w:gridCol w:w="616"/>
        <w:gridCol w:w="109"/>
        <w:gridCol w:w="109"/>
        <w:gridCol w:w="109"/>
        <w:gridCol w:w="109"/>
        <w:gridCol w:w="218"/>
        <w:gridCol w:w="218"/>
        <w:gridCol w:w="724"/>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Three Months Ended March 31,</w:t>
            </w:r>
          </w:p>
        </w:tc>
        <w:tc>
          <w:tcPr>
            <w:tcW w:w="2750" w:type="dxa"/>
            <w:gridSpan w:val="12"/>
            <w:tcBorders/>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i/>
                <w:color w:val="000000"/>
                <w:sz w:val="16"/>
              </w:rPr>
            </w:pPr>
            <w:r>
              <w:rPr>
                <w:rFonts w:ascii="ITC Franklin Gothic LT Pro Bk;sans-serif" w:hAnsi="ITC Franklin Gothic LT Pro Bk;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 Change</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Product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Cancer Care Continuum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120.2 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4 </w:t>
            </w:r>
          </w:p>
        </w:tc>
        <w:tc>
          <w:tcPr>
            <w:tcW w:w="724"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Prenatal Health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41.9 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(15)</w:t>
            </w:r>
          </w:p>
        </w:tc>
        <w:tc>
          <w:tcPr>
            <w:tcW w:w="724"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Mental Health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38.3 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24 </w:t>
            </w:r>
          </w:p>
        </w:tc>
        <w:tc>
          <w:tcPr>
            <w:tcW w:w="724"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200.4 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2 </w:t>
            </w:r>
          </w:p>
        </w:tc>
        <w:tc>
          <w:tcPr>
            <w:tcW w:w="72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bl>
    <w:p>
      <w:pPr>
        <w:pStyle w:val="TextBody"/>
        <w:bidi w:val="0"/>
        <w:spacing w:before="0" w:after="0"/>
        <w:jc w:val="left"/>
        <w:rPr/>
      </w:pPr>
      <w:r>
        <w:rPr/>
      </w:r>
    </w:p>
    <w:p>
      <w:pPr>
        <w:pStyle w:val="TextBody"/>
        <w:bidi w:val="0"/>
        <w:spacing w:lineRule="auto" w:line="420" w:before="0" w:after="0"/>
        <w:jc w:val="left"/>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Product Categories:</w:t>
      </w:r>
    </w:p>
    <w:p>
      <w:pPr>
        <w:pStyle w:val="TextBody"/>
        <w:bidi w:val="0"/>
        <w:spacing w:lineRule="auto" w:line="288" w:before="0" w:after="0"/>
        <w:jc w:val="left"/>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Cancer Care Continuum – MyRisk, BRACAnalysis CDx, MyChoice CDx, Prolaris, Precise Tumor, Precise MRD     </w:t>
      </w:r>
    </w:p>
    <w:p>
      <w:pPr>
        <w:pStyle w:val="TextBody"/>
        <w:bidi w:val="0"/>
        <w:spacing w:lineRule="auto" w:line="288" w:before="0" w:after="0"/>
        <w:jc w:val="left"/>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Prenatal Health – Foresight, Prequel, FirstGene, SneakPeek</w:t>
      </w:r>
    </w:p>
    <w:p>
      <w:pPr>
        <w:pStyle w:val="TextBody"/>
        <w:bidi w:val="0"/>
        <w:spacing w:lineRule="auto" w:line="288" w:before="0" w:after="0"/>
        <w:jc w:val="left"/>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Mental Health – GeneSight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 xml:space="preserve">Operating expenses in the </w:t>
      </w:r>
      <w:r>
        <w:rPr>
          <w:rFonts w:ascii="ITC Franklin Gothic LT Pro Bk;sans-serif" w:hAnsi="ITC Franklin Gothic LT Pro Bk;sans-serif"/>
          <w:b w:val="false"/>
          <w:color w:val="000000"/>
          <w:sz w:val="22"/>
          <w:shd w:fill="FFFFFF" w:val="clear"/>
        </w:rPr>
        <w:t xml:space="preserve">first </w:t>
      </w:r>
      <w:r>
        <w:rPr>
          <w:rFonts w:ascii="ITC Franklin Gothic LT Pro Bk;sans-serif" w:hAnsi="ITC Franklin Gothic LT Pro Bk;sans-serif"/>
          <w:b w:val="false"/>
          <w:color w:val="000000"/>
          <w:sz w:val="22"/>
        </w:rPr>
        <w:t>quarter of 2026</w:t>
      </w:r>
      <w:r>
        <w:rPr>
          <w:color w:val="000000"/>
          <w:shd w:fill="FFFFFF" w:val="clear"/>
        </w:rPr>
        <w:t xml:space="preserve"> </w:t>
      </w:r>
      <w:r>
        <w:rPr>
          <w:rFonts w:ascii="ITC Franklin Gothic LT Pro Bk;sans-serif" w:hAnsi="ITC Franklin Gothic LT Pro Bk;sans-serif"/>
          <w:b w:val="false"/>
          <w:color w:val="000000"/>
          <w:sz w:val="22"/>
        </w:rPr>
        <w:t>were $168.3 million, increasing $5.1 million year-over-year. Adjusted operating expenses in the first quarter of 2026 increased</w:t>
      </w:r>
      <w:r>
        <w:rPr>
          <w:color w:val="000000"/>
          <w:shd w:fill="FFFFFF" w:val="clear"/>
        </w:rPr>
        <w:t xml:space="preserve"> </w:t>
      </w:r>
      <w:r>
        <w:rPr>
          <w:rFonts w:ascii="ITC Franklin Gothic LT Pro Bk;sans-serif" w:hAnsi="ITC Franklin Gothic LT Pro Bk;sans-serif"/>
          <w:b w:val="false"/>
          <w:color w:val="000000"/>
          <w:sz w:val="22"/>
          <w:shd w:fill="FFFFFF" w:val="clear"/>
        </w:rPr>
        <w:t xml:space="preserve">$7.9 million year-over-year to $148.5 million, partially reflecting the company's progress in its multi-year </w:t>
      </w:r>
      <w:r>
        <w:rPr>
          <w:rFonts w:ascii="ITC Franklin Gothic LT Pro Bk;sans-serif" w:hAnsi="ITC Franklin Gothic LT Pro Bk;sans-serif"/>
          <w:b w:val="false"/>
          <w:color w:val="000000"/>
          <w:sz w:val="22"/>
        </w:rPr>
        <w:t xml:space="preserve">investment program in key strategic areas.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shd w:fill="FFFFFF" w:val="clear"/>
        </w:rPr>
        <w:t>Operating loss</w:t>
      </w:r>
      <w:r>
        <w:rPr>
          <w:color w:val="000000"/>
        </w:rPr>
        <w:t xml:space="preserve"> </w:t>
      </w:r>
      <w:r>
        <w:rPr>
          <w:rFonts w:ascii="ITC Franklin Gothic LT Pro Bk;sans-serif" w:hAnsi="ITC Franklin Gothic LT Pro Bk;sans-serif"/>
          <w:b w:val="false"/>
          <w:color w:val="000000"/>
          <w:sz w:val="22"/>
        </w:rPr>
        <w:t>in the</w:t>
      </w:r>
      <w:r>
        <w:rPr>
          <w:color w:val="000000"/>
          <w:shd w:fill="FFFFFF" w:val="clear"/>
        </w:rPr>
        <w:t xml:space="preserve"> </w:t>
      </w:r>
      <w:r>
        <w:rPr>
          <w:rFonts w:ascii="ITC Franklin Gothic LT Pro Bk;sans-serif" w:hAnsi="ITC Franklin Gothic LT Pro Bk;sans-serif"/>
          <w:b w:val="false"/>
          <w:color w:val="000000"/>
          <w:sz w:val="22"/>
          <w:shd w:fill="FFFFFF" w:val="clear"/>
        </w:rPr>
        <w:t>first quarter of 2026 was $30.7 million.</w:t>
      </w:r>
    </w:p>
    <w:p>
      <w:pPr>
        <w:pStyle w:val="TextBody"/>
        <w:bidi w:val="0"/>
        <w:spacing w:before="0" w:after="0"/>
        <w:jc w:val="left"/>
        <w:rPr/>
      </w:pPr>
      <w:r>
        <w:rPr/>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Cash Flow and Liquidity</w:t>
      </w:r>
    </w:p>
    <w:p>
      <w:pPr>
        <w:pStyle w:val="TextBody"/>
        <w:bidi w:val="0"/>
        <w:spacing w:lineRule="auto" w:line="360" w:before="0" w:after="0"/>
        <w:jc w:val="both"/>
        <w:rPr/>
      </w:pPr>
      <w:r>
        <w:rPr>
          <w:rFonts w:ascii="ITC Franklin Gothic LT Pro Bk;sans-serif" w:hAnsi="ITC Franklin Gothic LT Pro Bk;sans-serif"/>
          <w:b w:val="false"/>
          <w:color w:val="000000"/>
          <w:sz w:val="22"/>
          <w:shd w:fill="FFFFFF" w:val="clear"/>
        </w:rPr>
        <w:t xml:space="preserve">First </w:t>
      </w:r>
      <w:r>
        <w:rPr>
          <w:rFonts w:ascii="ITC Franklin Gothic LT Pro Bk;sans-serif" w:hAnsi="ITC Franklin Gothic LT Pro Bk;sans-serif"/>
          <w:b w:val="false"/>
          <w:color w:val="000000"/>
          <w:sz w:val="22"/>
        </w:rPr>
        <w:t>quarter 2026 cash flow used in op</w:t>
      </w:r>
      <w:r>
        <w:rPr>
          <w:rFonts w:ascii="ITC Franklin Gothic LT Pro Bk;sans-serif" w:hAnsi="ITC Franklin Gothic LT Pro Bk;sans-serif"/>
          <w:b w:val="false"/>
          <w:color w:val="000000"/>
          <w:sz w:val="22"/>
          <w:shd w:fill="FFFFFF" w:val="clear"/>
        </w:rPr>
        <w:t xml:space="preserve">erations was $15.7 million; adjusted operating cash outflow in the first quarter of 2026 was $13.4 million. Capital expenditures and capitalization of internal use software costs totaled $6.5 million in the first quarter 2026 resulting in adjusted free cash flow of $(19.9) million in the first quarter of 2026. </w:t>
      </w:r>
    </w:p>
    <w:p>
      <w:pPr>
        <w:pStyle w:val="TextBody"/>
        <w:bidi w:val="0"/>
        <w:spacing w:before="0" w:after="0"/>
        <w:jc w:val="both"/>
        <w:rPr/>
      </w:pPr>
      <w:r>
        <w:rPr/>
      </w:r>
    </w:p>
    <w:p>
      <w:pPr>
        <w:pStyle w:val="TextBody"/>
        <w:bidi w:val="0"/>
        <w:spacing w:lineRule="auto" w:line="360" w:before="0" w:after="0"/>
        <w:jc w:val="both"/>
        <w:rPr/>
      </w:pPr>
      <w:r>
        <w:rPr>
          <w:rFonts w:ascii="ITC Franklin Gothic LT Pro Bk;sans-serif" w:hAnsi="ITC Franklin Gothic LT Pro Bk;sans-serif"/>
          <w:b w:val="false"/>
          <w:color w:val="000000"/>
          <w:sz w:val="22"/>
        </w:rPr>
        <w:t xml:space="preserve">As of the end of the </w:t>
      </w:r>
      <w:r>
        <w:rPr>
          <w:rFonts w:ascii="ITC Franklin Gothic LT Pro Bk;sans-serif" w:hAnsi="ITC Franklin Gothic LT Pro Bk;sans-serif"/>
          <w:b w:val="false"/>
          <w:color w:val="000000"/>
          <w:sz w:val="22"/>
          <w:shd w:fill="FFFFFF" w:val="clear"/>
        </w:rPr>
        <w:t xml:space="preserve">first </w:t>
      </w:r>
      <w:r>
        <w:rPr>
          <w:rFonts w:ascii="ITC Franklin Gothic LT Pro Bk;sans-serif" w:hAnsi="ITC Franklin Gothic LT Pro Bk;sans-serif"/>
          <w:b w:val="false"/>
          <w:color w:val="000000"/>
          <w:sz w:val="22"/>
        </w:rPr>
        <w:t>quarter of 2026, the company had cash and cash equivalents of $124.4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2560"/>
                <wp:effectExtent l="0" t="0" r="0" b="0"/>
                <wp:wrapNone/>
                <wp:docPr id="7" name="Frame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2</w:t>
                      </w:r>
                    </w:p>
                  </w:txbxContent>
                </v:textbox>
                <w10:wrap type="none"/>
              </v:rect>
            </w:pict>
          </mc:Fallback>
        </mc:AlternateContent>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Business Performance and Highlights</w:t>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Cancer Care Continuum</w:t>
      </w:r>
    </w:p>
    <w:p>
      <w:pPr>
        <w:pStyle w:val="TextBody"/>
        <w:bidi w:val="0"/>
        <w:spacing w:lineRule="auto" w:line="360" w:before="0" w:after="0"/>
        <w:jc w:val="both"/>
        <w:rPr/>
      </w:pPr>
      <w:r>
        <w:rPr>
          <w:rFonts w:ascii="ITC Franklin Gothic LT Pro Bk;sans-serif" w:hAnsi="ITC Franklin Gothic LT Pro Bk;sans-serif"/>
          <w:b w:val="false"/>
          <w:color w:val="000000"/>
          <w:sz w:val="22"/>
        </w:rPr>
        <w:t xml:space="preserve">The </w:t>
      </w:r>
      <w:r>
        <w:rPr>
          <w:rFonts w:ascii="ITC Franklin Gothic LT Pro Bk;sans-serif" w:hAnsi="ITC Franklin Gothic LT Pro Bk;sans-serif"/>
          <w:b w:val="false"/>
          <w:color w:val="000000"/>
          <w:sz w:val="22"/>
          <w:shd w:fill="FFFFFF" w:val="clear"/>
        </w:rPr>
        <w:t xml:space="preserve">Cancer Care Continuum </w:t>
      </w:r>
      <w:r>
        <w:rPr>
          <w:rFonts w:ascii="ITC Franklin Gothic LT Pro Bk;sans-serif" w:hAnsi="ITC Franklin Gothic LT Pro Bk;sans-serif"/>
          <w:b w:val="false"/>
          <w:color w:val="000000"/>
          <w:sz w:val="22"/>
        </w:rPr>
        <w:t xml:space="preserve">business delivered revenue of $120.2 million in the first quarter of 2026.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First quarter 2026 hereditary cancer testing revenue increased 5% year-over-year driven by a 14%</w:t>
      </w:r>
      <w:r>
        <w:rPr>
          <w:color w:val="000000"/>
        </w:rPr>
        <w:t xml:space="preserve"> </w:t>
      </w:r>
      <w:r>
        <w:rPr>
          <w:rFonts w:ascii="ITC Franklin Gothic LT Pro Bk;sans-serif" w:hAnsi="ITC Franklin Gothic LT Pro Bk;sans-serif"/>
          <w:b w:val="false"/>
          <w:color w:val="000000"/>
          <w:sz w:val="22"/>
        </w:rPr>
        <w:t xml:space="preserve">year-over-year increase in volume.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 xml:space="preserve">First quarter 2026 Prolaris testing revenue grew 3% year-over-year. The company continues to make progress on its first AI-enabled prostate cancer test, in partnership with PATHOMIQ, and expects to launch the test in the second quarter of 2026.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In April 2026, the company shared new data at a number of annual clinical society meetings, including the American Association for Cancer Research (AACR) and the Society of Gynecologic Oncology (SGO) underscoring Myriad Genetics' commitment to the Cancer Care Continuum and highlighting its progress in precision oncology. For example, data from one poster presentation showed that Precise MRD testing after adjuvant therapy for ovarian cancer is significantly prognostic of recurrence and that elevated risk was observed even at ctDNA levels detectable only by an ultrasensitive assay. The company believes this data reinforces the scientific strength behind the company's precision oncology programs and focus on advancing clinically meaningful innovations for patients and providers.</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In April 2026, Myriad Genetics received approval from Japan’s Ministry of Health, Labour and Welfare (MHLW) for the use of the MyChoice CDx test for prostate cancer patients as a companion diagnostic for Lynparza®(olaparib). With this approval, clinicians in Japan can now order the MyChoice CDx test to determine homologous recombination deficiency (HRD) status for patients with ovarian cancer, and BRCA1/2 status for breast and prostate cancers.</w:t>
      </w:r>
    </w:p>
    <w:p>
      <w:pPr>
        <w:pStyle w:val="TextBody"/>
        <w:bidi w:val="0"/>
        <w:spacing w:before="0" w:after="0"/>
        <w:jc w:val="left"/>
        <w:rPr/>
      </w:pPr>
      <w:r>
        <w:rPr/>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Prenatal Health</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 xml:space="preserve">The Prenatal Health business delivered revenue of $41.9 million in the first quarter of 2026.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 xml:space="preserve">Prenatal testing revenue in the first quarter of 2026 declined 15% year-over-year, as volume decreased 12% year-over-year reflecting a difficult year-over-year comparison as the company continues to engage with customers and address the disruption caused by the Q2 '25 implementation of the company's new order management system.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In April 2026, a national payor updated its medical policy to cover expanded carrier screen tests, like the Company's Foresight Universal Plus test.</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The multi-site CONNECTOR study, using the company's FirstGene Multiple Prenatal Screen, continues to see progress in enrollment and the Company expects this study, if successful, to support future commercial launch activities and expand capabilities in prenatal testing.</w:t>
      </w:r>
    </w:p>
    <w:p>
      <w:pPr>
        <w:pStyle w:val="TextBody"/>
        <w:bidi w:val="0"/>
        <w:spacing w:before="0" w:after="0"/>
        <w:jc w:val="both"/>
        <w:rPr/>
      </w:pPr>
      <w:r>
        <w:rPr/>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Mental Health</w:t>
      </w:r>
    </w:p>
    <w:p>
      <w:pPr>
        <w:pStyle w:val="TextBody"/>
        <w:bidi w:val="0"/>
        <w:spacing w:lineRule="auto" w:line="360" w:before="0" w:after="0"/>
        <w:jc w:val="both"/>
        <w:rPr/>
      </w:pPr>
      <w:r>
        <w:rPr>
          <w:rFonts w:ascii="ITC Franklin Gothic LT Pro Bk;sans-serif" w:hAnsi="ITC Franklin Gothic LT Pro Bk;sans-serif"/>
          <w:b w:val="false"/>
          <w:color w:val="000000"/>
          <w:sz w:val="22"/>
        </w:rPr>
        <w:t>GeneSight test revenue was $38.3 million</w:t>
      </w:r>
      <w:r>
        <w:rPr>
          <w:color w:val="000000"/>
        </w:rPr>
        <w:t xml:space="preserve"> </w:t>
      </w:r>
      <w:r>
        <w:rPr>
          <w:rFonts w:ascii="ITC Franklin Gothic LT Pro Bk;sans-serif" w:hAnsi="ITC Franklin Gothic LT Pro Bk;sans-serif"/>
          <w:b w:val="false"/>
          <w:color w:val="000000"/>
          <w:sz w:val="22"/>
        </w:rPr>
        <w:t xml:space="preserve">in the first quarter of 2026.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First quarter 2026 revenue grew 24%</w:t>
      </w:r>
      <w:r>
        <w:rPr>
          <w:color w:val="000000"/>
        </w:rPr>
        <w:t xml:space="preserve"> </w:t>
      </w:r>
      <w:r>
        <w:rPr>
          <w:rFonts w:ascii="ITC Franklin Gothic LT Pro Bk;sans-serif" w:hAnsi="ITC Franklin Gothic LT Pro Bk;sans-serif"/>
          <w:b w:val="false"/>
          <w:color w:val="000000"/>
          <w:sz w:val="22"/>
        </w:rPr>
        <w:t xml:space="preserve">year-over-year reflecting 7% GeneSight volume growth, and overall improved reimbursement trends.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2560"/>
                <wp:effectExtent l="0" t="0" r="0" b="0"/>
                <wp:wrapNone/>
                <wp:docPr id="8" name="Frame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3</w:t>
                      </w:r>
                    </w:p>
                  </w:txbxContent>
                </v:textbox>
                <w10:wrap type="none"/>
              </v:rect>
            </w:pict>
          </mc:Fallback>
        </mc:AlternateContent>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Financial Guidance</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Myriad Genetics does not provide forward-looking guidance in accordance with accounting principles generally accepted in the United States (GAAP) for the measures on which it provides forward-looking non-GAAP guidance as the company is unable to provide a quantitative reconciliation of forward-looking non-GAAP measures to the most directly comparable forward-looking GAAP measure, without unreasonable effort, because of the inherent difficulty in accurately forecasting the occurrence and financial impact of the various adjusting items necessary for such reconciliations that have not yet occurred, are dependent on various factors, are out of the company's control, or cannot be reasonably predicted. Such adjustments include, but are not limited to, strategic realignment, costs related to amortization of intangibles from acquisitions, impairment and related charges, depreciation, equity compensation, tax benefits, and other adjustments. For example, stock-based compensation may fluctuate based on the timing of employee stock transactions and unpredictable fluctuations in the company's stock price. Any associated estimate of these items and their impact on GAAP performance could vary materially.</w:t>
      </w:r>
    </w:p>
    <w:p>
      <w:pPr>
        <w:pStyle w:val="TextBody"/>
        <w:bidi w:val="0"/>
        <w:spacing w:before="0" w:after="0"/>
        <w:jc w:val="left"/>
        <w:rPr/>
      </w:pPr>
      <w:r>
        <w:rPr/>
      </w:r>
    </w:p>
    <w:p>
      <w:pPr>
        <w:pStyle w:val="TextBody"/>
        <w:bidi w:val="0"/>
        <w:spacing w:lineRule="auto" w:line="360" w:before="0" w:after="0"/>
        <w:jc w:val="left"/>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Below is a table summarizing Myriad Genetics' full-year 2026 financial guidance*: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88"/>
        <w:gridCol w:w="252"/>
        <w:gridCol w:w="252"/>
        <w:gridCol w:w="399"/>
        <w:gridCol w:w="399"/>
        <w:gridCol w:w="408"/>
        <w:gridCol w:w="567"/>
        <w:gridCol w:w="567"/>
        <w:gridCol w:w="569"/>
        <w:gridCol w:w="143"/>
        <w:gridCol w:w="143"/>
        <w:gridCol w:w="143"/>
        <w:gridCol w:w="1777"/>
        <w:gridCol w:w="1777"/>
        <w:gridCol w:w="2521"/>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99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ITC Franklin Gothic LT Pro Bk;sans-serif" w:hAnsi="ITC Franklin Gothic LT Pro Bk;sans-serif"/>
                <w:b w:val="false"/>
                <w:i/>
                <w:color w:val="000000"/>
                <w:sz w:val="16"/>
              </w:rPr>
            </w:pPr>
            <w:r>
              <w:rPr>
                <w:rFonts w:ascii="ITC Franklin Gothic LT Pro Bk;sans-serif" w:hAnsi="ITC Franklin Gothic LT Pro Bk;sans-serif"/>
                <w:b w:val="false"/>
                <w:i/>
                <w:color w:val="000000"/>
                <w:sz w:val="16"/>
              </w:rPr>
              <w:t>(in millions, except percentages)</w:t>
            </w:r>
          </w:p>
        </w:tc>
        <w:tc>
          <w:tcPr>
            <w:tcW w:w="1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2026 Guidance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FY 2026 Comments</w:t>
            </w:r>
          </w:p>
        </w:tc>
      </w:tr>
      <w:tr>
        <w:trPr/>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Revenue</w:t>
            </w:r>
          </w:p>
        </w:tc>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$860 - $880</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 xml:space="preserve">Reiterate the full year 2026 revenue range, reflecting current business trends. </w:t>
            </w:r>
          </w:p>
          <w:p>
            <w:pPr>
              <w:pStyle w:val="TableContents"/>
              <w:bidi w:val="0"/>
              <w:spacing w:before="0" w:after="0"/>
              <w:jc w:val="left"/>
              <w:rPr/>
            </w:pPr>
            <w:r>
              <w:rPr/>
            </w:r>
          </w:p>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Expect 2H’26 revenue to be greater than 1H’26</w:t>
            </w:r>
          </w:p>
        </w:tc>
      </w:tr>
      <w:tr>
        <w:trPr/>
        <w:tc>
          <w:tcPr>
            <w:tcW w:w="1998"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Gross Margin %**</w:t>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68% - 69%</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 xml:space="preserve">Gross margins expected to fluctuate quarter to quarter given product mix and pricing trends. </w:t>
            </w:r>
          </w:p>
        </w:tc>
      </w:tr>
      <w:tr>
        <w:trPr/>
        <w:tc>
          <w:tcPr>
            <w:tcW w:w="1998"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EBITDA***</w:t>
            </w:r>
          </w:p>
        </w:tc>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$37 - $49</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7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9413" w:type="dxa"/>
            <w:gridSpan w:val="12"/>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Assumes currency rates as of May 5, 2026.</w:t>
            </w:r>
          </w:p>
        </w:tc>
      </w:tr>
      <w:tr>
        <w:trPr/>
        <w:tc>
          <w:tcPr>
            <w:tcW w:w="792"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9413" w:type="dxa"/>
            <w:gridSpan w:val="12"/>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Adjusted Gross Margin is defined as Gross Margin plus non-cash cost of sales, such as amortization of intangible assets and share-based compensation expense, and non-recurring one-time expenses.</w:t>
            </w:r>
          </w:p>
        </w:tc>
      </w:tr>
      <w:tr>
        <w:trPr/>
        <w:tc>
          <w:tcPr>
            <w:tcW w:w="792"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 </w:t>
            </w:r>
          </w:p>
        </w:tc>
        <w:tc>
          <w:tcPr>
            <w:tcW w:w="9413" w:type="dxa"/>
            <w:gridSpan w:val="12"/>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Adjusted EBITDA is defined as Net income (loss) plus income tax expense (benefit), total other income (expense), non-cash operating expenses, such as amortization of intangible assets, depreciation, impairment of goodwill and long-lived assets, and share-based compensation expense, and one-time expenses such as expenses from strategic realignment..</w:t>
            </w:r>
          </w:p>
        </w:tc>
      </w:tr>
    </w:tbl>
    <w:p>
      <w:pPr>
        <w:pStyle w:val="TextBody"/>
        <w:bidi w:val="0"/>
        <w:spacing w:lineRule="auto" w:line="360" w:before="0" w:after="0"/>
        <w:jc w:val="left"/>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These projections are forward-looking statements and are subject to the risks summarized in the safe harbor statement at the end of this press release.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Conference Call and Webcast</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A conference call will be held today, Tuesday, May 5, 2026, at 4:30 p.m. ET to discuss Myriad Genetics’ financial results and business developments for the first quarter of 2026. A live webcast of the conference call can be accessed on Myriad Genetics' Investor Relations website at investor.myriad.com. To participate in the live conference call via telephone, please register at https://register-conf.media-server.com/register/BI5f7c8739b7d5420b8a074eff2ce38a62. Upon registering, a dial-in number and unique PIN will be provided to join the conference call. Following the conference call, an archived webcast of the call will be available at investor.myriad.com.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2560"/>
                <wp:effectExtent l="0" t="0" r="0" b="0"/>
                <wp:wrapNone/>
                <wp:docPr id="9" name="Frame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4</w:t>
                      </w:r>
                    </w:p>
                  </w:txbxContent>
                </v:textbox>
                <w10:wrap type="none"/>
              </v:rect>
            </w:pict>
          </mc:Fallback>
        </mc:AlternateContent>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About Myriad Genetics</w:t>
      </w:r>
    </w:p>
    <w:p>
      <w:pPr>
        <w:pStyle w:val="TextBody"/>
        <w:bidi w:val="0"/>
        <w:spacing w:lineRule="auto" w:line="360" w:before="0" w:after="0"/>
        <w:jc w:val="both"/>
        <w:rPr/>
      </w:pPr>
      <w:r>
        <w:rPr>
          <w:rFonts w:ascii="ITC Franklin Gothic LT Pro Bk;sans-serif" w:hAnsi="ITC Franklin Gothic LT Pro Bk;sans-serif"/>
          <w:b w:val="false"/>
          <w:color w:val="000000"/>
          <w:sz w:val="22"/>
          <w:shd w:fill="FFFFFF" w:val="clear"/>
        </w:rPr>
        <w:t xml:space="preserve">Myriad Genetics is a leading molecular diagnostic and precision medicine company committed to advancing health and well-being for all. Myriad Genetics develops and commercializes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 For more information, visit </w:t>
      </w:r>
      <w:r>
        <w:rPr>
          <w:rFonts w:ascii="ITC Franklin Gothic LT Pro Bk;sans-serif" w:hAnsi="ITC Franklin Gothic LT Pro Bk;sans-serif"/>
          <w:b w:val="false"/>
          <w:color w:val="000000"/>
          <w:sz w:val="22"/>
          <w:u w:val="single"/>
        </w:rPr>
        <w:t>www.myriad.com</w:t>
      </w:r>
      <w:r>
        <w:rPr>
          <w:rFonts w:ascii="ITC Franklin Gothic LT Pro Bk;sans-serif" w:hAnsi="ITC Franklin Gothic LT Pro Bk;sans-serif"/>
          <w:b w:val="false"/>
          <w:color w:val="000000"/>
          <w:sz w:val="22"/>
          <w:shd w:fill="FFFFFF" w:val="clear"/>
        </w:rPr>
        <w:t>.</w:t>
      </w:r>
    </w:p>
    <w:p>
      <w:pPr>
        <w:pStyle w:val="TextBody"/>
        <w:bidi w:val="0"/>
        <w:spacing w:before="0" w:after="0"/>
        <w:jc w:val="left"/>
        <w:rPr/>
      </w:pPr>
      <w:r>
        <w:rPr/>
      </w:r>
    </w:p>
    <w:p>
      <w:pPr>
        <w:pStyle w:val="TextBody"/>
        <w:bidi w:val="0"/>
        <w:spacing w:lineRule="auto" w:line="360" w:before="0" w:after="0"/>
        <w:jc w:val="both"/>
        <w:rPr/>
      </w:pPr>
      <w:r>
        <w:rPr>
          <w:rFonts w:ascii="ITC Franklin Gothic LT Pro Bk;sans-serif" w:hAnsi="ITC Franklin Gothic LT Pro Bk;sans-serif"/>
          <w:b w:val="false"/>
          <w:color w:val="000000"/>
          <w:sz w:val="22"/>
          <w:shd w:fill="FFFFFF" w:val="clear"/>
        </w:rPr>
        <w:t>Myriad, the Myriad logo, BRACAnalysis, BRACAnalysis CDx, Colaris,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and GeneSight are registered trademarks or trademarks of Myriad Genetics, Inc. All third-party marks—</w:t>
      </w:r>
      <w:r>
        <w:rPr>
          <w:rFonts w:ascii="ITC Franklin Gothic LT Pro Bk;sans-serif" w:hAnsi="ITC Franklin Gothic LT Pro Bk;sans-serif"/>
          <w:b w:val="false"/>
          <w:color w:val="000000"/>
          <w:sz w:val="13"/>
        </w:rPr>
        <w:t>®</w:t>
      </w:r>
      <w:r>
        <w:rPr>
          <w:color w:val="000000"/>
          <w:shd w:fill="FFFFFF" w:val="clear"/>
        </w:rPr>
        <w:t xml:space="preserve"> </w:t>
      </w:r>
      <w:r>
        <w:rPr>
          <w:rFonts w:ascii="ITC Franklin Gothic LT Pro Bk;sans-serif" w:hAnsi="ITC Franklin Gothic LT Pro Bk;sans-serif"/>
          <w:b w:val="false"/>
          <w:color w:val="000000"/>
          <w:sz w:val="22"/>
          <w:shd w:fill="FFFFFF" w:val="clear"/>
        </w:rPr>
        <w:t xml:space="preserve">and </w:t>
      </w:r>
      <w:r>
        <w:rPr>
          <w:color w:val="000000"/>
        </w:rPr>
        <w:t>™</w:t>
      </w:r>
      <w:r>
        <w:rPr>
          <w:color w:val="000000"/>
          <w:shd w:fill="FFFFFF" w:val="clear"/>
        </w:rPr>
        <w:t>—</w:t>
      </w:r>
      <w:r>
        <w:rPr>
          <w:rFonts w:ascii="ITC Franklin Gothic LT Pro Bk;sans-serif" w:hAnsi="ITC Franklin Gothic LT Pro Bk;sans-serif"/>
          <w:b w:val="false"/>
          <w:color w:val="000000"/>
          <w:sz w:val="22"/>
          <w:shd w:fill="FFFFFF" w:val="clear"/>
        </w:rPr>
        <w:t xml:space="preserve">are the property of their respective owners. </w:t>
      </w:r>
    </w:p>
    <w:p>
      <w:pPr>
        <w:pStyle w:val="TextBody"/>
        <w:bidi w:val="0"/>
        <w:spacing w:before="0" w:after="0"/>
        <w:jc w:val="both"/>
        <w:rPr/>
      </w:pPr>
      <w:r>
        <w:rPr/>
      </w:r>
    </w:p>
    <w:p>
      <w:pPr>
        <w:pStyle w:val="TextBody"/>
        <w:bidi w:val="0"/>
        <w:spacing w:lineRule="auto" w:line="360" w:before="0" w:after="0"/>
        <w:jc w:val="both"/>
        <w:rPr>
          <w:rFonts w:ascii="ITC Franklin Gothic LT Pro Bk;sans-serif" w:hAnsi="ITC Franklin Gothic LT Pro Bk;sans-serif"/>
          <w:b w:val="false"/>
          <w:color w:val="000000"/>
          <w:sz w:val="22"/>
          <w:shd w:fill="FFFFFF" w:val="clear"/>
        </w:rPr>
      </w:pPr>
      <w:r>
        <w:rPr>
          <w:rFonts w:ascii="ITC Franklin Gothic LT Pro Bk;sans-serif" w:hAnsi="ITC Franklin Gothic LT Pro Bk;sans-serif"/>
          <w:b w:val="false"/>
          <w:color w:val="000000"/>
          <w:sz w:val="22"/>
          <w:shd w:fill="FFFFFF" w:val="clear"/>
        </w:rPr>
        <w:t xml:space="preserve">© 2026 Myriad Genetics, Inc. All rights reserved.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2560"/>
                <wp:effectExtent l="0" t="0" r="0" b="0"/>
                <wp:wrapNone/>
                <wp:docPr id="10" name="Frame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5</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MYRIAD GENETICS, INC.</w:t>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AND SUBSIDIARIES</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Condensed Consolidated Statements of Operations (unaudited)</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 millions, except per share amounts)</w:t>
      </w:r>
    </w:p>
    <w:tbl>
      <w:tblPr>
        <w:tblW w:w="9686" w:type="dxa"/>
        <w:jc w:val="left"/>
        <w:tblInd w:w="0" w:type="dxa"/>
        <w:tblLayout w:type="fixed"/>
        <w:tblCellMar>
          <w:top w:w="28" w:type="dxa"/>
          <w:left w:w="28" w:type="dxa"/>
          <w:bottom w:w="28" w:type="dxa"/>
          <w:right w:w="28" w:type="dxa"/>
        </w:tblCellMar>
      </w:tblPr>
      <w:tblGrid>
        <w:gridCol w:w="1823"/>
        <w:gridCol w:w="1605"/>
        <w:gridCol w:w="1612"/>
        <w:gridCol w:w="109"/>
        <w:gridCol w:w="109"/>
        <w:gridCol w:w="261"/>
        <w:gridCol w:w="261"/>
        <w:gridCol w:w="541"/>
        <w:gridCol w:w="1691"/>
        <w:gridCol w:w="261"/>
        <w:gridCol w:w="109"/>
        <w:gridCol w:w="109"/>
        <w:gridCol w:w="109"/>
        <w:gridCol w:w="226"/>
        <w:gridCol w:w="706"/>
        <w:gridCol w:w="154"/>
      </w:tblGrid>
      <w:tr>
        <w:trPr/>
        <w:tc>
          <w:tcPr>
            <w:tcW w:w="1823"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200.4 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62.8 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137.6 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Research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27.1 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Sales and marketing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73.6 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62.2 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Goodwill and long-lived asset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168.3 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(30.7)</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(3.4)</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Loss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(34.1)</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(34.1)</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93.7 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2560"/>
                <wp:effectExtent l="0" t="0" r="0" b="0"/>
                <wp:wrapNone/>
                <wp:docPr id="11" name="Frame1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6</w:t>
                      </w:r>
                    </w:p>
                  </w:txbxContent>
                </v:textbox>
                <w10:wrap type="none"/>
              </v:rect>
            </w:pict>
          </mc:Fallback>
        </mc:AlternateContent>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MYRIAD GENETICS, INC.</w:t>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AND SUBSIDIARIES</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Condensed Consolidated Balance Sheets (unaudited)</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2708"/>
        <w:gridCol w:w="2062"/>
        <w:gridCol w:w="2035"/>
        <w:gridCol w:w="299"/>
        <w:gridCol w:w="935"/>
        <w:gridCol w:w="143"/>
        <w:gridCol w:w="109"/>
        <w:gridCol w:w="109"/>
        <w:gridCol w:w="109"/>
        <w:gridCol w:w="350"/>
        <w:gridCol w:w="1100"/>
        <w:gridCol w:w="246"/>
      </w:tblGrid>
      <w:tr>
        <w:trPr/>
        <w:tc>
          <w:tcPr>
            <w:tcW w:w="2708"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December 31, 2025</w:t>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ASSETS</w:t>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Current assets:</w:t>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Cash and cash equivalents</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149.6 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Trade accounts receivable</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115.3 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Inventory</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Prepaid taxes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Prepaid expenses and other current assets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25.1 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current assets</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312.8 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332.6 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Operating lease right-of-use assets</w:t>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51.0 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49.4 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Property, plant and equipment, net</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Intangible assets, net</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145.7 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153.4 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Goodwill</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47.1 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51.6 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Other assets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assets</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673.7 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706.6 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LIABILITIES AND STOCKHOLDERS' EQUITY</w:t>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Current liabilities:</w:t>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Accounts payable</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Accrued liabilities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96.9 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Current maturities of operating lease liabilities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current liabilities</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130.2 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133.8 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Long-term debt</w:t>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120.3 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119.9 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Noncurrent operating lease liabilities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Other long-term liabilities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liabilities</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336.3 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338.6 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Commitments and contingencies</w:t>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Stockholders’ equity:</w:t>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ITC Franklin Gothic LT Pro Bk;sans-serif" w:hAnsi="ITC Franklin Gothic LT Pro Bk;sans-serif"/>
                <w:b w:val="false"/>
                <w:color w:val="000000"/>
                <w:sz w:val="20"/>
              </w:rPr>
              <w:t xml:space="preserve">Common stock, 94.4 and 93.5 shares outstanding at March 31, 2026 and December 31, 2025, respectively </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Additional paid-in capital</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1,492.6 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1,489.0 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Accumulated other comprehensive income</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Accumulated deficit</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(1,156.8)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(1,122.7)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stockholders' equity</w:t>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337.4 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368.0 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liabilities and stockholders’ equity</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673.7 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706.6 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2560"/>
                <wp:effectExtent l="0" t="0" r="0" b="0"/>
                <wp:wrapNone/>
                <wp:docPr id="12" name="Frame1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MYRIAD GENETICS, INC.</w:t>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AND SUBSIDIARIES</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Condensed Consolidated Statements of Cash Flows (unaudited)</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89"/>
        <w:gridCol w:w="2045"/>
        <w:gridCol w:w="2056"/>
        <w:gridCol w:w="109"/>
        <w:gridCol w:w="109"/>
        <w:gridCol w:w="153"/>
        <w:gridCol w:w="153"/>
        <w:gridCol w:w="153"/>
        <w:gridCol w:w="153"/>
        <w:gridCol w:w="318"/>
        <w:gridCol w:w="994"/>
        <w:gridCol w:w="153"/>
        <w:gridCol w:w="109"/>
        <w:gridCol w:w="109"/>
        <w:gridCol w:w="109"/>
        <w:gridCol w:w="226"/>
        <w:gridCol w:w="706"/>
        <w:gridCol w:w="161"/>
      </w:tblGrid>
      <w:tr>
        <w:trPr/>
        <w:tc>
          <w:tcPr>
            <w:tcW w:w="238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Three months ended</w:t>
              <w:br/>
              <w:t>March 31,</w:t>
            </w:r>
          </w:p>
        </w:tc>
        <w:tc>
          <w:tcPr>
            <w:tcW w:w="1420" w:type="dxa"/>
            <w:gridSpan w:val="6"/>
            <w:tcBorders/>
          </w:tcPr>
          <w:p>
            <w:pPr>
              <w:pStyle w:val="TableContents"/>
              <w:bidi w:val="0"/>
              <w:spacing w:before="0" w:after="283"/>
              <w:jc w:val="left"/>
              <w:rPr>
                <w:sz w:val="4"/>
                <w:szCs w:val="4"/>
              </w:rPr>
            </w:pPr>
            <w:r>
              <w:rPr>
                <w:sz w:val="4"/>
                <w:szCs w:val="4"/>
              </w:rPr>
            </w:r>
          </w:p>
        </w:tc>
      </w:tr>
      <w:tr>
        <w:trPr/>
        <w:tc>
          <w:tcPr>
            <w:tcW w:w="6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2025</w:t>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Effect of foreign exchange rates on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decrease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(25.3)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Cash, cash equivalents, and restricted cash at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151.3 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Cash, cash equivalents, and restricted cash at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126.0 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101.0 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2560"/>
                <wp:effectExtent l="0" t="0" r="0" b="0"/>
                <wp:wrapNone/>
                <wp:docPr id="13" name="Frame1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8</w:t>
                      </w:r>
                    </w:p>
                  </w:txbxContent>
                </v:textbox>
                <w10:wrap type="none"/>
              </v:rect>
            </w:pict>
          </mc:Fallback>
        </mc:AlternateContent>
      </w:r>
    </w:p>
    <w:p>
      <w:pPr>
        <w:pStyle w:val="TextBody"/>
        <w:bidi w:val="0"/>
        <w:spacing w:lineRule="auto" w:line="360" w:before="0" w:after="0"/>
        <w:jc w:val="both"/>
        <w:rPr>
          <w:rFonts w:ascii="ITC Franklin Gothic LT Pro Bk;sans-serif" w:hAnsi="ITC Franklin Gothic LT Pro Bk;sans-serif"/>
          <w:b/>
          <w:color w:val="000000"/>
          <w:sz w:val="22"/>
        </w:rPr>
      </w:pPr>
      <w:r>
        <w:rPr>
          <w:rFonts w:ascii="ITC Franklin Gothic LT Pro Bk;sans-serif" w:hAnsi="ITC Franklin Gothic LT Pro Bk;sans-serif"/>
          <w:b/>
          <w:color w:val="000000"/>
          <w:sz w:val="22"/>
        </w:rPr>
        <w:t>Safe Harbor Statement</w:t>
      </w:r>
    </w:p>
    <w:p>
      <w:pPr>
        <w:pStyle w:val="TextBody"/>
        <w:bidi w:val="0"/>
        <w:spacing w:lineRule="auto" w:line="288" w:before="0" w:after="0"/>
        <w:jc w:val="both"/>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 xml:space="preserve">This press release contains “forward-looking statements” within the meaning of the Private Securities Litigation Reform Act of 1995, including statements related to (i) the company's full-year 2026 financial guidance, (ii) the company's programs designed to support the expected continued growth in germline testing as the company moves forward, (iii) the company's expectation of improved performance in the remainder of 2026, (iv) the company's expectation that it remains on track with its other planned launches in 2026, including its first AI-enabled prostate cancer test, in partnership with PATHOMIQ, which the company expects to launch in the second quarter of 2026, and (v) the company's confidence that these tests will be important drivers of the company's growth in 2027 and beyond.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 </w:t>
      </w:r>
    </w:p>
    <w:p>
      <w:pPr>
        <w:pStyle w:val="TextBody"/>
        <w:bidi w:val="0"/>
        <w:spacing w:before="0" w:after="0"/>
        <w:jc w:val="both"/>
        <w:rPr/>
      </w:pPr>
      <w:r>
        <w:rPr/>
      </w:r>
    </w:p>
    <w:p>
      <w:pPr>
        <w:pStyle w:val="TextBody"/>
        <w:bidi w:val="0"/>
        <w:spacing w:lineRule="auto" w:line="288" w:before="0" w:after="0"/>
        <w:jc w:val="both"/>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These risks include, but are not limited to: the risk that sales and profit margins of the company’s existing tests may decline; the risk that the company may not be able to operate its business on a profitable basis; risks related to the company’s ability to achieve certain revenue growth targets and generate sufficient revenue from its existing product portfolio or in launching and commercializing new tests to be profitable; risks related to recent changes in the company's senior management team and the successful implementation of the company's strategic plan; risks related to changes in governmental or private insurers’ coverage and reimbursement levels for the company’s tests or the company’s ability to obtain reimbursement for its new tests at comparable levels to its existing tests; risks related to increased competition and the development of new competing tests; the risk that the company may be unable to develop or achieve commercial success for additional tests in a timely manner, or at all; the risk that the company is not able to secure additional financing to fund its business, if needed, in a timely manner or on favorable terms, if at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collaborations or licenses and acquire or develop new technologies or businesses on satisfactory terms, if at all; risks related to the company’s ability to successfully integrate and derive benefits from any technologies or businesses that it licenses, acquires or develops; risks related to the company’s projections or estimates about the potential market opportunity for the company’s current and future products; the risk that the company or its licensors may be unable to protect or that third parties will infringe the proprietary technologies underlying the company’s tests; the risk of patent-infringement claims or challenges to the validity of the company’s patents; risks related to changes in intellectual property laws covering the company’s tests, or patents or enforcement, in the United States and foreign countries; risks related to security breaches, loss of data and other disruptions, including from cyberattacks and other cybersecurity incidents;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or operating covenants under the company’s credit or lending agreements; the risk that the company may not be able to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Part I, Item 1A of the company’s Annual Report on Form 10-K filed with the SEC on February 24, 2026, as well as any updates to those risk factors filed from time to time in the company’s subsequent Quarterly Reports on Form 10-Q or Current Reports on Form 8-K. The company is not under any obligation, and it expressly disclaims any obligation, to update or alter any forward-looking statements, whether as a result of new information, future events or otherwise except as required by law.</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2560"/>
                <wp:effectExtent l="0" t="0" r="0" b="0"/>
                <wp:wrapNone/>
                <wp:docPr id="14" name="Frame1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9</w:t>
                      </w:r>
                    </w:p>
                  </w:txbxContent>
                </v:textbox>
                <w10:wrap type="none"/>
              </v:rect>
            </w:pict>
          </mc:Fallback>
        </mc:AlternateContent>
      </w:r>
    </w:p>
    <w:tbl>
      <w:tblPr>
        <w:tblW w:w="3106" w:type="dxa"/>
        <w:jc w:val="left"/>
        <w:tblInd w:w="0" w:type="dxa"/>
        <w:tblLayout w:type="fixed"/>
        <w:tblCellMar>
          <w:top w:w="28" w:type="dxa"/>
          <w:left w:w="28" w:type="dxa"/>
          <w:bottom w:w="28" w:type="dxa"/>
          <w:right w:w="28" w:type="dxa"/>
        </w:tblCellMar>
      </w:tblPr>
      <w:tblGrid>
        <w:gridCol w:w="993"/>
        <w:gridCol w:w="873"/>
        <w:gridCol w:w="1240"/>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color w:val="000000"/>
                <w:sz w:val="24"/>
              </w:rPr>
            </w:pPr>
            <w:r>
              <w:rPr>
                <w:rFonts w:ascii="ITC Franklin Gothic LT Pro Bk;sans-serif" w:hAnsi="ITC Franklin Gothic LT Pro Bk;sans-serif"/>
                <w:b/>
                <w:color w:val="000000"/>
                <w:sz w:val="24"/>
              </w:rPr>
              <w:t>Investor Contact</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4"/>
              </w:rPr>
            </w:pPr>
            <w:r>
              <w:rPr>
                <w:rFonts w:ascii="ITC Franklin Gothic LT Pro Bk;sans-serif" w:hAnsi="ITC Franklin Gothic LT Pro Bk;sans-serif"/>
                <w:b w:val="false"/>
                <w:color w:val="000000"/>
                <w:sz w:val="24"/>
              </w:rPr>
              <w:t>Matt Scalo</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4"/>
              </w:rPr>
            </w:pPr>
            <w:r>
              <w:rPr>
                <w:rFonts w:ascii="ITC Franklin Gothic LT Pro Bk;sans-serif" w:hAnsi="ITC Franklin Gothic LT Pro Bk;sans-serif"/>
                <w:b w:val="false"/>
                <w:color w:val="000000"/>
                <w:sz w:val="24"/>
              </w:rPr>
              <w:t>(801) 584-3532</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4"/>
                <w:u w:val="single"/>
              </w:rPr>
            </w:pPr>
            <w:r>
              <w:rPr>
                <w:rFonts w:ascii="ITC Franklin Gothic LT Pro Bk;sans-serif" w:hAnsi="ITC Franklin Gothic LT Pro Bk;sans-serif"/>
                <w:b w:val="false"/>
                <w:color w:val="000000"/>
                <w:sz w:val="24"/>
                <w:u w:val="single"/>
              </w:rPr>
              <w:t>matt.scalo@myriad.com</w:t>
            </w:r>
          </w:p>
        </w:tc>
      </w:tr>
      <w:tr>
        <w:trPr/>
        <w:tc>
          <w:tcPr>
            <w:tcW w:w="3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color w:val="000000"/>
                <w:sz w:val="24"/>
              </w:rPr>
            </w:pPr>
            <w:r>
              <w:rPr>
                <w:rFonts w:ascii="ITC Franklin Gothic LT Pro Bk;sans-serif" w:hAnsi="ITC Franklin Gothic LT Pro Bk;sans-serif"/>
                <w:b/>
                <w:color w:val="000000"/>
                <w:sz w:val="24"/>
              </w:rPr>
              <w:t>Media Contact</w:t>
            </w:r>
          </w:p>
        </w:tc>
      </w:tr>
      <w:tr>
        <w:trPr/>
        <w:tc>
          <w:tcPr>
            <w:tcW w:w="310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ITC Franklin Gothic LT Pro Bk;sans-serif" w:hAnsi="ITC Franklin Gothic LT Pro Bk;sans-serif"/>
                <w:b w:val="false"/>
                <w:color w:val="000000"/>
                <w:sz w:val="24"/>
              </w:rPr>
            </w:pPr>
            <w:r>
              <w:rPr>
                <w:rFonts w:ascii="ITC Franklin Gothic LT Pro Bk;sans-serif" w:hAnsi="ITC Franklin Gothic LT Pro Bk;sans-serif"/>
                <w:b w:val="false"/>
                <w:color w:val="000000"/>
                <w:sz w:val="24"/>
              </w:rPr>
              <w:t>Kate Schraml    </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4"/>
              </w:rPr>
            </w:pPr>
            <w:r>
              <w:rPr>
                <w:rFonts w:ascii="ITC Franklin Gothic LT Pro Bk;sans-serif" w:hAnsi="ITC Franklin Gothic LT Pro Bk;sans-serif"/>
                <w:b w:val="false"/>
                <w:color w:val="000000"/>
                <w:sz w:val="24"/>
              </w:rPr>
              <w:t xml:space="preserve">(224) 875-4493 </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4"/>
                <w:u w:val="single"/>
              </w:rPr>
            </w:pPr>
            <w:r>
              <w:rPr>
                <w:rFonts w:ascii="ITC Franklin Gothic LT Pro Bk;sans-serif" w:hAnsi="ITC Franklin Gothic LT Pro Bk;sans-serif"/>
                <w:b w:val="false"/>
                <w:color w:val="000000"/>
                <w:sz w:val="24"/>
                <w:u w:val="single"/>
              </w:rPr>
              <w:t>PR@myriad.com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2560"/>
                <wp:effectExtent l="0" t="0" r="0" b="0"/>
                <wp:wrapNone/>
                <wp:docPr id="15" name="Frame1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10</w:t>
                      </w:r>
                    </w:p>
                  </w:txbxContent>
                </v:textbox>
                <w10:wrap type="none"/>
              </v:rect>
            </w:pict>
          </mc:Fallback>
        </mc:AlternateContent>
      </w:r>
    </w:p>
    <w:p>
      <w:pPr>
        <w:pStyle w:val="TextBody"/>
        <w:bidi w:val="0"/>
        <w:spacing w:lineRule="auto" w:line="360" w:before="0" w:after="120"/>
        <w:jc w:val="both"/>
        <w:rPr/>
      </w:pPr>
      <w:r>
        <w:rPr>
          <w:rFonts w:ascii="ITC Franklin Gothic LT Pro Bk;sans-serif" w:hAnsi="ITC Franklin Gothic LT Pro Bk;sans-serif"/>
          <w:b/>
          <w:color w:val="000000"/>
          <w:sz w:val="22"/>
          <w:shd w:fill="FFFFFF" w:val="clear"/>
        </w:rPr>
        <w:t>Statement Reg</w:t>
      </w:r>
      <w:r>
        <w:rPr>
          <w:rFonts w:ascii="ITC Franklin Gothic LT Pro Bk;sans-serif" w:hAnsi="ITC Franklin Gothic LT Pro Bk;sans-serif"/>
          <w:b/>
          <w:color w:val="000000"/>
          <w:sz w:val="22"/>
        </w:rPr>
        <w:t>arding use of Non-GAAP Financial Measures</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In this press release, the company’s financial results and financial guidance are provided in accordance with accounting principles generally accepted in the United States (GAAP) and using certain non-GAAP financial measures. Management believes that presentation of operating results using non-GAAP financial measures provides useful supplemental information to investors and facilitates the analysis of the company’s core operating results and comparison of operating results across reporting periods. Management also uses non-GAAP financial measures to establish budgets and to manage the company’s business. A reconciliation of the GAAP financial results to non-GAAP financial results is included in the schedules below and a description of the adjustments made to the GAAP financial measures is included at the end of each schedule.</w:t>
      </w:r>
    </w:p>
    <w:p>
      <w:pPr>
        <w:pStyle w:val="TextBody"/>
        <w:bidi w:val="0"/>
        <w:spacing w:before="0" w:after="0"/>
        <w:jc w:val="both"/>
        <w:rPr/>
      </w:pPr>
      <w:r>
        <w:rPr/>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 xml:space="preserve">The company encourages investors to carefully consider its results under GAAP, as well as its supplemental non-GAAP information and the reconciliation between these presentations, if available, to more fully understand its business. Non-GAAP financial results are reported in addition to, and not as a substitute for, or superior to, financial measures calculated in accordance with GAAP. </w:t>
      </w:r>
    </w:p>
    <w:p>
      <w:pPr>
        <w:pStyle w:val="TextBody"/>
        <w:bidi w:val="0"/>
        <w:spacing w:before="0" w:after="0"/>
        <w:jc w:val="both"/>
        <w:rPr/>
      </w:pPr>
      <w:r>
        <w:rPr/>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The company does not forecast GAAP gross margin or GAAP net income (loss) because it cannot predict certain elements that are included in reported GAAP results. Please see above under “Financial Guidance” for a full explanation.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2560"/>
                <wp:effectExtent l="0" t="0" r="0" b="0"/>
                <wp:wrapNone/>
                <wp:docPr id="16" name="Frame1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11</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Reconciliation of GAAP to Non-GAAP Financial Measures</w:t>
      </w:r>
    </w:p>
    <w:p>
      <w:pPr>
        <w:pStyle w:val="TextBody"/>
        <w:bidi w:val="0"/>
        <w:spacing w:lineRule="auto" w:line="288" w:before="0" w:after="0"/>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for the Three Months Ended March 31, 2026 and 2025</w:t>
      </w:r>
    </w:p>
    <w:p>
      <w:pPr>
        <w:pStyle w:val="TextBody"/>
        <w:bidi w:val="0"/>
        <w:spacing w:lineRule="auto" w:line="288" w:before="0" w:after="0"/>
        <w:jc w:val="left"/>
        <w:rPr>
          <w:rFonts w:ascii="ITC Franklin Gothic LT Pro Bk;sans-serif" w:hAnsi="ITC Franklin Gothic LT Pro Bk;sans-serif"/>
          <w:b w:val="false"/>
          <w:i/>
          <w:color w:val="000000"/>
          <w:sz w:val="20"/>
        </w:rPr>
      </w:pPr>
      <w:r>
        <w:rPr>
          <w:rFonts w:ascii="ITC Franklin Gothic LT Pro Bk;sans-serif" w:hAnsi="ITC Franklin Gothic LT Pro Bk;sans-serif"/>
          <w:b w:val="false"/>
          <w:i/>
          <w:color w:val="000000"/>
          <w:sz w:val="20"/>
        </w:rPr>
        <w:t>(unaudited data in millions, except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26"/>
        <w:gridCol w:w="443"/>
        <w:gridCol w:w="239"/>
        <w:gridCol w:w="1531"/>
        <w:gridCol w:w="1367"/>
        <w:gridCol w:w="1374"/>
        <w:gridCol w:w="261"/>
        <w:gridCol w:w="261"/>
        <w:gridCol w:w="334"/>
        <w:gridCol w:w="334"/>
        <w:gridCol w:w="334"/>
        <w:gridCol w:w="334"/>
        <w:gridCol w:w="236"/>
        <w:gridCol w:w="737"/>
        <w:gridCol w:w="298"/>
        <w:gridCol w:w="109"/>
        <w:gridCol w:w="109"/>
        <w:gridCol w:w="109"/>
        <w:gridCol w:w="226"/>
        <w:gridCol w:w="706"/>
        <w:gridCol w:w="337"/>
      </w:tblGrid>
      <w:tr>
        <w:trPr/>
        <w:tc>
          <w:tcPr>
            <w:tcW w:w="52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March 31,</w:t>
            </w:r>
          </w:p>
        </w:tc>
        <w:tc>
          <w:tcPr>
            <w:tcW w:w="1596" w:type="dxa"/>
            <w:gridSpan w:val="6"/>
            <w:tcBorders/>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rPr/>
        <w:tc>
          <w:tcPr>
            <w:tcW w:w="548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Adjusted Gross Margin</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ITC Franklin Gothic LT Pro Bk;sans-serif" w:hAnsi="ITC Franklin Gothic LT Pro Bk;sans-serif"/>
                <w:b w:val="false"/>
                <w:color w:val="000000"/>
                <w:sz w:val="20"/>
              </w:rPr>
              <w:t>Gross Profit</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137.6 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134.2 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ITC Franklin Gothic LT Pro Bk;sans-serif" w:hAnsi="ITC Franklin Gothic LT Pro Bk;sans-serif"/>
                <w:b w:val="false"/>
                <w:color w:val="000000"/>
                <w:sz w:val="20"/>
              </w:rPr>
              <w:t>Acquisition - amortization of intangible assets</w:t>
            </w:r>
            <w:r>
              <w:rPr>
                <w:rFonts w:ascii="ITC Franklin Gothic LT Pro Bk;sans-serif" w:hAnsi="ITC Franklin Gothic LT Pro Bk;sans-serif"/>
                <w:b w:val="false"/>
                <w:color w:val="000000"/>
                <w:sz w:val="13"/>
              </w:rPr>
              <w:t>(1)</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ITC Franklin Gothic LT Pro Bk;sans-serif" w:hAnsi="ITC Franklin Gothic LT Pro Bk;sans-serif"/>
                <w:b w:val="false"/>
                <w:color w:val="000000"/>
                <w:sz w:val="20"/>
              </w:rPr>
              <w:t>Equity compensation</w:t>
            </w:r>
            <w:r>
              <w:rPr>
                <w:rFonts w:ascii="ITC Franklin Gothic LT Pro Bk;sans-serif" w:hAnsi="ITC Franklin Gothic LT Pro Bk;sans-serif"/>
                <w:b w:val="false"/>
                <w:color w:val="000000"/>
                <w:sz w:val="13"/>
              </w:rPr>
              <w:t>(2)</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(3)</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Gross Profit</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137.9 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135.1 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Gross Margin</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68.8 </w:t>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69.0 </w:t>
            </w:r>
          </w:p>
        </w:tc>
        <w:tc>
          <w:tcPr>
            <w:tcW w:w="3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6130"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Represents recurring amortization charges resulting from the acquisition of intangible assets.</w:t>
            </w:r>
          </w:p>
        </w:tc>
        <w:tc>
          <w:tcPr>
            <w:tcW w:w="2867" w:type="dxa"/>
            <w:gridSpan w:val="9"/>
            <w:tcBorders/>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6130"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Consists of the non-cash equity-based compensation provided to Myriad Genetics employees.</w:t>
            </w:r>
          </w:p>
        </w:tc>
        <w:tc>
          <w:tcPr>
            <w:tcW w:w="2867" w:type="dxa"/>
            <w:gridSpan w:val="9"/>
            <w:tcBorders/>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6130"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Other one-time non-recurring expenses. </w:t>
            </w:r>
          </w:p>
        </w:tc>
        <w:tc>
          <w:tcPr>
            <w:tcW w:w="2867" w:type="dxa"/>
            <w:gridSpan w:val="9"/>
            <w:tcBorders/>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March 31,</w:t>
            </w:r>
          </w:p>
        </w:tc>
        <w:tc>
          <w:tcPr>
            <w:tcW w:w="1596" w:type="dxa"/>
            <w:gridSpan w:val="6"/>
            <w:tcBorders/>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rPr/>
        <w:tc>
          <w:tcPr>
            <w:tcW w:w="548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Adjusted Operating Expenses</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Operating Expenses</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168.3 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163.2 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Acquisition - amortization of intangible assets</w:t>
            </w:r>
            <w:r>
              <w:rPr>
                <w:rFonts w:ascii="ITC Franklin Gothic LT Pro Bk;sans-serif" w:hAnsi="ITC Franklin Gothic LT Pro Bk;sans-serif"/>
                <w:b w:val="false"/>
                <w:color w:val="000000"/>
                <w:sz w:val="13"/>
              </w:rPr>
              <w:t>(1)</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(8.8)</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Goodwill and long-lived asset impairment</w:t>
            </w:r>
            <w:r>
              <w:rPr>
                <w:rFonts w:ascii="ITC Franklin Gothic LT Pro Bk;sans-serif" w:hAnsi="ITC Franklin Gothic LT Pro Bk;sans-serif"/>
                <w:b w:val="false"/>
                <w:color w:val="000000"/>
                <w:sz w:val="13"/>
              </w:rPr>
              <w:t>(2)</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Equity compensation</w:t>
            </w:r>
            <w:r>
              <w:rPr>
                <w:rFonts w:ascii="ITC Franklin Gothic LT Pro Bk;sans-serif" w:hAnsi="ITC Franklin Gothic LT Pro Bk;sans-serif"/>
                <w:b w:val="false"/>
                <w:color w:val="000000"/>
                <w:sz w:val="13"/>
              </w:rPr>
              <w:t>(3)</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(6.3)</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(9.2)</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Real estate optimization</w:t>
            </w:r>
            <w:r>
              <w:rPr>
                <w:rFonts w:ascii="ITC Franklin Gothic LT Pro Bk;sans-serif" w:hAnsi="ITC Franklin Gothic LT Pro Bk;sans-serif"/>
                <w:b w:val="false"/>
                <w:color w:val="000000"/>
                <w:sz w:val="13"/>
              </w:rPr>
              <w:t>(4)</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Strategic realignment</w:t>
            </w:r>
            <w:r>
              <w:rPr>
                <w:rFonts w:ascii="ITC Franklin Gothic LT Pro Bk;sans-serif" w:hAnsi="ITC Franklin Gothic LT Pro Bk;sans-serif"/>
                <w:b w:val="false"/>
                <w:color w:val="000000"/>
                <w:sz w:val="13"/>
              </w:rPr>
              <w:t>(5)</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(6)</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Operating Expenses</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148.5 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140.6 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6130"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Represents recurring amortization charges resulting from the acquisition of intangible assets.</w:t>
            </w:r>
          </w:p>
        </w:tc>
        <w:tc>
          <w:tcPr>
            <w:tcW w:w="2867" w:type="dxa"/>
            <w:gridSpan w:val="9"/>
            <w:tcBorders/>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6130"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Expense related to goodwill and long-lived asset impairment. For the three months ended March 31, 2026, consists of $5.4 million of impairment expense associated with our Women's Health reporting unit and certain intangible assets. </w:t>
            </w:r>
          </w:p>
        </w:tc>
        <w:tc>
          <w:tcPr>
            <w:tcW w:w="2867" w:type="dxa"/>
            <w:gridSpan w:val="9"/>
            <w:tcBorders/>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6130"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Consists of the non-cash equity-based compensation provided to Myriad Genetics employees and directors.</w:t>
            </w:r>
          </w:p>
        </w:tc>
        <w:tc>
          <w:tcPr>
            <w:tcW w:w="2867" w:type="dxa"/>
            <w:gridSpan w:val="9"/>
            <w:tcBorders/>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6130"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Costs related to real estate initiatives. For the three months ended March 31, 2025, consists of additional rent as a result of the build-out of our new laboratories in Salt Lake City, Utah and South San Francisco, California, while maintaining our current laboratories in those locations and testing and set-up costs for equipment in our new facilities. </w:t>
            </w:r>
          </w:p>
        </w:tc>
        <w:tc>
          <w:tcPr>
            <w:tcW w:w="2867" w:type="dxa"/>
            <w:gridSpan w:val="9"/>
            <w:tcBorders/>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(5)</w:t>
            </w:r>
          </w:p>
        </w:tc>
        <w:tc>
          <w:tcPr>
            <w:tcW w:w="6130"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Costs related to strategic realignment of the company including severance and consulting fees. During the three months ended March 31, 2026, management determined that severance costs that had previously been reported in other-one-time expenses should be reported as part of our strategic realignment efforts. Consequently $1.7 million in severance costs that were reported as other adjustments in our reconciliations of GAAP to Non-GAAP financial measures for the three months ended March 31, 2025 were reclassified to strategic realignment in this reconciliation. </w:t>
            </w:r>
          </w:p>
        </w:tc>
        <w:tc>
          <w:tcPr>
            <w:tcW w:w="2867" w:type="dxa"/>
            <w:gridSpan w:val="9"/>
            <w:tcBorders/>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w:t>
            </w:r>
          </w:p>
        </w:tc>
        <w:tc>
          <w:tcPr>
            <w:tcW w:w="6130"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Other one-time non-recurring adjustments. See also Note 5 above regarding reclassification of other adjustments to strategic realignment. </w:t>
            </w:r>
          </w:p>
        </w:tc>
        <w:tc>
          <w:tcPr>
            <w:tcW w:w="2867" w:type="dxa"/>
            <w:gridSpan w:val="9"/>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4725" w:type="dxa"/>
            <w:gridSpan w:val="15"/>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869" w:type="dxa"/>
            <w:gridSpan w:val="12"/>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4725" w:type="dxa"/>
            <w:gridSpan w:val="15"/>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4725" w:type="dxa"/>
            <w:gridSpan w:val="15"/>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4725" w:type="dxa"/>
            <w:gridSpan w:val="15"/>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4725" w:type="dxa"/>
            <w:gridSpan w:val="15"/>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4725" w:type="dxa"/>
            <w:gridSpan w:val="15"/>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4725" w:type="dxa"/>
            <w:gridSpan w:val="15"/>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4725" w:type="dxa"/>
            <w:gridSpan w:val="15"/>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4725" w:type="dxa"/>
            <w:gridSpan w:val="15"/>
            <w:tcBorders/>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c>
          <w:tcPr>
            <w:tcW w:w="4725"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2560"/>
                <wp:effectExtent l="0" t="0" r="0" b="0"/>
                <wp:wrapNone/>
                <wp:docPr id="17" name="Frame1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32"/>
        <w:gridCol w:w="409"/>
        <w:gridCol w:w="239"/>
        <w:gridCol w:w="1628"/>
        <w:gridCol w:w="1464"/>
        <w:gridCol w:w="1472"/>
        <w:gridCol w:w="276"/>
        <w:gridCol w:w="276"/>
        <w:gridCol w:w="394"/>
        <w:gridCol w:w="394"/>
        <w:gridCol w:w="394"/>
        <w:gridCol w:w="394"/>
        <w:gridCol w:w="241"/>
        <w:gridCol w:w="654"/>
        <w:gridCol w:w="116"/>
        <w:gridCol w:w="109"/>
        <w:gridCol w:w="109"/>
        <w:gridCol w:w="109"/>
        <w:gridCol w:w="226"/>
        <w:gridCol w:w="608"/>
        <w:gridCol w:w="161"/>
      </w:tblGrid>
      <w:tr>
        <w:trPr/>
        <w:tc>
          <w:tcPr>
            <w:tcW w:w="53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March 31,</w:t>
            </w:r>
          </w:p>
        </w:tc>
        <w:tc>
          <w:tcPr>
            <w:tcW w:w="1322" w:type="dxa"/>
            <w:gridSpan w:val="6"/>
            <w:tcBorders/>
          </w:tcPr>
          <w:p>
            <w:pPr>
              <w:pStyle w:val="TableContents"/>
              <w:bidi w:val="0"/>
              <w:spacing w:before="0" w:after="283"/>
              <w:jc w:val="left"/>
              <w:rPr>
                <w:sz w:val="4"/>
                <w:szCs w:val="4"/>
              </w:rPr>
            </w:pPr>
            <w:r>
              <w:rPr>
                <w:sz w:val="4"/>
                <w:szCs w:val="4"/>
              </w:rPr>
            </w:r>
          </w:p>
        </w:tc>
      </w:tr>
      <w:tr>
        <w:trPr/>
        <w:tc>
          <w:tcPr>
            <w:tcW w:w="5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rPr/>
        <w:tc>
          <w:tcPr>
            <w:tcW w:w="574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color w:val="000000"/>
                <w:sz w:val="20"/>
              </w:rPr>
              <w:t>Adjusted Net Loss</w:t>
            </w:r>
            <w:r>
              <w:rPr>
                <w:rFonts w:ascii="ITC Franklin Gothic LT Pro Bk;sans-serif" w:hAnsi="ITC Franklin Gothic LT Pro Bk;sans-serif"/>
                <w:b/>
                <w:color w:val="000000"/>
                <w:sz w:val="13"/>
              </w:rPr>
              <w:t>(1)</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Loss</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Acquisition - amortization of intangible assets</w:t>
            </w:r>
            <w:r>
              <w:rPr>
                <w:rFonts w:ascii="ITC Franklin Gothic LT Pro Bk;sans-serif" w:hAnsi="ITC Franklin Gothic LT Pro Bk;sans-serif"/>
                <w:b w:val="false"/>
                <w:color w:val="000000"/>
                <w:sz w:val="13"/>
              </w:rPr>
              <w:t>(2)</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Goodwill and long-lived asset impairment</w:t>
            </w:r>
            <w:r>
              <w:rPr>
                <w:rFonts w:ascii="ITC Franklin Gothic LT Pro Bk;sans-serif" w:hAnsi="ITC Franklin Gothic LT Pro Bk;sans-serif"/>
                <w:b w:val="false"/>
                <w:color w:val="000000"/>
                <w:sz w:val="13"/>
              </w:rPr>
              <w:t>(3)</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Equity compensation</w:t>
            </w:r>
            <w:r>
              <w:rPr>
                <w:rFonts w:ascii="ITC Franklin Gothic LT Pro Bk;sans-serif" w:hAnsi="ITC Franklin Gothic LT Pro Bk;sans-serif"/>
                <w:b w:val="false"/>
                <w:color w:val="000000"/>
                <w:sz w:val="13"/>
              </w:rPr>
              <w:t>(4)</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Real estate optimization</w:t>
            </w:r>
            <w:r>
              <w:rPr>
                <w:rFonts w:ascii="ITC Franklin Gothic LT Pro Bk;sans-serif" w:hAnsi="ITC Franklin Gothic LT Pro Bk;sans-serif"/>
                <w:b w:val="false"/>
                <w:color w:val="000000"/>
                <w:sz w:val="13"/>
              </w:rPr>
              <w:t>(5)</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Strategic realignment</w:t>
            </w:r>
            <w:r>
              <w:rPr>
                <w:rFonts w:ascii="ITC Franklin Gothic LT Pro Bk;sans-serif" w:hAnsi="ITC Franklin Gothic LT Pro Bk;sans-serif"/>
                <w:b w:val="false"/>
                <w:color w:val="000000"/>
                <w:sz w:val="13"/>
              </w:rPr>
              <w:t>(6)</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(7)</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bookmarkStart w:id="0" w:name="i9fc331419b164efbb1628e28e61e2214_74-0-1"/>
            <w:bookmarkEnd w:id="0"/>
            <w:r>
              <w:rPr>
                <w:rFonts w:ascii="ITC Franklin Gothic LT Pro Bk;sans-serif" w:hAnsi="ITC Franklin Gothic LT Pro Bk;sans-serif"/>
                <w:b w:val="false"/>
                <w:color w:val="000000"/>
                <w:sz w:val="20"/>
              </w:rPr>
              <w:t>Uncertain tax benefit</w:t>
            </w:r>
            <w:r>
              <w:rPr>
                <w:rFonts w:ascii="ITC Franklin Gothic LT Pro Bk;sans-serif" w:hAnsi="ITC Franklin Gothic LT Pro Bk;sans-serif"/>
                <w:b w:val="false"/>
                <w:color w:val="000000"/>
                <w:sz w:val="13"/>
              </w:rPr>
              <w:t>(8)</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(28.7)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Tax adjustments</w:t>
            </w:r>
            <w:r>
              <w:rPr>
                <w:rFonts w:ascii="ITC Franklin Gothic LT Pro Bk;sans-serif" w:hAnsi="ITC Franklin Gothic LT Pro Bk;sans-serif"/>
                <w:b w:val="false"/>
                <w:color w:val="000000"/>
                <w:sz w:val="13"/>
              </w:rPr>
              <w:t>(9)</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Net Loss</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Weighted average shares outstanding:</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Diluted</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4564" w:type="dxa"/>
            <w:gridSpan w:val="3"/>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tcPr>
          <w:p>
            <w:pPr>
              <w:pStyle w:val="TableContents"/>
              <w:bidi w:val="0"/>
              <w:spacing w:before="0" w:after="283"/>
              <w:jc w:val="left"/>
              <w:rPr>
                <w:sz w:val="4"/>
                <w:szCs w:val="4"/>
              </w:rPr>
            </w:pPr>
            <w:r>
              <w:rPr>
                <w:sz w:val="4"/>
                <w:szCs w:val="4"/>
              </w:rPr>
            </w:r>
          </w:p>
        </w:tc>
      </w:tr>
      <w:tr>
        <w:trPr/>
        <w:tc>
          <w:tcPr>
            <w:tcW w:w="574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Loss Per Share</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Diluted</w:t>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4564" w:type="dxa"/>
            <w:gridSpan w:val="3"/>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6692"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To determine Adjusted Loss Per Share.</w:t>
            </w:r>
          </w:p>
        </w:tc>
        <w:tc>
          <w:tcPr>
            <w:tcW w:w="2333" w:type="dxa"/>
            <w:gridSpan w:val="9"/>
            <w:tcBorders/>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6692"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Represents recurring amortization charges resulting from the acquisition of intangible assets.</w:t>
            </w:r>
          </w:p>
        </w:tc>
        <w:tc>
          <w:tcPr>
            <w:tcW w:w="2333" w:type="dxa"/>
            <w:gridSpan w:val="9"/>
            <w:tcBorders/>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6692"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Expense related to goodwill and long-lived asset impairment. For the three months ended March 31, 2026, consists of $5.4 million of impairment expense associated with our Women's Health reporting unit and certain intangible assets. </w:t>
            </w:r>
          </w:p>
        </w:tc>
        <w:tc>
          <w:tcPr>
            <w:tcW w:w="2333" w:type="dxa"/>
            <w:gridSpan w:val="9"/>
            <w:tcBorders/>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6692"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Consists of the non-cash equity-based compensation provided to Myriad Genetics employees and directors.</w:t>
            </w:r>
          </w:p>
        </w:tc>
        <w:tc>
          <w:tcPr>
            <w:tcW w:w="2333" w:type="dxa"/>
            <w:gridSpan w:val="9"/>
            <w:tcBorders/>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(5)</w:t>
            </w:r>
          </w:p>
        </w:tc>
        <w:tc>
          <w:tcPr>
            <w:tcW w:w="6692"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Costs related to real estate initiatives. For the three months ended March 31, 2025, consists of additional rent as a result of the build-out of our new laboratories in Salt Lake City, Utah and South San Francisco, California, while maintaining our current laboratories in those locations and testing and set-up costs for equipment in our new facilities. </w:t>
            </w:r>
          </w:p>
        </w:tc>
        <w:tc>
          <w:tcPr>
            <w:tcW w:w="2333" w:type="dxa"/>
            <w:gridSpan w:val="9"/>
            <w:tcBorders/>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w:t>
            </w:r>
          </w:p>
        </w:tc>
        <w:tc>
          <w:tcPr>
            <w:tcW w:w="6692"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Costs related to strategic realignment of the company including severance and consulting fees. During the three months ended March 31, 2026, management determined that severance costs that had previously been reported in other-one-time expenses should be reported as part of our strategic realignment efforts. Consequently $1.7 million in severance costs that were reported as other adjustments in our reconciliations of GAAP to Non-GAAP financial measures for the three months ended March 31, 2025 were reclassified to strategic realignment in this reconciliation. </w:t>
            </w:r>
          </w:p>
        </w:tc>
        <w:tc>
          <w:tcPr>
            <w:tcW w:w="2333" w:type="dxa"/>
            <w:gridSpan w:val="9"/>
            <w:tcBorders/>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(7)</w:t>
            </w:r>
          </w:p>
        </w:tc>
        <w:tc>
          <w:tcPr>
            <w:tcW w:w="6692"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Other one-time non-recurring adjustments. See also Note 6 above regarding reclassification of other adjustments to strategic realignment. </w:t>
            </w:r>
          </w:p>
        </w:tc>
        <w:tc>
          <w:tcPr>
            <w:tcW w:w="2333" w:type="dxa"/>
            <w:gridSpan w:val="9"/>
            <w:tcBorders/>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(8)</w:t>
            </w:r>
          </w:p>
        </w:tc>
        <w:tc>
          <w:tcPr>
            <w:tcW w:w="6692"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Consists of the release of unrecognized tax benefits and the recognition of valuation allowances for the three months ended March 31, 2025. The unrecognized tax benefits released were primarily related to tax years under Joint Committee on Taxation review, which upon conclusion of the review were remeasured or released.</w:t>
            </w:r>
          </w:p>
        </w:tc>
        <w:tc>
          <w:tcPr>
            <w:tcW w:w="2333" w:type="dxa"/>
            <w:gridSpan w:val="9"/>
            <w:tcBorders/>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w:t>
            </w:r>
          </w:p>
        </w:tc>
        <w:tc>
          <w:tcPr>
            <w:tcW w:w="6692"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bookmarkStart w:id="1" w:name="i9fc331419b164efbb1628e28e61e2214_95-1-1"/>
            <w:bookmarkEnd w:id="1"/>
            <w:r>
              <w:rPr>
                <w:rFonts w:ascii="ITC Franklin Gothic LT Pro Bk;sans-serif" w:hAnsi="ITC Franklin Gothic LT Pro Bk;sans-serif"/>
                <w:b w:val="false"/>
                <w:color w:val="000000"/>
                <w:sz w:val="16"/>
              </w:rPr>
              <w:t>Tax expense or benefit due to non-GAAP adjustments, differences between stock compensation recorded for book purposes as compared to the allowable tax deductions, and valuation allowance recognized against federal and state deferred tax assets in the United States. As of March 31, 2026, a valuation allowance of $109.6 million was not recognized for non-GAAP purposes given our historical and forecasted positive earnings performance. As of March 31, 2025, a valuation allowance of $67.0 million was not recognized for non-GAAP purposes given the company's historical and forecasted positive earnings performance.</w:t>
            </w:r>
          </w:p>
        </w:tc>
        <w:tc>
          <w:tcPr>
            <w:tcW w:w="2333"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2560"/>
                <wp:effectExtent l="0" t="0" r="0" b="0"/>
                <wp:wrapNone/>
                <wp:docPr id="18" name="Frame1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7"/>
        <w:gridCol w:w="374"/>
        <w:gridCol w:w="346"/>
        <w:gridCol w:w="1649"/>
        <w:gridCol w:w="1488"/>
        <w:gridCol w:w="1492"/>
        <w:gridCol w:w="280"/>
        <w:gridCol w:w="280"/>
        <w:gridCol w:w="399"/>
        <w:gridCol w:w="399"/>
        <w:gridCol w:w="399"/>
        <w:gridCol w:w="399"/>
        <w:gridCol w:w="242"/>
        <w:gridCol w:w="660"/>
        <w:gridCol w:w="117"/>
        <w:gridCol w:w="109"/>
        <w:gridCol w:w="109"/>
        <w:gridCol w:w="109"/>
        <w:gridCol w:w="226"/>
        <w:gridCol w:w="489"/>
        <w:gridCol w:w="162"/>
      </w:tblGrid>
      <w:tr>
        <w:trPr/>
        <w:tc>
          <w:tcPr>
            <w:tcW w:w="47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March 31,</w:t>
            </w:r>
          </w:p>
        </w:tc>
        <w:tc>
          <w:tcPr>
            <w:tcW w:w="1204" w:type="dxa"/>
            <w:gridSpan w:val="6"/>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rPr/>
        <w:tc>
          <w:tcPr>
            <w:tcW w:w="5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Adjusted EBITDA</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Loss</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Acquisition - amortization of intangible assets</w:t>
            </w:r>
            <w:r>
              <w:rPr>
                <w:rFonts w:ascii="ITC Franklin Gothic LT Pro Bk;sans-serif" w:hAnsi="ITC Franklin Gothic LT Pro Bk;sans-serif"/>
                <w:b w:val="false"/>
                <w:color w:val="000000"/>
                <w:sz w:val="13"/>
              </w:rPr>
              <w:t>(1)</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Depreciation expense</w:t>
            </w:r>
            <w:r>
              <w:rPr>
                <w:rFonts w:ascii="ITC Franklin Gothic LT Pro Bk;sans-serif" w:hAnsi="ITC Franklin Gothic LT Pro Bk;sans-serif"/>
                <w:b w:val="false"/>
                <w:color w:val="000000"/>
                <w:sz w:val="13"/>
              </w:rPr>
              <w:t>(2)</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Goodwill and long-lived asset impairment</w:t>
            </w:r>
            <w:r>
              <w:rPr>
                <w:rFonts w:ascii="ITC Franklin Gothic LT Pro Bk;sans-serif" w:hAnsi="ITC Franklin Gothic LT Pro Bk;sans-serif"/>
                <w:b w:val="false"/>
                <w:color w:val="000000"/>
                <w:sz w:val="13"/>
              </w:rPr>
              <w:t>(3)</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Equity compensation</w:t>
            </w:r>
            <w:r>
              <w:rPr>
                <w:rFonts w:ascii="ITC Franklin Gothic LT Pro Bk;sans-serif" w:hAnsi="ITC Franklin Gothic LT Pro Bk;sans-serif"/>
                <w:b w:val="false"/>
                <w:color w:val="000000"/>
                <w:sz w:val="13"/>
              </w:rPr>
              <w:t>(4)</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Real estate optimization</w:t>
            </w:r>
            <w:r>
              <w:rPr>
                <w:rFonts w:ascii="ITC Franklin Gothic LT Pro Bk;sans-serif" w:hAnsi="ITC Franklin Gothic LT Pro Bk;sans-serif"/>
                <w:b w:val="false"/>
                <w:color w:val="000000"/>
                <w:sz w:val="13"/>
              </w:rPr>
              <w:t>(5)</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Strategic realignment</w:t>
            </w:r>
            <w:r>
              <w:rPr>
                <w:rFonts w:ascii="ITC Franklin Gothic LT Pro Bk;sans-serif" w:hAnsi="ITC Franklin Gothic LT Pro Bk;sans-serif"/>
                <w:b w:val="false"/>
                <w:color w:val="000000"/>
                <w:sz w:val="13"/>
              </w:rPr>
              <w:t>(6)</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Interest expense, net of interest income</w:t>
            </w:r>
            <w:r>
              <w:rPr>
                <w:rFonts w:ascii="ITC Franklin Gothic LT Pro Bk;sans-serif" w:hAnsi="ITC Franklin Gothic LT Pro Bk;sans-serif"/>
                <w:b w:val="false"/>
                <w:color w:val="000000"/>
                <w:sz w:val="13"/>
              </w:rPr>
              <w:t>(7)</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(8)</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Uncertain tax benefits</w:t>
            </w:r>
            <w:r>
              <w:rPr>
                <w:rFonts w:ascii="ITC Franklin Gothic LT Pro Bk;sans-serif" w:hAnsi="ITC Franklin Gothic LT Pro Bk;sans-serif"/>
                <w:b w:val="false"/>
                <w:color w:val="000000"/>
                <w:sz w:val="13"/>
              </w:rPr>
              <w:t>(9)</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(28.7)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Income tax (benefit) expense</w:t>
            </w:r>
            <w:r>
              <w:rPr>
                <w:rFonts w:ascii="ITC Franklin Gothic LT Pro Bk;sans-serif" w:hAnsi="ITC Franklin Gothic LT Pro Bk;sans-serif"/>
                <w:b w:val="false"/>
                <w:color w:val="000000"/>
                <w:sz w:val="13"/>
              </w:rPr>
              <w:t>(10)</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EBITDA</w:t>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678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Represents recurring amortization charges resulting from the acquisition of intangible assets.</w:t>
            </w:r>
          </w:p>
        </w:tc>
        <w:tc>
          <w:tcPr>
            <w:tcW w:w="2223" w:type="dxa"/>
            <w:gridSpan w:val="9"/>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678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Consists of depreciation expense recognized during the period. </w:t>
            </w:r>
          </w:p>
        </w:tc>
        <w:tc>
          <w:tcPr>
            <w:tcW w:w="2223" w:type="dxa"/>
            <w:gridSpan w:val="9"/>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678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Expense related to goodwill and long-lived asset impairment. For the three months ended March 31, 2026, consists of $5.4 million of impairment expense associated with our Women's Health reporting unit and certain intangible assets. </w:t>
            </w:r>
          </w:p>
        </w:tc>
        <w:tc>
          <w:tcPr>
            <w:tcW w:w="2223" w:type="dxa"/>
            <w:gridSpan w:val="9"/>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678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Consists of the non-cash equity-based compensation provided to Myriad Genetics employees and directors.</w:t>
            </w:r>
          </w:p>
        </w:tc>
        <w:tc>
          <w:tcPr>
            <w:tcW w:w="2223" w:type="dxa"/>
            <w:gridSpan w:val="9"/>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(5)</w:t>
            </w:r>
          </w:p>
        </w:tc>
        <w:tc>
          <w:tcPr>
            <w:tcW w:w="678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Costs related to real estate initiatives. For the three months ended March 31, 2025, consists of additional rent as a result of the build-out of our new laboratories in Salt Lake City, Utah and South San Francisco, California, while maintaining our current laboratories in those locations and testing and set-up costs for equipment in our new facilities. </w:t>
            </w:r>
          </w:p>
        </w:tc>
        <w:tc>
          <w:tcPr>
            <w:tcW w:w="2223" w:type="dxa"/>
            <w:gridSpan w:val="9"/>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w:t>
            </w:r>
          </w:p>
        </w:tc>
        <w:tc>
          <w:tcPr>
            <w:tcW w:w="6785"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Costs related to strategic realignment of the company including severance and consulting fees. During the three months ended March 31, 2026, management determined that severance costs that had previously been reported in other-one-time expenses should be reported as part of our strategic realignment efforts. Consequently $1.7 million in severance costs that were reported as other adjustments in our reconciliations of GAAP to Non-GAAP financial measures for the three months ended March 31, 2025 were reclassified to strategic realignment in this reconciliation. </w:t>
            </w:r>
          </w:p>
        </w:tc>
        <w:tc>
          <w:tcPr>
            <w:tcW w:w="2223" w:type="dxa"/>
            <w:gridSpan w:val="9"/>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(7)</w:t>
            </w:r>
          </w:p>
        </w:tc>
        <w:tc>
          <w:tcPr>
            <w:tcW w:w="67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Derived from interest expense and interest income from the Condensed Consolidated Statements of Operations.</w:t>
            </w:r>
          </w:p>
        </w:tc>
        <w:tc>
          <w:tcPr>
            <w:tcW w:w="2223" w:type="dxa"/>
            <w:gridSpan w:val="9"/>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(8)</w:t>
            </w:r>
          </w:p>
        </w:tc>
        <w:tc>
          <w:tcPr>
            <w:tcW w:w="6785"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Other one-time non-recurring expenses. For purposes of adjusted EBITDA, this includes Other adjustments described in the Adjusted Net Loss table above as well as the amounts reported as Other income (expense) in the Condensed Consolidated Statement of Operations. See also Note 6 above regarding the reclassification of other adjustments to strategic realignment. </w:t>
            </w:r>
          </w:p>
        </w:tc>
        <w:tc>
          <w:tcPr>
            <w:tcW w:w="2223" w:type="dxa"/>
            <w:gridSpan w:val="9"/>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w:t>
            </w:r>
          </w:p>
        </w:tc>
        <w:tc>
          <w:tcPr>
            <w:tcW w:w="67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Consists of the release of unrecognized tax benefits and the recognition of valuation allowances for the three months ended March 31, 2025. The unrecognized tax benefits released were primarily related to tax years under Joint Committee on Taxation review, which upon conclusion of the review were remeasured or released.</w:t>
            </w:r>
          </w:p>
        </w:tc>
        <w:tc>
          <w:tcPr>
            <w:tcW w:w="2223" w:type="dxa"/>
            <w:gridSpan w:val="9"/>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(10)</w:t>
            </w:r>
          </w:p>
        </w:tc>
        <w:tc>
          <w:tcPr>
            <w:tcW w:w="678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Derived from income tax (benefit) expense from the Condensed Consolidated Statement of Operations, net of the adjustment for unrecognized tax benefits described in Note 9 above. </w:t>
            </w:r>
          </w:p>
        </w:tc>
        <w:tc>
          <w:tcPr>
            <w:tcW w:w="2223"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2560"/>
                <wp:effectExtent l="0" t="0" r="0" b="0"/>
                <wp:wrapNone/>
                <wp:docPr id="19" name="Frame1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35"/>
        <w:gridCol w:w="261"/>
        <w:gridCol w:w="261"/>
        <w:gridCol w:w="1596"/>
        <w:gridCol w:w="1488"/>
        <w:gridCol w:w="1517"/>
        <w:gridCol w:w="285"/>
        <w:gridCol w:w="285"/>
        <w:gridCol w:w="407"/>
        <w:gridCol w:w="407"/>
        <w:gridCol w:w="407"/>
        <w:gridCol w:w="407"/>
        <w:gridCol w:w="243"/>
        <w:gridCol w:w="662"/>
        <w:gridCol w:w="117"/>
        <w:gridCol w:w="109"/>
        <w:gridCol w:w="109"/>
        <w:gridCol w:w="109"/>
        <w:gridCol w:w="226"/>
        <w:gridCol w:w="609"/>
        <w:gridCol w:w="165"/>
      </w:tblGrid>
      <w:tr>
        <w:trPr/>
        <w:tc>
          <w:tcPr>
            <w:tcW w:w="5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March 31,</w:t>
            </w:r>
          </w:p>
        </w:tc>
        <w:tc>
          <w:tcPr>
            <w:tcW w:w="1327" w:type="dxa"/>
            <w:gridSpan w:val="6"/>
            <w:tcBorders/>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rPr/>
        <w:tc>
          <w:tcPr>
            <w:tcW w:w="56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Adjusted Operating and Free Cash Flow</w:t>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Cash Used in Operating Activities</w:t>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Real estate optimization</w:t>
            </w:r>
            <w:r>
              <w:rPr>
                <w:rFonts w:ascii="ITC Franklin Gothic LT Pro Bk;sans-serif" w:hAnsi="ITC Franklin Gothic LT Pro Bk;sans-serif"/>
                <w:b w:val="false"/>
                <w:color w:val="000000"/>
                <w:sz w:val="13"/>
              </w:rPr>
              <w:t>(1)</w:t>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4601" w:type="dxa"/>
            <w:gridSpan w:val="3"/>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tcPr>
          <w:p>
            <w:pPr>
              <w:pStyle w:val="TableContents"/>
              <w:bidi w:val="0"/>
              <w:spacing w:before="0" w:after="283"/>
              <w:jc w:val="left"/>
              <w:rPr>
                <w:sz w:val="4"/>
                <w:szCs w:val="4"/>
              </w:rPr>
            </w:pPr>
            <w:r>
              <w:rPr>
                <w:sz w:val="4"/>
                <w:szCs w:val="4"/>
              </w:rPr>
            </w:r>
          </w:p>
        </w:tc>
      </w:tr>
      <w:tr>
        <w:trPr/>
        <w:tc>
          <w:tcPr>
            <w:tcW w:w="56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Strategic realignment</w:t>
            </w:r>
            <w:r>
              <w:rPr>
                <w:rFonts w:ascii="ITC Franklin Gothic LT Pro Bk;sans-serif" w:hAnsi="ITC Franklin Gothic LT Pro Bk;sans-serif"/>
                <w:b w:val="false"/>
                <w:color w:val="000000"/>
                <w:sz w:val="13"/>
              </w:rPr>
              <w:t>(2)</w:t>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4601" w:type="dxa"/>
            <w:gridSpan w:val="3"/>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tcPr>
          <w:p>
            <w:pPr>
              <w:pStyle w:val="TableContents"/>
              <w:bidi w:val="0"/>
              <w:spacing w:before="0" w:after="283"/>
              <w:jc w:val="left"/>
              <w:rPr>
                <w:sz w:val="4"/>
                <w:szCs w:val="4"/>
              </w:rPr>
            </w:pPr>
            <w:r>
              <w:rPr>
                <w:sz w:val="4"/>
                <w:szCs w:val="4"/>
              </w:rPr>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4601" w:type="dxa"/>
            <w:gridSpan w:val="3"/>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tcPr>
          <w:p>
            <w:pPr>
              <w:pStyle w:val="TableContents"/>
              <w:bidi w:val="0"/>
              <w:spacing w:before="0" w:after="283"/>
              <w:jc w:val="left"/>
              <w:rPr>
                <w:sz w:val="4"/>
                <w:szCs w:val="4"/>
              </w:rPr>
            </w:pPr>
            <w:r>
              <w:rPr>
                <w:sz w:val="4"/>
                <w:szCs w:val="4"/>
              </w:rPr>
            </w:r>
          </w:p>
        </w:tc>
      </w:tr>
      <w:tr>
        <w:trPr/>
        <w:tc>
          <w:tcPr>
            <w:tcW w:w="56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(3)</w:t>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Operating Cash Flow</w:t>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Capital expenditures</w:t>
            </w:r>
            <w:r>
              <w:rPr>
                <w:rFonts w:ascii="ITC Franklin Gothic LT Pro Bk;sans-serif" w:hAnsi="ITC Franklin Gothic LT Pro Bk;sans-serif"/>
                <w:b w:val="false"/>
                <w:color w:val="000000"/>
                <w:sz w:val="13"/>
              </w:rPr>
              <w:t>(4)</w:t>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Capitalization of internal-use software costs</w:t>
            </w:r>
            <w:r>
              <w:rPr>
                <w:rFonts w:ascii="ITC Franklin Gothic LT Pro Bk;sans-serif" w:hAnsi="ITC Franklin Gothic LT Pro Bk;sans-serif"/>
                <w:b w:val="false"/>
                <w:color w:val="000000"/>
                <w:sz w:val="13"/>
              </w:rPr>
              <w:t>(4)</w:t>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Free Cash Flow</w:t>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(19.9)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(18.7)</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679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The cash flow effect of real estate optimizations, excluding non-cash items such as accelerated depreciation.</w:t>
            </w:r>
          </w:p>
        </w:tc>
        <w:tc>
          <w:tcPr>
            <w:tcW w:w="2349" w:type="dxa"/>
            <w:gridSpan w:val="9"/>
            <w:tcBorders/>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6799"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Strategic realignment includes the cash paid for those costs in the related periods. During the three months ended March 31, 2026, management determined that severance costs that had previously been reported in other one-time expenses should be reported as part of our strategic realignment efforts. Consequently $1.7 million in severance costs that were reported as other adjustments in our reconciliations of GAAP to Non-GAAP financial measures for the three months ended March 31, 2025 were reclassified to strategic realignment in this reconciliation. </w:t>
            </w:r>
          </w:p>
        </w:tc>
        <w:tc>
          <w:tcPr>
            <w:tcW w:w="2349" w:type="dxa"/>
            <w:gridSpan w:val="9"/>
            <w:tcBorders/>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6799"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The cash flow effect of other one-time non-recurring expenses. See also Note 2 above regarding the reclassification of other adjustments to strategic realignment.</w:t>
            </w:r>
          </w:p>
        </w:tc>
        <w:tc>
          <w:tcPr>
            <w:tcW w:w="2349" w:type="dxa"/>
            <w:gridSpan w:val="9"/>
            <w:tcBorders/>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679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Derived from the Condensed Consolidated Statements of Cash Flows. </w:t>
            </w:r>
          </w:p>
        </w:tc>
        <w:tc>
          <w:tcPr>
            <w:tcW w:w="2349"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2560"/>
                <wp:effectExtent l="0" t="0" r="0" b="0"/>
                <wp:wrapNone/>
                <wp:docPr id="20" name="Frame1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ITC Franklin Gothic LT Pro B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5213</Words>
  <Characters>29995</Characters>
  <CharactersWithSpaces>34828</CharactersWithSpaces>
  <Paragraphs>709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