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Myriad Genetics, Inc.</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322 North 2200 West</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Salt Lake City, UT 84116</w:t>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March 2, 2026</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VIA EDGAR</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Attention: Chris Edwards</w:t>
      </w:r>
    </w:p>
    <w:p>
      <w:pPr>
        <w:spacing w:after="0" w:line="192" w:lineRule="exact"/>
        <w:rPr>
          <w:sz w:val="24"/>
          <w:szCs w:val="24"/>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2"/>
          <w:szCs w:val="22"/>
          <w:b w:val="1"/>
          <w:bCs w:val="1"/>
          <w:color w:val="auto"/>
        </w:rPr>
        <w:t>Myriad Genetics, Inc.</w:t>
      </w:r>
    </w:p>
    <w:p>
      <w:pPr>
        <w:spacing w:after="0" w:line="3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Registration Statement on Form S-3</w:t>
      </w:r>
    </w:p>
    <w:p>
      <w:pPr>
        <w:spacing w:after="0" w:line="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Filed February 24, 2026</w:t>
      </w:r>
    </w:p>
    <w:p>
      <w:pPr>
        <w:spacing w:after="0" w:line="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File No. 333-293681 (the “Registration Statement”)</w:t>
      </w:r>
    </w:p>
    <w:p>
      <w:pPr>
        <w:spacing w:after="0" w:line="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Acceleration Request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20"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accordance with Rule 461 of Regulation C promulgated under the Securities Act of 1933, as amended, Myriad Genetics, Inc. (the “Registrant”) hereby respectfully requests that the Securities and Exchange Commission accelerate the effective date and time of the above-referenced Registration Statement to Wednesday, March 4, 2026, at 4:00 p.m., Eastern Time, or as soon as thereafter practicable.</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The cooperation of the staff in meeting the timetable described above is very much appreciated.</w:t>
      </w:r>
    </w:p>
    <w:p>
      <w:pPr>
        <w:spacing w:after="0" w:line="220"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Please contact Daniel T. Kajunski, Esq. of Mintz, Levin, Cohn, Ferris, Glovsky and Popeo, P.C., counsel to the Registrant, at (617) 348-1715 with any questions regarding this request.</w:t>
      </w:r>
    </w:p>
    <w:p>
      <w:pPr>
        <w:spacing w:after="0" w:line="158"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color w:val="auto"/>
        </w:rPr>
        <w:t>MYRIAD GENETICS, INC.</w:t>
      </w:r>
    </w:p>
    <w:p>
      <w:pPr>
        <w:spacing w:after="0" w:line="220"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color w:val="auto"/>
        </w:rPr>
        <w:t>/s/ Samraat S. Raha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-13970</wp:posOffset>
            </wp:positionV>
            <wp:extent cx="16230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3060" cy="8890"/>
                    </a:xfrm>
                    <a:prstGeom prst="rect">
                      <a:avLst/>
                    </a:prstGeom>
                    <a:noFill/>
                  </pic:spPr>
                </pic:pic>
              </a:graphicData>
            </a:graphic>
          </wp:anchor>
        </w:drawing>
      </w:r>
    </w:p>
    <w:p>
      <w:pPr>
        <w:spacing w:after="0" w:line="8"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color w:val="auto"/>
        </w:rPr>
        <w:t>Samraat S. Raha</w:t>
      </w:r>
    </w:p>
    <w:p>
      <w:pPr>
        <w:spacing w:after="0" w:line="4"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200" w:lineRule="exact"/>
        <w:rPr>
          <w:sz w:val="24"/>
          <w:szCs w:val="24"/>
          <w:color w:val="auto"/>
        </w:rPr>
      </w:pPr>
    </w:p>
    <w:p>
      <w:pPr>
        <w:spacing w:after="0" w:line="235" w:lineRule="exact"/>
        <w:rPr>
          <w:sz w:val="24"/>
          <w:szCs w:val="24"/>
          <w:color w:val="auto"/>
        </w:rPr>
      </w:pPr>
    </w:p>
    <w:p>
      <w:pPr>
        <w:ind w:left="480" w:hanging="472"/>
        <w:spacing w:after="0"/>
        <w:tabs>
          <w:tab w:leader="none" w:pos="4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u w:val="single" w:color="auto"/>
          <w:color w:val="auto"/>
        </w:rPr>
        <w:t>Myriad Genetics, Inc.</w:t>
      </w:r>
    </w:p>
    <w:p>
      <w:pPr>
        <w:spacing w:after="0" w:line="3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22"/>
          <w:szCs w:val="22"/>
          <w:color w:val="auto"/>
        </w:rPr>
        <w:t>Justin D. Hunter, Senior Vice President, Legal Affairs, Corporate Secretary</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2026-04-06T00:12:15Z</dcterms:created>
  <dcterms:modified xsi:type="dcterms:W3CDTF">2026-04-06T00:12:15Z</dcterms:modified>
</cp:coreProperties>
</file>