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2650.xml.htm"/>
      <w:bookmarkStart w:id="1" w:name="kswkform4_17897626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Donnelly Brian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573,363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63"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400"/>
        <w:gridCol w:w="401"/>
        <w:gridCol w:w="906"/>
        <w:gridCol w:w="801"/>
        <w:gridCol w:w="891"/>
        <w:gridCol w:w="921"/>
        <w:gridCol w:w="801"/>
        <w:gridCol w:w="936"/>
        <w:gridCol w:w="831"/>
        <w:gridCol w:w="846"/>
      </w:tblGrid>
      <w:tr>
        <w:trPr>
          <w:tblHeader w:val="true"/>
        </w:trPr>
        <w:tc>
          <w:tcPr>
            <w:tcW w:w="1286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236,167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236,167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performance-based restricted stock units ("PSUs") represent the maximum number of shares that may vest based on the Issuer's achievement of specified stock price milestones. The PSUs will vest upon certification by the Compensation and Human Capital Committee as to 25% of the shares upon the achievement of each of four stock price milestones.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"Exit" Form 4 is voluntarily filed to report solely that, effective on September 16, 2026, the Reporting Person no longer serves in the role of Chief Commercial Officer of the Company, and therefore is no longer subject to Section 16 reporting.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Brian J. Donnelly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5630"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3655</Characters>
  <CharactersWithSpaces>4260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