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filed with the Securities and Exchange Commission on June 5, 2025</w:t>
      </w:r>
    </w:p>
    <w:p>
      <w:pPr>
        <w:spacing w:after="0" w:line="210" w:lineRule="exact"/>
        <w:rPr>
          <w:sz w:val="24"/>
          <w:szCs w:val="24"/>
          <w:color w:val="auto"/>
        </w:rPr>
      </w:pPr>
    </w:p>
    <w:p>
      <w:pPr>
        <w:jc w:val="right"/>
        <w:spacing w:after="0" w:line="173" w:lineRule="exact"/>
        <w:rPr>
          <w:sz w:val="20"/>
          <w:szCs w:val="20"/>
          <w:color w:val="auto"/>
        </w:rPr>
      </w:pPr>
      <w:r>
        <w:rPr>
          <w:rFonts w:ascii="Times New Roman" w:cs="Times New Roman" w:eastAsia="Times New Roman" w:hAnsi="Times New Roman"/>
          <w:sz w:val="15"/>
          <w:szCs w:val="15"/>
          <w:color w:val="auto"/>
        </w:rPr>
        <w:t xml:space="preserve">REGISTRATION NO. 333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3" w:lineRule="exact"/>
        <w:rPr>
          <w:sz w:val="24"/>
          <w:szCs w:val="24"/>
          <w:color w:val="auto"/>
        </w:rPr>
      </w:pPr>
    </w:p>
    <w:p>
      <w:pPr>
        <w:jc w:val="center"/>
        <w:ind w:right="-19"/>
        <w:spacing w:after="0" w:line="334" w:lineRule="exact"/>
        <w:rPr>
          <w:sz w:val="20"/>
          <w:szCs w:val="20"/>
          <w:color w:val="auto"/>
        </w:rPr>
      </w:pPr>
      <w:r>
        <w:rPr>
          <w:rFonts w:ascii="Times New Roman" w:cs="Times New Roman" w:eastAsia="Times New Roman" w:hAnsi="Times New Roman"/>
          <w:sz w:val="29"/>
          <w:szCs w:val="29"/>
          <w:b w:val="1"/>
          <w:bCs w:val="1"/>
          <w:color w:val="auto"/>
        </w:rPr>
        <w:t>FORM S</w:t>
      </w:r>
      <w:r>
        <w:rPr>
          <w:rFonts w:ascii="MS PGothic" w:cs="MS PGothic" w:eastAsia="MS PGothic" w:hAnsi="MS PGothic"/>
          <w:sz w:val="29"/>
          <w:szCs w:val="29"/>
          <w:color w:val="auto"/>
          <w:strike w:val="1"/>
        </w:rPr>
        <w:t>‑</w:t>
      </w:r>
      <w:r>
        <w:rPr>
          <w:rFonts w:ascii="Times New Roman" w:cs="Times New Roman" w:eastAsia="Times New Roman" w:hAnsi="Times New Roman"/>
          <w:sz w:val="29"/>
          <w:szCs w:val="29"/>
          <w:b w:val="1"/>
          <w:bCs w:val="1"/>
          <w:color w:val="auto"/>
        </w:rPr>
        <w:t>8</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MYRIAD GENETICS,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87-0494517</w:t>
      </w:r>
    </w:p>
    <w:p>
      <w:pPr>
        <w:spacing w:after="0" w:line="69" w:lineRule="exact"/>
        <w:rPr>
          <w:sz w:val="24"/>
          <w:szCs w:val="24"/>
          <w:color w:val="auto"/>
        </w:rPr>
      </w:pPr>
    </w:p>
    <w:p>
      <w:pPr>
        <w:sectPr>
          <w:pgSz w:w="11900" w:h="16838" w:orient="portrait"/>
          <w:cols w:equalWidth="0" w:num="2">
            <w:col w:w="6920" w:space="720"/>
            <w:col w:w="3600"/>
          </w:cols>
          <w:pgMar w:left="320" w:top="1440"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I.R.S. Employer</w:t>
      </w:r>
    </w:p>
    <w:p>
      <w:pPr>
        <w:spacing w:after="0" w:line="65" w:lineRule="exact"/>
        <w:rPr>
          <w:sz w:val="24"/>
          <w:szCs w:val="24"/>
          <w:color w:val="auto"/>
        </w:rPr>
      </w:pPr>
    </w:p>
    <w:p>
      <w:pPr>
        <w:sectPr>
          <w:pgSz w:w="11900" w:h="16838" w:orient="portrait"/>
          <w:cols w:equalWidth="0" w:num="2">
            <w:col w:w="6860" w:space="720"/>
            <w:col w:w="3660"/>
          </w:cols>
          <w:pgMar w:left="320" w:top="1440" w:right="3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2"/>
          <w:szCs w:val="12"/>
          <w:i w:val="1"/>
          <w:iCs w:val="1"/>
          <w:color w:val="auto"/>
        </w:rPr>
        <w:t>of incorporation or organization</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Identification No.</w:t>
      </w:r>
      <w:r>
        <w:rPr>
          <w:rFonts w:ascii="Times New Roman" w:cs="Times New Roman" w:eastAsia="Times New Roman" w:hAnsi="Times New Roman"/>
          <w:sz w:val="12"/>
          <w:szCs w:val="12"/>
          <w:color w:val="auto"/>
        </w:rPr>
        <w:t>)</w:t>
      </w:r>
    </w:p>
    <w:p>
      <w:pPr>
        <w:spacing w:after="0" w:line="100" w:lineRule="exact"/>
        <w:rPr>
          <w:sz w:val="24"/>
          <w:szCs w:val="24"/>
          <w:color w:val="auto"/>
        </w:rPr>
      </w:pPr>
    </w:p>
    <w:p>
      <w:pPr>
        <w:sectPr>
          <w:pgSz w:w="11900" w:h="16838" w:orient="portrait"/>
          <w:cols w:equalWidth="0" w:num="2">
            <w:col w:w="6820" w:space="720"/>
            <w:col w:w="370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322 North 2200 West</w:t>
      </w:r>
    </w:p>
    <w:p>
      <w:pPr>
        <w:jc w:val="center"/>
        <w:spacing w:after="0" w:line="183" w:lineRule="auto"/>
        <w:rPr>
          <w:sz w:val="20"/>
          <w:szCs w:val="20"/>
          <w:color w:val="auto"/>
        </w:rPr>
      </w:pPr>
      <w:r>
        <w:rPr>
          <w:rFonts w:ascii="Times New Roman" w:cs="Times New Roman" w:eastAsia="Times New Roman" w:hAnsi="Times New Roman"/>
          <w:sz w:val="15"/>
          <w:szCs w:val="15"/>
          <w:b w:val="1"/>
          <w:bCs w:val="1"/>
          <w:color w:val="auto"/>
        </w:rPr>
        <w:t>Salt Lake City, Utah 84116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Address of Principal Executive Offices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Zip Code)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MYRIAD GENETICS, INC. 2017 EMPLOYEE,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DIRECTOR AND CONSULTANT EQUITY INCENTIVE PLAN, AS AMENDED</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(Full title of the plan)</w:t>
      </w:r>
    </w:p>
    <w:p>
      <w:pPr>
        <w:spacing w:after="0" w:line="19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SAMRAAT S. RAHA</w:t>
      </w:r>
    </w:p>
    <w:p>
      <w:pPr>
        <w:ind w:left="3900"/>
        <w:spacing w:after="0" w:line="187" w:lineRule="auto"/>
        <w:rPr>
          <w:sz w:val="20"/>
          <w:szCs w:val="20"/>
          <w:color w:val="auto"/>
        </w:rPr>
      </w:pPr>
      <w:r>
        <w:rPr>
          <w:rFonts w:ascii="Times New Roman" w:cs="Times New Roman" w:eastAsia="Times New Roman" w:hAnsi="Times New Roman"/>
          <w:sz w:val="15"/>
          <w:szCs w:val="15"/>
          <w:b w:val="1"/>
          <w:bCs w:val="1"/>
          <w:color w:val="auto"/>
        </w:rPr>
        <w:t>PRESIDENT AND CHIEF EXECUTIVE OFFICER</w:t>
      </w:r>
    </w:p>
    <w:p>
      <w:pPr>
        <w:jc w:val="center"/>
        <w:ind w:right="-19"/>
        <w:spacing w:after="0" w:line="188" w:lineRule="auto"/>
        <w:rPr>
          <w:sz w:val="20"/>
          <w:szCs w:val="20"/>
          <w:color w:val="auto"/>
        </w:rPr>
      </w:pPr>
      <w:r>
        <w:rPr>
          <w:rFonts w:ascii="Times New Roman" w:cs="Times New Roman" w:eastAsia="Times New Roman" w:hAnsi="Times New Roman"/>
          <w:sz w:val="15"/>
          <w:szCs w:val="15"/>
          <w:b w:val="1"/>
          <w:bCs w:val="1"/>
          <w:color w:val="auto"/>
        </w:rPr>
        <w:t>MYRIAD GENETICS, INC.</w:t>
      </w:r>
    </w:p>
    <w:p>
      <w:pPr>
        <w:jc w:val="center"/>
        <w:ind w:right="-19"/>
        <w:spacing w:after="0" w:line="207" w:lineRule="auto"/>
        <w:rPr>
          <w:sz w:val="20"/>
          <w:szCs w:val="20"/>
          <w:color w:val="auto"/>
        </w:rPr>
      </w:pPr>
      <w:r>
        <w:rPr>
          <w:rFonts w:ascii="Times New Roman" w:cs="Times New Roman" w:eastAsia="Times New Roman" w:hAnsi="Times New Roman"/>
          <w:sz w:val="15"/>
          <w:szCs w:val="15"/>
          <w:b w:val="1"/>
          <w:bCs w:val="1"/>
          <w:color w:val="auto"/>
        </w:rPr>
        <w:t>322 North 2200 West</w:t>
      </w:r>
    </w:p>
    <w:p>
      <w:pPr>
        <w:jc w:val="center"/>
        <w:ind w:right="-19"/>
        <w:spacing w:after="0" w:line="188" w:lineRule="auto"/>
        <w:rPr>
          <w:sz w:val="20"/>
          <w:szCs w:val="20"/>
          <w:color w:val="auto"/>
        </w:rPr>
      </w:pPr>
      <w:r>
        <w:rPr>
          <w:rFonts w:ascii="Times New Roman" w:cs="Times New Roman" w:eastAsia="Times New Roman" w:hAnsi="Times New Roman"/>
          <w:sz w:val="15"/>
          <w:szCs w:val="15"/>
          <w:b w:val="1"/>
          <w:bCs w:val="1"/>
          <w:color w:val="auto"/>
        </w:rPr>
        <w:t>Salt Lake City, Utah 84116</w:t>
      </w:r>
    </w:p>
    <w:p>
      <w:pPr>
        <w:jc w:val="center"/>
        <w:ind w:right="-19"/>
        <w:spacing w:after="0" w:line="191" w:lineRule="auto"/>
        <w:rPr>
          <w:sz w:val="20"/>
          <w:szCs w:val="20"/>
          <w:color w:val="auto"/>
        </w:rPr>
      </w:pPr>
      <w:r>
        <w:rPr>
          <w:rFonts w:ascii="Times New Roman" w:cs="Times New Roman" w:eastAsia="Times New Roman" w:hAnsi="Times New Roman"/>
          <w:sz w:val="15"/>
          <w:szCs w:val="15"/>
          <w:b w:val="1"/>
          <w:bCs w:val="1"/>
          <w:color w:val="auto"/>
        </w:rPr>
        <w:t>(801) 584-3600</w:t>
      </w:r>
    </w:p>
    <w:p>
      <w:pPr>
        <w:jc w:val="center"/>
        <w:ind w:right="-19"/>
        <w:spacing w:after="0" w:line="19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Name and address of agent for service</w:t>
      </w:r>
      <w:r>
        <w:rPr>
          <w:rFonts w:ascii="Times New Roman" w:cs="Times New Roman" w:eastAsia="Times New Roman" w:hAnsi="Times New Roman"/>
          <w:sz w:val="13"/>
          <w:szCs w:val="13"/>
          <w:color w:val="auto"/>
        </w:rPr>
        <w:t>)</w:t>
      </w: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(Telephone number, including area code, of agent for service)</w:t>
      </w:r>
    </w:p>
    <w:p>
      <w:pPr>
        <w:spacing w:after="0" w:line="22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[X]</w:t>
            </w:r>
          </w:p>
        </w:tc>
        <w:tc>
          <w:tcPr>
            <w:tcW w:w="4520" w:type="dxa"/>
            <w:vAlign w:val="bottom"/>
          </w:tcPr>
          <w:p>
            <w:pPr>
              <w:ind w:left="2060"/>
              <w:spacing w:after="0"/>
              <w:rPr>
                <w:sz w:val="20"/>
                <w:szCs w:val="20"/>
                <w:color w:val="auto"/>
              </w:rPr>
            </w:pPr>
            <w:r>
              <w:rPr>
                <w:rFonts w:ascii="Times New Roman" w:cs="Times New Roman" w:eastAsia="Times New Roman" w:hAnsi="Times New Roman"/>
                <w:sz w:val="15"/>
                <w:szCs w:val="15"/>
                <w:color w:val="auto"/>
              </w:rPr>
              <w:t>Accelerated filer</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 ]</w:t>
            </w:r>
          </w:p>
        </w:tc>
        <w:tc>
          <w:tcPr>
            <w:tcW w:w="4520" w:type="dxa"/>
            <w:vAlign w:val="bottom"/>
          </w:tcPr>
          <w:p>
            <w:pPr>
              <w:ind w:left="20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30"/>
        </w:trPr>
        <w:tc>
          <w:tcPr>
            <w:tcW w:w="2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520" w:type="dxa"/>
            <w:vAlign w:val="bottom"/>
          </w:tcPr>
          <w:p>
            <w:pPr>
              <w:ind w:left="2060"/>
              <w:spacing w:after="0"/>
              <w:rPr>
                <w:sz w:val="20"/>
                <w:szCs w:val="20"/>
                <w:color w:val="auto"/>
              </w:rPr>
            </w:pPr>
            <w:r>
              <w:rPr>
                <w:rFonts w:ascii="Times New Roman" w:cs="Times New Roman" w:eastAsia="Times New Roman" w:hAnsi="Times New Roman"/>
                <w:sz w:val="15"/>
                <w:szCs w:val="15"/>
                <w:color w:val="auto"/>
              </w:rPr>
              <w:t>Emerging growth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99" w:lineRule="exact"/>
        <w:rPr>
          <w:sz w:val="24"/>
          <w:szCs w:val="24"/>
          <w:color w:val="auto"/>
        </w:rPr>
      </w:pPr>
    </w:p>
    <w:p>
      <w:pPr>
        <w:ind w:right="20"/>
        <w:spacing w:after="0" w:line="355"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EXPLANATORY NOTE</w:t>
      </w:r>
    </w:p>
    <w:p>
      <w:pPr>
        <w:spacing w:after="0" w:line="2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Registration Statement on Form S-8 registers 6,500,000 additional shares of common stock, par value $0.01 per share (“Common Stock”), for issuance under the Myriad Genetics, Inc. 2017 Employee, Director and Consultant Equity Incentive Plan, as amended (the “Plan”), representing an increase of 6,500,000 shares reserved under the Plan, as approved by the Registrant’s stockholders at the Registrant’s annual meeting of stockholders on June 5, 2025.</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This Registration Statement registers additional securities of the same class as other securities for which the registration statements filed on Form S-8 (SEC File Nos. 333-272327, 333-254337, 333-236324, 333-229574 and 333-222913) of the Registrant are effective. The information contained in the Registrant’s registration statements on Form S-8 (SEC File Nos. 333-272327, 333-254337, 333-236324, 333-229574 and 333-222913), except for Item 3 “Incorporation of Documents by Reference”, Item 6 “Indemnification of Directors and Officers” and Item 8 “Exhibits” is hereby incorporated by reference pursuant to General Instruction E of Form S-8.</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INFORMATION REQUIRED IN THE REGISTRATION STATEMENT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3. Incorporation of Documents by Reference.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documents filed by the Registrant with the Commission are incorporated herein by reference:</w:t>
      </w:r>
    </w:p>
    <w:p>
      <w:pPr>
        <w:spacing w:after="0" w:line="24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our Annual Report on Form 10-K for the fiscal year ended December 31, 2024 filed with the Commission on February 28, 2025;</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our Quarterly Report on Form 10-Q for the quarter ended March 31, 2025 filed with the Commission on May 7, 2025;</w:t>
      </w:r>
    </w:p>
    <w:p>
      <w:pPr>
        <w:spacing w:after="0" w:line="233" w:lineRule="exact"/>
        <w:rPr>
          <w:rFonts w:ascii="Times New Roman" w:cs="Times New Roman" w:eastAsia="Times New Roman" w:hAnsi="Times New Roman"/>
          <w:sz w:val="22"/>
          <w:szCs w:val="22"/>
          <w:color w:val="auto"/>
        </w:rPr>
      </w:pPr>
    </w:p>
    <w:p>
      <w:pPr>
        <w:ind w:left="660" w:hanging="328"/>
        <w:spacing w:after="0" w:line="245" w:lineRule="auto"/>
        <w:tabs>
          <w:tab w:leader="none" w:pos="65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our Definitive Proxy Statement on Schedule 14A, filed with the SEC on April 9, 2025 (excluding those portions that are not incorporated by reference into our Annual Report on Form 10-K for the fiscal year ended December 31, 2024); and</w:t>
      </w:r>
    </w:p>
    <w:p>
      <w:pPr>
        <w:spacing w:after="0" w:line="222"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our Current Report on Form 8-K as filed with the Commission on February 24, 2025 (other than any portions thereof deemed furnished and not filed).</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All reports and other documents filed by the Registrant after the date hereof pursuant to Sections 13(a), 13(c), 14 and 15(d) of the Securities Exchange Act of 1934, as amended (other than Current Reports furnished under Item 2.02 or Item 7.01 of Form 8-K and exhibits furnished on such form that relate to such items),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w:t>
      </w:r>
    </w:p>
    <w:p>
      <w:pPr>
        <w:sectPr>
          <w:pgSz w:w="11900" w:h="16838" w:orient="portrait"/>
          <w:cols w:equalWidth="0" w:num="1">
            <w:col w:w="11240"/>
          </w:cols>
          <w:pgMar w:left="320" w:top="1409"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20"/>
          <w:szCs w:val="20"/>
          <w:color w:val="auto"/>
        </w:rPr>
        <w:t>Any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6. Indemnification of Directors and Officers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Section 145(a)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cause to believe the person’s conduct was unlawful.</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Section 145(b)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under similar standards,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Section 145 further provides that to the extent a present or former director or officer of a corporation has been successful on the merits or otherwise in the defense of any action, suit or proceeding referred to in subsections (a) and (b) or in the defense of any claim, issue or matter therein, such person shall be indemnified against expenses (including attorneys’ fees) actually and reasonably incurred by such person in connection therewith; that indemnification and advancement of expenses provided by, or granted pursuant to, Section 145 shall not be deemed exclusive of any other rights to which the indemnified party may be entitled; and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or incurred by such person in any such capacity or arising out of such person’s status as such, whether or not the corporation would have the power to indemnify him against such liabilities under Section 145.</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In addition, our Restated Certificate of Incorporation, as amended, and our Restated By-Laws provide for indemnification of and advancement of expenses to our directors and officers to the fullest extent permitted by the Delaware General Corporation Law. The Restated Certificate of Incorporation, as amended, and the Restated By-Laws also permit the Board of Directors to authorize us to purchase and maintain insurance against liabilities asserted against any of our directors, officers, employees or agents arising out of their capacity as such, and we have purchased such insurance.</w:t>
      </w:r>
    </w:p>
    <w:p>
      <w:pPr>
        <w:sectPr>
          <w:pgSz w:w="11900" w:h="16838" w:orient="portrait"/>
          <w:cols w:equalWidth="0" w:num="1">
            <w:col w:w="11240"/>
          </w:cols>
          <w:pgMar w:left="320" w:top="1413" w:right="339" w:bottom="1440" w:gutter="0" w:footer="0" w:header="0"/>
        </w:sectPr>
      </w:pPr>
    </w:p>
    <w:bookmarkStart w:id="3" w:name="page4"/>
    <w:bookmarkEnd w:id="3"/>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We have also entered into indemnification agreements with our directors and certain of our officers and key employees. These agreements provide each indemnitee with more comprehensive indemnification and advancement rights than are provided by us in our Restated Certificate of Incorporation, as amended, and our Restated By-Laws in certain circumstances and contain presumptions and procedures designed to ensure that the indemnification and advancement rights granted to each indemnitee in these agreements will be provided on a timely basis. Each agreement provides that our obligations under the agreement will continue during the time the indemnitee serves the Registrant and continues thereafter so long as the indemnitee is subject to any possible proceeding by reason of the indemnitee’s service to the Registrant.</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Insofar as indemnification for liabilities under the Securities Act may be permitted to our directors, officers, or controlling persons pursuant to our Restated Certificate of Incorporation, as amended, our Restated By-laws, indemnification agreements we have entered with these persons and the Delaware General Corporation Law, we have been informed that in the opinion of the Commission such indemnification is against public policy as expressed in the Securities Act and is therefore unenforceable.</w:t>
      </w:r>
    </w:p>
    <w:p>
      <w:pPr>
        <w:spacing w:after="0" w:line="21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As permitted by the Delaware General Corporation Law, our Restated Certificate of Incorporation, as amended, provides that our directors and officers shall not be personally liable to the Registrant or our stockholders for monetary damages for breach of fiduciary duty as a director or officer, except for liability (i) for any breach of the director’s or officer’s duty of loyalty to the Registrant or its stockholders, (ii) for acts or omissions not in good faith or which involve intentional misconduct or a knowing violation of law, (iii) with respect to directors, under Section 174 of the Delaware General Corporation Law, relating to prohibited dividends or distributions or the repurchase or redemption of stock, (iv) for any transaction from which the director or officer derives an improper personal benefit or (v) with respect to officers, in any action by or in the right of the Registrant. As a result of this provision, the Registrant and our stockholders may be unable to obtain monetary damages from a director or officer for breach of his or her duty of care.</w:t>
      </w:r>
    </w:p>
    <w:p>
      <w:pPr>
        <w:sectPr>
          <w:pgSz w:w="11900" w:h="16838" w:orient="portrait"/>
          <w:cols w:equalWidth="0" w:num="1">
            <w:col w:w="11240"/>
          </w:cols>
          <w:pgMar w:left="320" w:top="14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52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Item 8. Exhibits.</w:t>
            </w: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Incorporated by</w:t>
            </w:r>
          </w:p>
        </w:tc>
        <w:tc>
          <w:tcPr>
            <w:tcW w:w="122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SEC</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Reference herein</w:t>
            </w:r>
          </w:p>
        </w:tc>
        <w:tc>
          <w:tcPr>
            <w:tcW w:w="12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from Form or</w:t>
            </w:r>
          </w:p>
        </w:tc>
        <w:tc>
          <w:tcPr>
            <w:tcW w:w="12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File/Registration</w:t>
            </w:r>
          </w:p>
        </w:tc>
        <w:tc>
          <w:tcPr>
            <w:tcW w:w="0" w:type="dxa"/>
            <w:vAlign w:val="bottom"/>
          </w:tcPr>
          <w:p>
            <w:pPr>
              <w:spacing w:after="0"/>
              <w:rPr>
                <w:sz w:val="1"/>
                <w:szCs w:val="1"/>
                <w:color w:val="auto"/>
              </w:rPr>
            </w:pPr>
          </w:p>
        </w:tc>
      </w:tr>
      <w:tr>
        <w:trPr>
          <w:trHeight w:val="28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8"/>
          </w:tcPr>
          <w:p>
            <w:pPr>
              <w:ind w:left="100"/>
              <w:spacing w:after="0"/>
              <w:rPr>
                <w:sz w:val="20"/>
                <w:szCs w:val="20"/>
                <w:color w:val="auto"/>
              </w:rPr>
            </w:pPr>
            <w:r>
              <w:rPr>
                <w:rFonts w:ascii="Times New Roman" w:cs="Times New Roman" w:eastAsia="Times New Roman" w:hAnsi="Times New Roman"/>
                <w:sz w:val="20"/>
                <w:szCs w:val="20"/>
                <w:b w:val="1"/>
                <w:bCs w:val="1"/>
                <w:color w:val="auto"/>
              </w:rPr>
              <w:t>Item</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Schedule</w:t>
            </w:r>
          </w:p>
        </w:tc>
        <w:tc>
          <w:tcPr>
            <w:tcW w:w="1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0" w:type="dxa"/>
            <w:vAlign w:val="bottom"/>
          </w:tcPr>
          <w:p>
            <w:pPr>
              <w:spacing w:after="0"/>
              <w:rPr>
                <w:sz w:val="1"/>
                <w:szCs w:val="1"/>
                <w:color w:val="auto"/>
              </w:rPr>
            </w:pPr>
          </w:p>
        </w:tc>
      </w:tr>
      <w:tr>
        <w:trPr>
          <w:trHeight w:val="200"/>
        </w:trPr>
        <w:tc>
          <w:tcPr>
            <w:tcW w:w="112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580" w:type="dxa"/>
            <w:vAlign w:val="bottom"/>
            <w:tcBorders>
              <w:top w:val="single" w:sz="8" w:color="auto"/>
              <w:bottom w:val="single" w:sz="8" w:color="0000FF"/>
            </w:tcBorders>
            <w:gridSpan w:val="10"/>
          </w:tcPr>
          <w:p>
            <w:pPr>
              <w:spacing w:after="0" w:line="200" w:lineRule="exact"/>
              <w:rPr>
                <w:rFonts w:ascii="Times New Roman" w:cs="Times New Roman" w:eastAsia="Times New Roman" w:hAnsi="Times New Roman"/>
                <w:sz w:val="18"/>
                <w:szCs w:val="18"/>
                <w:color w:val="0000FF"/>
                <w:w w:val="99"/>
              </w:rPr>
            </w:pPr>
            <w:hyperlink r:id="rId8">
              <w:r>
                <w:rPr>
                  <w:rFonts w:ascii="Times New Roman" w:cs="Times New Roman" w:eastAsia="Times New Roman" w:hAnsi="Times New Roman"/>
                  <w:sz w:val="18"/>
                  <w:szCs w:val="18"/>
                  <w:color w:val="0000FF"/>
                  <w:w w:val="99"/>
                </w:rPr>
                <w:t>Restated Certificate of Incorporation, as amended</w:t>
              </w:r>
            </w:hyperlink>
          </w:p>
        </w:tc>
        <w:tc>
          <w:tcPr>
            <w:tcW w:w="1700" w:type="dxa"/>
            <w:vAlign w:val="bottom"/>
            <w:tcBorders>
              <w:top w:val="single" w:sz="8" w:color="auto"/>
            </w:tcBorders>
            <w:gridSpan w:val="6"/>
          </w:tcPr>
          <w:p>
            <w:pPr>
              <w:spacing w:after="0"/>
              <w:rPr>
                <w:sz w:val="17"/>
                <w:szCs w:val="17"/>
                <w:color w:val="auto"/>
              </w:rPr>
            </w:pPr>
          </w:p>
        </w:tc>
        <w:tc>
          <w:tcPr>
            <w:tcW w:w="186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8"/>
              </w:rPr>
              <w:t>10-Q (Exhibit 3.1)</w:t>
            </w:r>
          </w:p>
        </w:tc>
        <w:tc>
          <w:tcPr>
            <w:tcW w:w="12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8/4/2023</w:t>
            </w:r>
          </w:p>
        </w:tc>
        <w:tc>
          <w:tcPr>
            <w:tcW w:w="16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16"/>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Restated By-Laws</w:t>
              </w:r>
            </w:hyperlink>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 (Exhibit 3.1)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10/15/2020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0">
              <w:r>
                <w:rPr>
                  <w:rFonts w:ascii="Times New Roman" w:cs="Times New Roman" w:eastAsia="Times New Roman" w:hAnsi="Times New Roman"/>
                  <w:sz w:val="18"/>
                  <w:szCs w:val="18"/>
                  <w:color w:val="0000FF"/>
                  <w:w w:val="99"/>
                </w:rPr>
                <w:t>Specimen common stock certificate</w:t>
              </w:r>
            </w:hyperlink>
          </w:p>
        </w:tc>
        <w:tc>
          <w:tcPr>
            <w:tcW w:w="2700" w:type="dxa"/>
            <w:vAlign w:val="bottom"/>
            <w:gridSpan w:val="7"/>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 (Exhibit 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8/15/2011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Opinion of Mintz, Levin, Cohn, Ferris, Glovsky and Popeo, P.C.</w:t>
            </w:r>
          </w:p>
        </w:tc>
        <w:tc>
          <w:tcPr>
            <w:tcW w:w="640" w:type="dxa"/>
            <w:vAlign w:val="bottom"/>
            <w:gridSpan w:val="4"/>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Mintz, Levin, Cohn, Ferris, Glovsky and Popeo, P.C.</w:t>
            </w:r>
          </w:p>
        </w:tc>
        <w:tc>
          <w:tcPr>
            <w:tcW w:w="640" w:type="dxa"/>
            <w:vAlign w:val="bottom"/>
            <w:gridSpan w:val="4"/>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(contained in Exhibit 5.1 hereto).</w:t>
            </w: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(included in the signature page of this registration</w:t>
            </w: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statement).</w:t>
            </w:r>
          </w:p>
        </w:tc>
        <w:tc>
          <w:tcPr>
            <w:tcW w:w="4160" w:type="dxa"/>
            <w:vAlign w:val="bottom"/>
            <w:tcBorders>
              <w:top w:val="single" w:sz="8" w:color="0000FF"/>
            </w:tcBorders>
            <w:gridSpan w:val="12"/>
          </w:tcPr>
          <w:p>
            <w:pPr>
              <w:spacing w:after="0"/>
              <w:rPr>
                <w:sz w:val="17"/>
                <w:szCs w:val="17"/>
                <w:color w:val="auto"/>
              </w:rPr>
            </w:pPr>
          </w:p>
        </w:tc>
        <w:tc>
          <w:tcPr>
            <w:tcW w:w="32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Myriad Genetics, Inc. 2017 Employee, Director and Consultant Equity</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Incentive Plan, as amended.</w:t>
            </w:r>
          </w:p>
        </w:tc>
        <w:tc>
          <w:tcPr>
            <w:tcW w:w="3260" w:type="dxa"/>
            <w:vAlign w:val="bottom"/>
            <w:gridSpan w:val="9"/>
          </w:tcPr>
          <w:p>
            <w:pPr>
              <w:spacing w:after="0"/>
              <w:rPr>
                <w:sz w:val="17"/>
                <w:szCs w:val="17"/>
                <w:color w:val="auto"/>
              </w:rPr>
            </w:pP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Form of Restricted Stock Unit Agreement under the 2017 Equity</w:t>
              </w:r>
            </w:hyperlink>
          </w:p>
        </w:tc>
        <w:tc>
          <w:tcPr>
            <w:tcW w:w="600" w:type="dxa"/>
            <w:vAlign w:val="bottom"/>
            <w:gridSpan w:val="3"/>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16"/>
          </w:tcPr>
          <w:p>
            <w:pPr>
              <w:spacing w:after="0" w:line="196" w:lineRule="exact"/>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Incentive Plan (Director).</w:t>
              </w:r>
            </w:hyperlink>
          </w:p>
        </w:tc>
        <w:tc>
          <w:tcPr>
            <w:tcW w:w="1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 (Exhibit 10.11)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8/13/2020</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Form of Restricted Stock Unit Agreement under the 2017 Equity</w:t>
              </w:r>
            </w:hyperlink>
          </w:p>
        </w:tc>
        <w:tc>
          <w:tcPr>
            <w:tcW w:w="600" w:type="dxa"/>
            <w:vAlign w:val="bottom"/>
            <w:gridSpan w:val="3"/>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Incentive Plan (Employee).</w:t>
              </w:r>
            </w:hyperlink>
          </w:p>
        </w:tc>
        <w:tc>
          <w:tcPr>
            <w:tcW w:w="3300" w:type="dxa"/>
            <w:vAlign w:val="bottom"/>
            <w:gridSpan w:val="10"/>
          </w:tcPr>
          <w:p>
            <w:pPr>
              <w:spacing w:after="0"/>
              <w:rPr>
                <w:sz w:val="17"/>
                <w:szCs w:val="17"/>
                <w:color w:val="auto"/>
              </w:rPr>
            </w:pPr>
          </w:p>
        </w:tc>
        <w:tc>
          <w:tcPr>
            <w:tcW w:w="1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 (Exhibit 10.1)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5/4/2023</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4100" w:type="dxa"/>
            <w:vAlign w:val="bottom"/>
            <w:gridSpan w:val="13"/>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ectPr>
          <w:pgSz w:w="11900" w:h="16838" w:orient="portrait"/>
          <w:cols w:equalWidth="0" w:num="1">
            <w:col w:w="11240"/>
          </w:cols>
          <w:pgMar w:left="320" w:top="1408" w:right="339" w:bottom="1440" w:gutter="0" w:footer="0" w:header="0"/>
        </w:sectPr>
      </w:pPr>
    </w:p>
    <w:bookmarkStart w:id="5" w:name="page6"/>
    <w:bookmarkEnd w:id="5"/>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certifies that it has reasonable grounds to believe that it</w:t>
      </w:r>
    </w:p>
    <w:p>
      <w:pPr>
        <w:jc w:val="both"/>
        <w:spacing w:after="0" w:line="214" w:lineRule="auto"/>
        <w:rPr>
          <w:sz w:val="20"/>
          <w:szCs w:val="20"/>
          <w:color w:val="auto"/>
        </w:rPr>
      </w:pPr>
      <w:r>
        <w:rPr>
          <w:rFonts w:ascii="Times New Roman" w:cs="Times New Roman" w:eastAsia="Times New Roman" w:hAnsi="Times New Roman"/>
          <w:sz w:val="20"/>
          <w:szCs w:val="20"/>
          <w:color w:val="auto"/>
        </w:rPr>
        <w:t>meets all of the requirements for filing on Form S-8 and has duly caused this Registration Statement to be signed on its behalf by the undersigned, thereunto duly authorized, in Salt Lake City, Utah, on June 5, 2025.</w:t>
      </w:r>
    </w:p>
    <w:p>
      <w:pPr>
        <w:spacing w:after="0" w:line="23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58"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Samraat S. 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31115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0"/>
          <w:szCs w:val="20"/>
          <w:color w:val="auto"/>
        </w:rPr>
        <w:t>Samraat S. Raha</w:t>
      </w:r>
    </w:p>
    <w:p>
      <w:pPr>
        <w:spacing w:after="0" w:line="5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212" w:lineRule="auto"/>
        <w:rPr>
          <w:sz w:val="20"/>
          <w:szCs w:val="20"/>
          <w:color w:val="auto"/>
        </w:rPr>
      </w:pPr>
      <w:r>
        <w:rPr>
          <w:rFonts w:ascii="Times New Roman" w:cs="Times New Roman" w:eastAsia="Times New Roman" w:hAnsi="Times New Roman"/>
          <w:sz w:val="19"/>
          <w:szCs w:val="19"/>
          <w:color w:val="auto"/>
        </w:rPr>
        <w:t>Each person whose signature appears below constitutes and appoints Samraat S. Raha and Scott J. Leffler, and each of them singly, his/her true and lawful attorneys-in-fact and agents, with full power of substitution and resubstitution in each of them singly, for him/her and</w:t>
      </w:r>
    </w:p>
    <w:p>
      <w:pPr>
        <w:spacing w:after="0" w:line="1" w:lineRule="exact"/>
        <w:rPr>
          <w:sz w:val="20"/>
          <w:szCs w:val="20"/>
          <w:color w:val="auto"/>
        </w:rPr>
      </w:pPr>
    </w:p>
    <w:p>
      <w:pPr>
        <w:jc w:val="both"/>
        <w:spacing w:after="0" w:line="187" w:lineRule="auto"/>
        <w:rPr>
          <w:sz w:val="20"/>
          <w:szCs w:val="20"/>
          <w:color w:val="auto"/>
        </w:rPr>
      </w:pPr>
      <w:r>
        <w:rPr>
          <w:rFonts w:ascii="Times New Roman" w:cs="Times New Roman" w:eastAsia="Times New Roman" w:hAnsi="Times New Roman"/>
          <w:sz w:val="20"/>
          <w:szCs w:val="20"/>
          <w:color w:val="auto"/>
        </w:rPr>
        <w:t>in his/her name, place and stead, and in any and all capacities, to sign any and all amendments (including post-effective amendments) to this Registration Statement on Form S-8 of Myriad Genetics, Inc., and to file the same, with all exhibits thereto and other documents in connection therewith, with the Securities and Exchange Commission, granting to the attorneys-in-fact and agents, and each of them, full</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power and authority to do and perform each and every act and thing requisite or necessary to be done in or about the premises, as full to all intents and purposes as he/she might or could do in person, hereby ratifying and confirming all that the attorneys-in-fact and agents or any of each of them or their substitute may lawfully do or cause to be done by virtue hereof.</w:t>
      </w:r>
    </w:p>
    <w:p>
      <w:pPr>
        <w:spacing w:after="0" w:line="17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38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Pr>
          <w:p>
            <w:pPr>
              <w:spacing w:after="0"/>
              <w:rPr>
                <w:sz w:val="22"/>
                <w:szCs w:val="22"/>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0" w:type="dxa"/>
            <w:vAlign w:val="bottom"/>
          </w:tcPr>
          <w:p>
            <w:pPr>
              <w:spacing w:after="0"/>
              <w:rPr>
                <w:sz w:val="1"/>
                <w:szCs w:val="1"/>
                <w:color w:val="auto"/>
              </w:rPr>
            </w:pPr>
          </w:p>
        </w:tc>
      </w:tr>
      <w:tr>
        <w:trPr>
          <w:trHeight w:val="318"/>
        </w:trPr>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 Samraat S. Raha</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Chief Executive Officer and Director</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(Principal Executive Officer)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Samraat S. Raha</w:t>
            </w:r>
          </w:p>
        </w:tc>
        <w:tc>
          <w:tcPr>
            <w:tcW w:w="2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 Scott J. Leffler</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 (Principal Financial Officer)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Scott J. Leffler</w:t>
            </w:r>
          </w:p>
        </w:tc>
        <w:tc>
          <w:tcPr>
            <w:tcW w:w="2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Natalie Munk</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Accounting Officer (Principal Accounting</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Officer)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Natalie Munk</w:t>
            </w:r>
          </w:p>
        </w:tc>
        <w:tc>
          <w:tcPr>
            <w:tcW w:w="2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S. Louise Phanstiel</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Louise Phanstiel</w:t>
            </w:r>
          </w:p>
        </w:tc>
        <w:tc>
          <w:tcPr>
            <w:tcW w:w="2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Paul Bisaro</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Paul Bisaro</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Mark S. Davis</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Mark S. Davis</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Heiner Dreismann</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Heiner Dreismann, Ph.D.</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Rashmi Kumar</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Rashmi Kumar</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Lee N. Newcomer</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Lee N. Newcomer, M.D.</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Colleen F. Reitan</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Colleen F. Reitan</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Daniel M. Skovronsky</w:t>
            </w:r>
          </w:p>
        </w:tc>
        <w:tc>
          <w:tcPr>
            <w:tcW w:w="2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Daniel M. Skovronsky, M.D., Ph.D.</w:t>
            </w:r>
          </w:p>
        </w:tc>
        <w:tc>
          <w:tcPr>
            <w:tcW w:w="2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16510</wp:posOffset>
            </wp:positionV>
            <wp:extent cx="152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5, 2025</w:t>
      </w:r>
    </w:p>
    <w:p>
      <w:pPr>
        <w:sectPr>
          <w:pgSz w:w="11900" w:h="16838" w:orient="portrait"/>
          <w:cols w:equalWidth="0" w:num="2">
            <w:col w:w="8820" w:space="720"/>
            <w:col w:w="1000"/>
          </w:cols>
          <w:pgMar w:left="320" w:top="1436" w:right="1039" w:bottom="1440" w:gutter="0" w:footer="0" w:header="0"/>
        </w:sectPr>
      </w:pPr>
    </w:p>
    <w:bookmarkStart w:id="7" w:name="page8"/>
    <w:bookmarkEnd w:id="7"/>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ind w:left="3480"/>
        <w:spacing w:after="0"/>
        <w:rPr>
          <w:sz w:val="20"/>
          <w:szCs w:val="20"/>
          <w:color w:val="auto"/>
        </w:rPr>
      </w:pPr>
      <w:r>
        <w:rPr>
          <w:rFonts w:ascii="Arial" w:cs="Arial" w:eastAsia="Arial" w:hAnsi="Arial"/>
          <w:sz w:val="36"/>
          <w:szCs w:val="36"/>
          <w:b w:val="1"/>
          <w:bCs w:val="1"/>
          <w:color w:val="auto"/>
        </w:rPr>
        <w:t>MYRIAD GENETICS INC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Security</w:t>
            </w:r>
          </w:p>
        </w:tc>
        <w:tc>
          <w:tcPr>
            <w:tcW w:w="4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4"/>
              </w:rPr>
              <w:t>Fee</w:t>
            </w:r>
          </w:p>
        </w:tc>
        <w:tc>
          <w:tcPr>
            <w:tcW w:w="40" w:type="dxa"/>
            <w:vAlign w:val="bottom"/>
          </w:tcPr>
          <w:p>
            <w:pPr>
              <w:spacing w:after="0"/>
              <w:rPr>
                <w:sz w:val="24"/>
                <w:szCs w:val="24"/>
                <w:color w:val="auto"/>
              </w:rPr>
            </w:pPr>
          </w:p>
        </w:tc>
        <w:tc>
          <w:tcPr>
            <w:tcW w:w="1140" w:type="dxa"/>
            <w:vAlign w:val="bottom"/>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3"/>
              </w:rPr>
              <w:t>Type</w:t>
            </w:r>
          </w:p>
        </w:tc>
        <w:tc>
          <w:tcPr>
            <w:tcW w:w="40" w:type="dxa"/>
            <w:vAlign w:val="bottom"/>
          </w:tcPr>
          <w:p>
            <w:pPr>
              <w:spacing w:after="0"/>
              <w:rPr>
                <w:sz w:val="21"/>
                <w:szCs w:val="21"/>
                <w:color w:val="auto"/>
              </w:rPr>
            </w:pPr>
          </w:p>
        </w:tc>
        <w:tc>
          <w:tcPr>
            <w:tcW w:w="9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Calculation</w:t>
            </w:r>
          </w:p>
        </w:tc>
        <w:tc>
          <w:tcPr>
            <w:tcW w:w="40" w:type="dxa"/>
            <w:vAlign w:val="bottom"/>
          </w:tcPr>
          <w:p>
            <w:pPr>
              <w:spacing w:after="0"/>
              <w:rPr>
                <w:sz w:val="21"/>
                <w:szCs w:val="21"/>
                <w:color w:val="auto"/>
              </w:rPr>
            </w:pPr>
          </w:p>
        </w:tc>
        <w:tc>
          <w:tcPr>
            <w:tcW w:w="114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w w:val="96"/>
              </w:rPr>
              <w:t>Registered</w:t>
            </w:r>
          </w:p>
        </w:tc>
        <w:tc>
          <w:tcPr>
            <w:tcW w:w="20" w:type="dxa"/>
            <w:vAlign w:val="bottom"/>
          </w:tcPr>
          <w:p>
            <w:pPr>
              <w:spacing w:after="0"/>
              <w:rPr>
                <w:sz w:val="21"/>
                <w:szCs w:val="21"/>
                <w:color w:val="auto"/>
              </w:rPr>
            </w:pPr>
          </w:p>
        </w:tc>
        <w:tc>
          <w:tcPr>
            <w:tcW w:w="13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Offering</w:t>
            </w: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Aggregate</w:t>
            </w: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21"/>
                <w:szCs w:val="21"/>
                <w:color w:val="auto"/>
              </w:rPr>
            </w:pPr>
          </w:p>
        </w:tc>
        <w:tc>
          <w:tcPr>
            <w:tcW w:w="15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Rule</w:t>
            </w:r>
          </w:p>
        </w:tc>
        <w:tc>
          <w:tcPr>
            <w:tcW w:w="4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2"/>
                <w:szCs w:val="12"/>
                <w:color w:val="auto"/>
              </w:rPr>
            </w:pPr>
          </w:p>
        </w:tc>
        <w:tc>
          <w:tcPr>
            <w:tcW w:w="152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4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jc w:val="center"/>
              <w:spacing w:after="0" w:line="230" w:lineRule="exact"/>
              <w:rPr>
                <w:sz w:val="20"/>
                <w:szCs w:val="20"/>
                <w:color w:val="auto"/>
              </w:rPr>
            </w:pPr>
            <w:r>
              <w:rPr>
                <w:rFonts w:ascii="Arial" w:cs="Arial" w:eastAsia="Arial" w:hAnsi="Arial"/>
                <w:sz w:val="22"/>
                <w:szCs w:val="22"/>
                <w:color w:val="auto"/>
                <w:w w:val="96"/>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8"/>
                <w:szCs w:val="18"/>
                <w:color w:val="auto"/>
              </w:rPr>
            </w:pPr>
          </w:p>
        </w:tc>
        <w:tc>
          <w:tcPr>
            <w:tcW w:w="940" w:type="dxa"/>
            <w:vAlign w:val="bottom"/>
            <w:shd w:val="clear" w:color="auto" w:fill="E7E7E2"/>
          </w:tcPr>
          <w:p>
            <w:pPr>
              <w:ind w:left="20"/>
              <w:spacing w:after="0" w:line="216" w:lineRule="exact"/>
              <w:rPr>
                <w:sz w:val="20"/>
                <w:szCs w:val="20"/>
                <w:color w:val="auto"/>
              </w:rPr>
            </w:pPr>
            <w:r>
              <w:rPr>
                <w:rFonts w:ascii="Arial" w:cs="Arial" w:eastAsia="Arial" w:hAnsi="Arial"/>
                <w:sz w:val="22"/>
                <w:szCs w:val="22"/>
                <w:color w:val="auto"/>
              </w:rPr>
              <w:t>Equity</w:t>
            </w:r>
          </w:p>
        </w:tc>
        <w:tc>
          <w:tcPr>
            <w:tcW w:w="40" w:type="dxa"/>
            <w:vAlign w:val="bottom"/>
          </w:tcPr>
          <w:p>
            <w:pPr>
              <w:spacing w:after="0"/>
              <w:rPr>
                <w:sz w:val="18"/>
                <w:szCs w:val="18"/>
                <w:color w:val="auto"/>
              </w:rPr>
            </w:pPr>
          </w:p>
        </w:tc>
        <w:tc>
          <w:tcPr>
            <w:tcW w:w="960" w:type="dxa"/>
            <w:vAlign w:val="bottom"/>
            <w:shd w:val="clear" w:color="auto" w:fill="E7E7E2"/>
          </w:tcPr>
          <w:p>
            <w:pPr>
              <w:jc w:val="center"/>
              <w:spacing w:after="0" w:line="216" w:lineRule="exact"/>
              <w:rPr>
                <w:sz w:val="20"/>
                <w:szCs w:val="20"/>
                <w:color w:val="auto"/>
              </w:rPr>
            </w:pPr>
            <w:r>
              <w:rPr>
                <w:rFonts w:ascii="Arial" w:cs="Arial" w:eastAsia="Arial" w:hAnsi="Arial"/>
                <w:sz w:val="22"/>
                <w:szCs w:val="22"/>
                <w:color w:val="auto"/>
                <w:w w:val="97"/>
              </w:rPr>
              <w:t>par value</w:t>
            </w:r>
          </w:p>
        </w:tc>
        <w:tc>
          <w:tcPr>
            <w:tcW w:w="20" w:type="dxa"/>
            <w:vAlign w:val="bottom"/>
          </w:tcPr>
          <w:p>
            <w:pPr>
              <w:spacing w:after="0"/>
              <w:rPr>
                <w:sz w:val="18"/>
                <w:szCs w:val="18"/>
                <w:color w:val="auto"/>
              </w:rPr>
            </w:pPr>
          </w:p>
        </w:tc>
        <w:tc>
          <w:tcPr>
            <w:tcW w:w="1200" w:type="dxa"/>
            <w:vAlign w:val="bottom"/>
            <w:shd w:val="clear" w:color="auto" w:fill="E7E7E2"/>
          </w:tcPr>
          <w:p>
            <w:pPr>
              <w:jc w:val="center"/>
              <w:spacing w:after="0" w:line="216" w:lineRule="exact"/>
              <w:rPr>
                <w:sz w:val="20"/>
                <w:szCs w:val="20"/>
                <w:color w:val="auto"/>
              </w:rPr>
            </w:pPr>
            <w:r>
              <w:rPr>
                <w:rFonts w:ascii="Arial" w:cs="Arial" w:eastAsia="Arial" w:hAnsi="Arial"/>
                <w:sz w:val="22"/>
                <w:szCs w:val="22"/>
                <w:color w:val="auto"/>
                <w:w w:val="98"/>
              </w:rPr>
              <w:t>Other</w:t>
            </w:r>
          </w:p>
        </w:tc>
        <w:tc>
          <w:tcPr>
            <w:tcW w:w="40" w:type="dxa"/>
            <w:vAlign w:val="bottom"/>
          </w:tcPr>
          <w:p>
            <w:pPr>
              <w:spacing w:after="0"/>
              <w:rPr>
                <w:sz w:val="18"/>
                <w:szCs w:val="18"/>
                <w:color w:val="auto"/>
              </w:rPr>
            </w:pPr>
          </w:p>
        </w:tc>
        <w:tc>
          <w:tcPr>
            <w:tcW w:w="114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6,500,000</w:t>
            </w:r>
          </w:p>
        </w:tc>
        <w:tc>
          <w:tcPr>
            <w:tcW w:w="20" w:type="dxa"/>
            <w:vAlign w:val="bottom"/>
          </w:tcPr>
          <w:p>
            <w:pPr>
              <w:spacing w:after="0"/>
              <w:rPr>
                <w:sz w:val="18"/>
                <w:szCs w:val="18"/>
                <w:color w:val="auto"/>
              </w:rPr>
            </w:pPr>
          </w:p>
        </w:tc>
        <w:tc>
          <w:tcPr>
            <w:tcW w:w="132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$ 4.115</w:t>
            </w:r>
          </w:p>
        </w:tc>
        <w:tc>
          <w:tcPr>
            <w:tcW w:w="40" w:type="dxa"/>
            <w:vAlign w:val="bottom"/>
          </w:tcPr>
          <w:p>
            <w:pPr>
              <w:spacing w:after="0"/>
              <w:rPr>
                <w:sz w:val="18"/>
                <w:szCs w:val="18"/>
                <w:color w:val="auto"/>
              </w:rPr>
            </w:pPr>
          </w:p>
        </w:tc>
        <w:tc>
          <w:tcPr>
            <w:tcW w:w="15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8"/>
                <w:szCs w:val="18"/>
                <w:color w:val="auto"/>
              </w:rPr>
            </w:pPr>
          </w:p>
        </w:tc>
        <w:tc>
          <w:tcPr>
            <w:tcW w:w="150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$ 4,095.04</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6"/>
              </w:rPr>
              <w:t>$0.01 per</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E7E7E2"/>
          </w:tcPr>
          <w:p>
            <w:pPr>
              <w:jc w:val="right"/>
              <w:spacing w:after="0" w:line="243" w:lineRule="exact"/>
              <w:rPr>
                <w:sz w:val="20"/>
                <w:szCs w:val="20"/>
                <w:color w:val="auto"/>
              </w:rPr>
            </w:pPr>
            <w:r>
              <w:rPr>
                <w:rFonts w:ascii="Arial" w:cs="Arial" w:eastAsia="Arial" w:hAnsi="Arial"/>
                <w:sz w:val="22"/>
                <w:szCs w:val="22"/>
                <w:color w:val="auto"/>
              </w:rPr>
              <w:t>26,747,500.00</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0" w:type="dxa"/>
            <w:vAlign w:val="bottom"/>
            <w:tcBorders>
              <w:left w:val="single" w:sz="8" w:color="auto"/>
            </w:tcBorders>
          </w:tcPr>
          <w:p>
            <w:pPr>
              <w:spacing w:after="0"/>
              <w:rPr>
                <w:sz w:val="2"/>
                <w:szCs w:val="2"/>
                <w:color w:val="auto"/>
              </w:rPr>
            </w:pPr>
          </w:p>
        </w:tc>
        <w:tc>
          <w:tcPr>
            <w:tcW w:w="1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vMerge w:val="continue"/>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shd w:val="clear" w:color="auto" w:fill="E7E7E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$ 4,095.04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26,747,500.00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$ 4,095.04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Note 1 a - Fee Calculation Rule: 457(c) and 457(h)</w:t>
      </w:r>
    </w:p>
    <w:p>
      <w:pPr>
        <w:spacing w:after="0" w:line="233" w:lineRule="exact"/>
        <w:rPr>
          <w:sz w:val="20"/>
          <w:szCs w:val="20"/>
          <w:color w:val="auto"/>
        </w:rPr>
      </w:pPr>
    </w:p>
    <w:p>
      <w:pPr>
        <w:ind w:left="240"/>
        <w:spacing w:after="0" w:line="249" w:lineRule="auto"/>
        <w:rPr>
          <w:sz w:val="20"/>
          <w:szCs w:val="20"/>
          <w:color w:val="auto"/>
        </w:rPr>
      </w:pPr>
      <w:r>
        <w:rPr>
          <w:rFonts w:ascii="Arial" w:cs="Arial" w:eastAsia="Arial" w:hAnsi="Arial"/>
          <w:sz w:val="21"/>
          <w:szCs w:val="21"/>
          <w:color w:val="auto"/>
        </w:rPr>
        <w:t>Note 1 b - Amount Registered: Represents shares of common stock, par value $0.01 per share ("Common Stock") that may be issued under the Myriad Genetics, Inc. 2017 Employee, Director and Consultant Equity Incentive Plan, as amended (the "Plan"). Pursuant to Rule 416(a) under the Securities Act of 1933, as amended (the "Securities Act"), this registration statement shall also cover any additional shares of Common Stock that become issuable under the Plan as a result of any stock dividend, stock split, recapitalization or similar transaction effected without the Registrant's receipt of consideration which would increase the number of outstanding Common Stock.</w:t>
      </w:r>
    </w:p>
    <w:p>
      <w:pPr>
        <w:spacing w:after="0" w:line="198" w:lineRule="exact"/>
        <w:rPr>
          <w:sz w:val="20"/>
          <w:szCs w:val="20"/>
          <w:color w:val="auto"/>
        </w:rPr>
      </w:pPr>
    </w:p>
    <w:p>
      <w:pPr>
        <w:ind w:left="240" w:right="760"/>
        <w:spacing w:after="0" w:line="259" w:lineRule="auto"/>
        <w:rPr>
          <w:sz w:val="20"/>
          <w:szCs w:val="20"/>
          <w:color w:val="auto"/>
        </w:rPr>
      </w:pPr>
      <w:r>
        <w:rPr>
          <w:rFonts w:ascii="Arial" w:cs="Arial" w:eastAsia="Arial" w:hAnsi="Arial"/>
          <w:sz w:val="22"/>
          <w:szCs w:val="22"/>
          <w:color w:val="auto"/>
        </w:rPr>
        <w:t>Note 1 c - Amount Registered: Represents the number of additional shares of Common Stock reserved for issuance under the Plan as approved by the Company's stockholders on June 5, 2025.</w:t>
      </w:r>
    </w:p>
    <w:p>
      <w:pPr>
        <w:spacing w:after="0" w:line="183" w:lineRule="exact"/>
        <w:rPr>
          <w:sz w:val="20"/>
          <w:szCs w:val="20"/>
          <w:color w:val="auto"/>
        </w:rPr>
      </w:pPr>
    </w:p>
    <w:p>
      <w:pPr>
        <w:ind w:left="240" w:right="80"/>
        <w:spacing w:after="0"/>
        <w:rPr>
          <w:sz w:val="20"/>
          <w:szCs w:val="20"/>
          <w:color w:val="auto"/>
        </w:rPr>
      </w:pPr>
      <w:r>
        <w:rPr>
          <w:rFonts w:ascii="Arial" w:cs="Arial" w:eastAsia="Arial" w:hAnsi="Arial"/>
          <w:sz w:val="22"/>
          <w:szCs w:val="22"/>
          <w:color w:val="auto"/>
        </w:rPr>
        <w:t>Note 1 d - Proposed Maximum Offering Price Per Unit: Estimated solely for the purpose of calculating the amount of the registration fee pursuant to Rule 457(c) and Rule 457(h) promulgated under the Securities Act on the basis of the average of the high and the low price of Registrant's Common Stock as reported on the Nasdaq Global Select Market on May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97738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p>
      <w:pPr>
        <w:sectPr>
          <w:pgSz w:w="11900" w:h="16838" w:orient="portrait"/>
          <w:cols w:equalWidth="0" w:num="1">
            <w:col w:w="11140"/>
          </w:cols>
          <w:pgMar w:left="360" w:top="142" w:right="3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One Financial Center</w:t>
      </w:r>
    </w:p>
    <w:p>
      <w:pPr>
        <w:jc w:val="right"/>
        <w:spacing w:after="0"/>
        <w:rPr>
          <w:sz w:val="20"/>
          <w:szCs w:val="20"/>
          <w:color w:val="auto"/>
        </w:rPr>
      </w:pPr>
      <w:r>
        <w:rPr>
          <w:rFonts w:ascii="Arial" w:cs="Arial" w:eastAsia="Arial" w:hAnsi="Arial"/>
          <w:sz w:val="16"/>
          <w:szCs w:val="16"/>
          <w:color w:val="auto"/>
        </w:rPr>
        <w:t>Boston, MA 02111</w:t>
      </w:r>
    </w:p>
    <w:p>
      <w:pPr>
        <w:jc w:val="right"/>
        <w:spacing w:after="0" w:line="235" w:lineRule="auto"/>
        <w:rPr>
          <w:sz w:val="20"/>
          <w:szCs w:val="20"/>
          <w:color w:val="auto"/>
        </w:rPr>
      </w:pPr>
      <w:r>
        <w:rPr>
          <w:rFonts w:ascii="Arial" w:cs="Arial" w:eastAsia="Arial" w:hAnsi="Arial"/>
          <w:sz w:val="16"/>
          <w:szCs w:val="16"/>
          <w:color w:val="auto"/>
        </w:rPr>
        <w:t>617 542 6000</w:t>
      </w:r>
    </w:p>
    <w:p>
      <w:pPr>
        <w:jc w:val="right"/>
        <w:spacing w:after="0"/>
        <w:rPr>
          <w:sz w:val="20"/>
          <w:szCs w:val="20"/>
          <w:color w:val="auto"/>
        </w:rPr>
      </w:pPr>
      <w:r>
        <w:rPr>
          <w:rFonts w:ascii="Arial" w:cs="Arial" w:eastAsia="Arial" w:hAnsi="Arial"/>
          <w:sz w:val="16"/>
          <w:szCs w:val="16"/>
          <w:color w:val="auto"/>
        </w:rPr>
        <w:t>mintz.com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10795</wp:posOffset>
            </wp:positionV>
            <wp:extent cx="779780"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79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June 5, 2025</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Myriad Genetics, Inc.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322 North 2200 West,</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Salt Lake City, Utah 84116</w:t>
      </w:r>
    </w:p>
    <w:p>
      <w:pPr>
        <w:spacing w:after="0" w:line="196" w:lineRule="exact"/>
        <w:rPr>
          <w:sz w:val="20"/>
          <w:szCs w:val="20"/>
          <w:color w:val="auto"/>
        </w:rPr>
      </w:pPr>
    </w:p>
    <w:p>
      <w:pPr>
        <w:ind w:left="1200" w:hanging="647"/>
        <w:spacing w:after="0" w:line="270" w:lineRule="auto"/>
        <w:tabs>
          <w:tab w:leader="none" w:pos="1180" w:val="left"/>
        </w:tabs>
        <w:rPr>
          <w:sz w:val="20"/>
          <w:szCs w:val="20"/>
          <w:color w:val="auto"/>
        </w:rPr>
      </w:pPr>
      <w:r>
        <w:rPr>
          <w:rFonts w:ascii="Arial" w:cs="Arial" w:eastAsia="Arial" w:hAnsi="Arial"/>
          <w:sz w:val="19"/>
          <w:szCs w:val="19"/>
          <w:color w:val="auto"/>
        </w:rPr>
        <w:t>Re:</w:t>
        <w:tab/>
        <w:t>Registration Statement on Form S-8; 6,500,000 shares of Common Stock of Myriad Genetics, Inc., par value $0.01 per share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We have acted as legal counsel to Myriad Genetics,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6,500,000 shares (the “Shares”) of the Company’s common stock, par value $0.01 per share (the “Common Stock) in accordance with the terms of the Myriad Genetics, Inc. 2017 Employee, Director and Consultant Equity Incentive Plan, as amended (the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9"/>
          <w:szCs w:val="19"/>
          <w:color w:val="auto"/>
        </w:rPr>
        <w:t>In connection with this opinion, we have examined the Company’s Restated Certificate of Incorporation, as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tabs>
          <w:tab w:leader="none" w:pos="1120" w:val="left"/>
          <w:tab w:leader="none" w:pos="2700" w:val="left"/>
          <w:tab w:leader="none" w:pos="3620" w:val="left"/>
          <w:tab w:leader="none" w:pos="5040" w:val="left"/>
          <w:tab w:leader="none" w:pos="6520" w:val="left"/>
          <w:tab w:leader="none" w:pos="8400" w:val="left"/>
          <w:tab w:leader="none" w:pos="9680" w:val="left"/>
        </w:tabs>
        <w:rPr>
          <w:sz w:val="20"/>
          <w:szCs w:val="20"/>
          <w:color w:val="auto"/>
        </w:rPr>
      </w:pPr>
      <w:r>
        <w:rPr>
          <w:rFonts w:ascii="Times New Roman" w:cs="Times New Roman" w:eastAsia="Times New Roman" w:hAnsi="Times New Roman"/>
          <w:sz w:val="14"/>
          <w:szCs w:val="14"/>
          <w:color w:val="auto"/>
        </w:rPr>
        <w:t>BOSTON</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MIAMI</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4"/>
          <w:szCs w:val="14"/>
          <w:color w:val="auto"/>
        </w:rPr>
        <w:t>SAN DIEGO</w:t>
      </w:r>
      <w:r>
        <w:rPr>
          <w:sz w:val="20"/>
          <w:szCs w:val="20"/>
          <w:color w:val="auto"/>
        </w:rPr>
        <w:tab/>
      </w:r>
      <w:r>
        <w:rPr>
          <w:rFonts w:ascii="Times New Roman" w:cs="Times New Roman" w:eastAsia="Times New Roman" w:hAnsi="Times New Roman"/>
          <w:sz w:val="14"/>
          <w:szCs w:val="14"/>
          <w:color w:val="auto"/>
        </w:rPr>
        <w:t>SAN FRANCISCO</w:t>
      </w:r>
      <w:r>
        <w:rPr>
          <w:sz w:val="20"/>
          <w:szCs w:val="20"/>
          <w:color w:val="auto"/>
        </w:rPr>
        <w:tab/>
      </w:r>
      <w:r>
        <w:rPr>
          <w:rFonts w:ascii="Times New Roman" w:cs="Times New Roman" w:eastAsia="Times New Roman" w:hAnsi="Times New Roman"/>
          <w:sz w:val="14"/>
          <w:szCs w:val="14"/>
          <w:color w:val="auto"/>
        </w:rPr>
        <w:t>TORONTO</w:t>
      </w:r>
      <w:r>
        <w:rPr>
          <w:sz w:val="20"/>
          <w:szCs w:val="20"/>
          <w:color w:val="auto"/>
        </w:rPr>
        <w:tab/>
      </w:r>
      <w:r>
        <w:rPr>
          <w:rFonts w:ascii="Times New Roman" w:cs="Times New Roman" w:eastAsia="Times New Roman" w:hAnsi="Times New Roman"/>
          <w:sz w:val="14"/>
          <w:szCs w:val="14"/>
          <w:color w:val="auto"/>
        </w:rPr>
        <w:t>WASHINGTON</w:t>
      </w:r>
    </w:p>
    <w:p>
      <w:pPr>
        <w:spacing w:after="0" w:line="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MINTZ, LEVIN, COHN, FERRIS, GLOVSKY AND POPEO, P.C.</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MINTZ</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17780</wp:posOffset>
            </wp:positionV>
            <wp:extent cx="368300"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683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9"/>
          <w:szCs w:val="19"/>
          <w:color w:val="auto"/>
        </w:rPr>
        <w:t>Based upon the foregoing, we are of the opinion that the Shares, when issued and delivered in accordance with the terms of the Plan, will be validly issued, fully paid and non-assessable.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Very truly yours,</w:t>
      </w:r>
    </w:p>
    <w:p>
      <w:pPr>
        <w:spacing w:after="0" w:line="268"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/s/ Mintz, Levin, Cohn, Ferris, Glovsky and Popeo, P.C.</w:t>
      </w:r>
    </w:p>
    <w:p>
      <w:pPr>
        <w:spacing w:after="0" w:line="295"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Mintz, Levin, Cohn, Ferris, Glovsky and Popeo, P.C.</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ind w:right="820"/>
        <w:spacing w:after="0" w:line="249" w:lineRule="auto"/>
        <w:rPr>
          <w:sz w:val="20"/>
          <w:szCs w:val="20"/>
          <w:color w:val="auto"/>
        </w:rPr>
      </w:pPr>
      <w:r>
        <w:rPr>
          <w:rFonts w:ascii="Times New Roman" w:cs="Times New Roman" w:eastAsia="Times New Roman" w:hAnsi="Times New Roman"/>
          <w:sz w:val="19"/>
          <w:szCs w:val="19"/>
          <w:color w:val="auto"/>
        </w:rPr>
        <w:t>We consent to the incorporation by reference in the Registration Statement (Form S-8) pertaining to the Myriad Genetics, Inc. 2017 Employee, Director and Consultant Equity Incentive Plan, as amended of our reports dated February 28, 2025, with respect to the</w:t>
      </w:r>
    </w:p>
    <w:p>
      <w:pPr>
        <w:spacing w:after="0" w:line="1"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color w:val="auto"/>
        </w:rPr>
        <w:t>consolidated financial statements of Myriad Genetics, Inc. and the effectiveness of internal control over financial reporting of Myriad Genetics, Inc. included in its Annual Report (Form 10-K) for the year ended December 31, 2024, filed with the Securities and Exchange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rPr>
          <w:sz w:val="20"/>
          <w:szCs w:val="20"/>
          <w:color w:val="auto"/>
        </w:rPr>
      </w:pPr>
      <w:r>
        <w:rPr>
          <w:rFonts w:ascii="Times New Roman" w:cs="Times New Roman" w:eastAsia="Times New Roman" w:hAnsi="Times New Roman"/>
          <w:sz w:val="20"/>
          <w:szCs w:val="20"/>
          <w:color w:val="auto"/>
        </w:rPr>
        <w:t>June 5, 2025</w:t>
      </w:r>
    </w:p>
    <w:p>
      <w:pPr>
        <w:sectPr>
          <w:pgSz w:w="11900" w:h="16838" w:orient="portrait"/>
          <w:cols w:equalWidth="0" w:num="1">
            <w:col w:w="11240"/>
          </w:cols>
          <w:pgMar w:left="320" w:top="140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MYRIAD GENETICS,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EMPLOYEE, DIRECTOR AND CONSULTANT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INCENTIVE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(June 5, 2025)</w:t>
      </w:r>
    </w:p>
    <w:p>
      <w:pPr>
        <w:spacing w:after="0" w:line="200" w:lineRule="exact"/>
        <w:rPr>
          <w:sz w:val="20"/>
          <w:szCs w:val="20"/>
          <w:color w:val="auto"/>
        </w:rPr>
      </w:pPr>
    </w:p>
    <w:p>
      <w:pPr>
        <w:spacing w:after="0" w:line="346" w:lineRule="exact"/>
        <w:rPr>
          <w:sz w:val="20"/>
          <w:szCs w:val="20"/>
          <w:color w:val="auto"/>
        </w:rPr>
      </w:pPr>
    </w:p>
    <w:p>
      <w:pPr>
        <w:ind w:left="240" w:hanging="232"/>
        <w:spacing w:after="0"/>
        <w:tabs>
          <w:tab w:leader="none" w:pos="240" w:val="left"/>
        </w:tabs>
        <w:numPr>
          <w:ilvl w:val="0"/>
          <w:numId w:val="2"/>
        </w:numPr>
        <w:rPr>
          <w:rFonts w:ascii="Arial" w:cs="Arial" w:eastAsia="Arial" w:hAnsi="Arial"/>
          <w:sz w:val="20"/>
          <w:szCs w:val="20"/>
          <w:color w:val="auto"/>
        </w:rPr>
      </w:pPr>
      <w:r>
        <w:rPr>
          <w:rFonts w:ascii="Arial" w:cs="Arial" w:eastAsia="Arial" w:hAnsi="Arial"/>
          <w:sz w:val="22"/>
          <w:szCs w:val="22"/>
          <w:u w:val="single" w:color="auto"/>
          <w:color w:val="auto"/>
        </w:rPr>
        <w:t>DEFINITIONS.</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Unless otherwise specified or unless the context otherwise requires, the following terms, as used in this Myriad Genetics, Inc. 2017 Employee, Director and Consultant Equity Incentive Plan, as amended, have the following meanings:</w:t>
      </w:r>
    </w:p>
    <w:p>
      <w:pPr>
        <w:spacing w:after="0" w:line="11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u w:val="single" w:color="auto"/>
          <w:color w:val="auto"/>
        </w:rPr>
        <w:t>Administrator</w:t>
      </w:r>
      <w:r>
        <w:rPr>
          <w:rFonts w:ascii="Arial" w:cs="Arial" w:eastAsia="Arial" w:hAnsi="Arial"/>
          <w:sz w:val="22"/>
          <w:szCs w:val="22"/>
          <w:color w:val="auto"/>
        </w:rPr>
        <w:t xml:space="preserve"> </w:t>
      </w:r>
      <w:r>
        <w:rPr>
          <w:rFonts w:ascii="Arial" w:cs="Arial" w:eastAsia="Arial" w:hAnsi="Arial"/>
          <w:sz w:val="19"/>
          <w:szCs w:val="19"/>
          <w:color w:val="auto"/>
        </w:rPr>
        <w:t>means the Board of Directors, unless it has delegated power to act on its behalf to the Committee, in</w:t>
      </w:r>
      <w:r>
        <w:rPr>
          <w:rFonts w:ascii="Arial" w:cs="Arial" w:eastAsia="Arial" w:hAnsi="Arial"/>
          <w:sz w:val="22"/>
          <w:szCs w:val="22"/>
          <w:color w:val="auto"/>
        </w:rPr>
        <w:t xml:space="preserve"> </w:t>
      </w:r>
      <w:r>
        <w:rPr>
          <w:rFonts w:ascii="Arial" w:cs="Arial" w:eastAsia="Arial" w:hAnsi="Arial"/>
          <w:sz w:val="19"/>
          <w:szCs w:val="19"/>
          <w:color w:val="auto"/>
        </w:rPr>
        <w:t>which case the term Administrator means the Committee.</w:t>
      </w:r>
    </w:p>
    <w:p>
      <w:pPr>
        <w:spacing w:after="0" w:line="11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w:t>
      </w:r>
      <w:r>
        <w:rPr>
          <w:rFonts w:ascii="Arial" w:cs="Arial" w:eastAsia="Arial" w:hAnsi="Arial"/>
          <w:sz w:val="19"/>
          <w:szCs w:val="19"/>
          <w:color w:val="auto"/>
        </w:rPr>
        <w:t>means a corporation which, for purposes of Section 424 of the Code, is a parent or subsidiary of the Company,</w:t>
      </w:r>
      <w:r>
        <w:rPr>
          <w:rFonts w:ascii="Arial" w:cs="Arial" w:eastAsia="Arial" w:hAnsi="Arial"/>
          <w:sz w:val="22"/>
          <w:szCs w:val="22"/>
          <w:color w:val="auto"/>
        </w:rPr>
        <w:t xml:space="preserve"> </w:t>
      </w:r>
      <w:r>
        <w:rPr>
          <w:rFonts w:ascii="Arial" w:cs="Arial" w:eastAsia="Arial" w:hAnsi="Arial"/>
          <w:sz w:val="19"/>
          <w:szCs w:val="19"/>
          <w:color w:val="auto"/>
        </w:rPr>
        <w:t>direct or indirect.</w:t>
      </w:r>
    </w:p>
    <w:p>
      <w:pPr>
        <w:spacing w:after="0" w:line="112" w:lineRule="exact"/>
        <w:rPr>
          <w:sz w:val="20"/>
          <w:szCs w:val="20"/>
          <w:color w:val="auto"/>
        </w:rPr>
      </w:pPr>
    </w:p>
    <w:p>
      <w:pPr>
        <w:ind w:firstLine="648"/>
        <w:spacing w:after="0" w:line="266" w:lineRule="auto"/>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w:t>
      </w:r>
      <w:r>
        <w:rPr>
          <w:rFonts w:ascii="Arial" w:cs="Arial" w:eastAsia="Arial" w:hAnsi="Arial"/>
          <w:sz w:val="19"/>
          <w:szCs w:val="19"/>
          <w:color w:val="auto"/>
        </w:rPr>
        <w:t>means an agreement between the Company and a Participant delivered pursuant to the Plan and pertaining</w:t>
      </w:r>
      <w:r>
        <w:rPr>
          <w:rFonts w:ascii="Arial" w:cs="Arial" w:eastAsia="Arial" w:hAnsi="Arial"/>
          <w:sz w:val="22"/>
          <w:szCs w:val="22"/>
          <w:color w:val="auto"/>
        </w:rPr>
        <w:t xml:space="preserve"> </w:t>
      </w:r>
      <w:r>
        <w:rPr>
          <w:rFonts w:ascii="Arial" w:cs="Arial" w:eastAsia="Arial" w:hAnsi="Arial"/>
          <w:sz w:val="19"/>
          <w:szCs w:val="19"/>
          <w:color w:val="auto"/>
        </w:rPr>
        <w:t>to a Stock Right, in such form as the Administrator shall approve.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Board of Directors</w:t>
      </w:r>
      <w:r>
        <w:rPr>
          <w:rFonts w:ascii="Arial" w:cs="Arial" w:eastAsia="Arial" w:hAnsi="Arial"/>
          <w:sz w:val="22"/>
          <w:szCs w:val="22"/>
          <w:color w:val="auto"/>
        </w:rPr>
        <w:t xml:space="preserve"> </w:t>
      </w:r>
      <w:r>
        <w:rPr>
          <w:rFonts w:ascii="Arial" w:cs="Arial" w:eastAsia="Arial" w:hAnsi="Arial"/>
          <w:sz w:val="19"/>
          <w:szCs w:val="19"/>
          <w:color w:val="auto"/>
        </w:rPr>
        <w:t>means the Board of Directors of the Company.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xml:space="preserve"> </w:t>
      </w:r>
      <w:r>
        <w:rPr>
          <w:rFonts w:ascii="Arial" w:cs="Arial" w:eastAsia="Arial" w:hAnsi="Arial"/>
          <w:sz w:val="19"/>
          <w:szCs w:val="19"/>
          <w:color w:val="auto"/>
        </w:rPr>
        <w:t>means, with respect to a Participant (a) dishonesty with respect to the Company or any Affiliate, (b)</w:t>
      </w:r>
    </w:p>
    <w:p>
      <w:pPr>
        <w:spacing w:after="0" w:line="225" w:lineRule="auto"/>
        <w:rPr>
          <w:sz w:val="20"/>
          <w:szCs w:val="20"/>
          <w:color w:val="auto"/>
        </w:rPr>
      </w:pPr>
      <w:r>
        <w:rPr>
          <w:rFonts w:ascii="Arial" w:cs="Arial" w:eastAsia="Arial" w:hAnsi="Arial"/>
          <w:sz w:val="20"/>
          <w:szCs w:val="20"/>
          <w:color w:val="auto"/>
        </w:rPr>
        <w:t>insubordination, substantial malfeasance or non-feasance of duty, (c) unauthorized disclosure of confidential information, (d)</w:t>
      </w:r>
    </w:p>
    <w:p>
      <w:pPr>
        <w:spacing w:after="0" w:line="229" w:lineRule="auto"/>
        <w:rPr>
          <w:sz w:val="20"/>
          <w:szCs w:val="20"/>
          <w:color w:val="auto"/>
        </w:rPr>
      </w:pPr>
      <w:r>
        <w:rPr>
          <w:rFonts w:ascii="Arial" w:cs="Arial" w:eastAsia="Arial" w:hAnsi="Arial"/>
          <w:sz w:val="19"/>
          <w:szCs w:val="19"/>
          <w:color w:val="auto"/>
        </w:rPr>
        <w:t>breach by a Participant of any provision of any employment, consulting, advisory, nondisclosure, non-competition or similar agreement between the Participant and the Company or any Affiliate, and (e) conduct substantially prejudicial to the business of</w:t>
      </w:r>
    </w:p>
    <w:p>
      <w:pPr>
        <w:spacing w:after="0"/>
        <w:rPr>
          <w:sz w:val="20"/>
          <w:szCs w:val="20"/>
          <w:color w:val="auto"/>
        </w:rPr>
      </w:pPr>
      <w:r>
        <w:rPr>
          <w:rFonts w:ascii="Arial" w:cs="Arial" w:eastAsia="Arial" w:hAnsi="Arial"/>
          <w:sz w:val="19"/>
          <w:szCs w:val="19"/>
          <w:color w:val="auto"/>
        </w:rPr>
        <w:t>the Company or any Affiliate; provided, however, that any provision in an agreement between a Participant and the Company or</w:t>
      </w:r>
    </w:p>
    <w:p>
      <w:pPr>
        <w:spacing w:after="0" w:line="218" w:lineRule="auto"/>
        <w:rPr>
          <w:sz w:val="20"/>
          <w:szCs w:val="20"/>
          <w:color w:val="auto"/>
        </w:rPr>
      </w:pPr>
      <w:r>
        <w:rPr>
          <w:rFonts w:ascii="Arial" w:cs="Arial" w:eastAsia="Arial" w:hAnsi="Arial"/>
          <w:sz w:val="20"/>
          <w:szCs w:val="20"/>
          <w:color w:val="auto"/>
        </w:rPr>
        <w:t>an Affiliate, which contains a conflicting definition of Cause for termination and which is in effect at the time of such termination, shall supersede this definition with respect to that Participant. The determination of the Administrator as to the existence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Cause will be conclusive on the Participant and the Company.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w:t>
      </w:r>
      <w:r>
        <w:rPr>
          <w:rFonts w:ascii="Arial" w:cs="Arial" w:eastAsia="Arial" w:hAnsi="Arial"/>
          <w:sz w:val="19"/>
          <w:szCs w:val="19"/>
          <w:color w:val="auto"/>
        </w:rPr>
        <w:t>means the occurrence of any of the following events:</w:t>
      </w:r>
    </w:p>
    <w:p>
      <w:pPr>
        <w:spacing w:after="0" w:line="152" w:lineRule="exact"/>
        <w:rPr>
          <w:sz w:val="20"/>
          <w:szCs w:val="20"/>
          <w:color w:val="auto"/>
        </w:rPr>
      </w:pPr>
    </w:p>
    <w:p>
      <w:pPr>
        <w:jc w:val="both"/>
        <w:ind w:firstLine="656"/>
        <w:spacing w:after="0" w:line="242" w:lineRule="auto"/>
        <w:tabs>
          <w:tab w:leader="none" w:pos="911" w:val="left"/>
        </w:tabs>
        <w:numPr>
          <w:ilvl w:val="0"/>
          <w:numId w:val="3"/>
        </w:numPr>
        <w:rPr>
          <w:rFonts w:ascii="Arial" w:cs="Arial" w:eastAsia="Arial" w:hAnsi="Arial"/>
          <w:sz w:val="20"/>
          <w:szCs w:val="20"/>
          <w:color w:val="auto"/>
        </w:rPr>
      </w:pPr>
      <w:r>
        <w:rPr>
          <w:rFonts w:ascii="Arial" w:cs="Arial" w:eastAsia="Arial" w:hAnsi="Arial"/>
          <w:sz w:val="22"/>
          <w:szCs w:val="22"/>
          <w:i w:val="1"/>
          <w:iCs w:val="1"/>
          <w:color w:val="auto"/>
        </w:rPr>
        <w:t>Ownership</w:t>
      </w:r>
      <w:r>
        <w:rPr>
          <w:rFonts w:ascii="Arial" w:cs="Arial" w:eastAsia="Arial" w:hAnsi="Arial"/>
          <w:sz w:val="19"/>
          <w:szCs w:val="19"/>
          <w:color w:val="auto"/>
        </w:rPr>
        <w:t>. Any “Person” (as such term is used in Sections 13(d) and 14(d) of the Exchange Act) becomes the</w:t>
      </w:r>
      <w:r>
        <w:rPr>
          <w:rFonts w:ascii="Arial" w:cs="Arial" w:eastAsia="Arial" w:hAnsi="Arial"/>
          <w:sz w:val="22"/>
          <w:szCs w:val="22"/>
          <w:i w:val="1"/>
          <w:iCs w:val="1"/>
          <w:color w:val="auto"/>
        </w:rPr>
        <w:t xml:space="preserve"> </w:t>
      </w:r>
      <w:r>
        <w:rPr>
          <w:rFonts w:ascii="Arial" w:cs="Arial" w:eastAsia="Arial" w:hAnsi="Arial"/>
          <w:sz w:val="19"/>
          <w:szCs w:val="19"/>
          <w:color w:val="auto"/>
        </w:rPr>
        <w:t>“Beneficial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11" w:lineRule="exact"/>
        <w:rPr>
          <w:rFonts w:ascii="Arial" w:cs="Arial" w:eastAsia="Arial" w:hAnsi="Arial"/>
          <w:sz w:val="20"/>
          <w:szCs w:val="20"/>
          <w:color w:val="auto"/>
        </w:rPr>
      </w:pPr>
    </w:p>
    <w:p>
      <w:pPr>
        <w:jc w:val="both"/>
        <w:ind w:firstLine="656"/>
        <w:spacing w:after="0" w:line="244" w:lineRule="auto"/>
        <w:tabs>
          <w:tab w:leader="none" w:pos="941" w:val="left"/>
        </w:tabs>
        <w:numPr>
          <w:ilvl w:val="0"/>
          <w:numId w:val="3"/>
        </w:numPr>
        <w:rPr>
          <w:rFonts w:ascii="Arial" w:cs="Arial" w:eastAsia="Arial" w:hAnsi="Arial"/>
          <w:sz w:val="20"/>
          <w:szCs w:val="20"/>
          <w:color w:val="auto"/>
        </w:rPr>
      </w:pPr>
      <w:r>
        <w:rPr>
          <w:rFonts w:ascii="Arial" w:cs="Arial" w:eastAsia="Arial" w:hAnsi="Arial"/>
          <w:sz w:val="22"/>
          <w:szCs w:val="22"/>
          <w:i w:val="1"/>
          <w:iCs w:val="1"/>
          <w:color w:val="auto"/>
        </w:rPr>
        <w:t xml:space="preserve">Merger/Sale of Assets. </w:t>
      </w:r>
      <w:r>
        <w:rPr>
          <w:rFonts w:ascii="Arial" w:cs="Arial" w:eastAsia="Arial" w:hAnsi="Arial"/>
          <w:sz w:val="19"/>
          <w:szCs w:val="19"/>
          <w:color w:val="auto"/>
        </w:rPr>
        <w:t>(A) A merger or consolidation of the Company whether or not approved by the Board of</w:t>
      </w:r>
      <w:r>
        <w:rPr>
          <w:rFonts w:ascii="Arial" w:cs="Arial" w:eastAsia="Arial" w:hAnsi="Arial"/>
          <w:sz w:val="22"/>
          <w:szCs w:val="22"/>
          <w:i w:val="1"/>
          <w:iCs w:val="1"/>
          <w:color w:val="auto"/>
        </w:rPr>
        <w:t xml:space="preserve"> </w:t>
      </w:r>
      <w:r>
        <w:rPr>
          <w:rFonts w:ascii="Arial" w:cs="Arial" w:eastAsia="Arial" w:hAnsi="Arial"/>
          <w:sz w:val="19"/>
          <w:szCs w:val="19"/>
          <w:color w:val="auto"/>
        </w:rPr>
        <w:t>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w:t>
      </w:r>
    </w:p>
    <w:p>
      <w:pPr>
        <w:sectPr>
          <w:pgSz w:w="11900" w:h="16838" w:orient="portrait"/>
          <w:cols w:equalWidth="0" w:num="1">
            <w:col w:w="11240"/>
          </w:cols>
          <w:pgMar w:left="320" w:top="1407"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Company of all or substantially all of the Company’s assets in a transaction requiring stockholder approval; or</w:t>
      </w:r>
    </w:p>
    <w:p>
      <w:pPr>
        <w:spacing w:after="0" w:line="162" w:lineRule="exact"/>
        <w:rPr>
          <w:sz w:val="20"/>
          <w:szCs w:val="20"/>
          <w:color w:val="auto"/>
        </w:rPr>
      </w:pPr>
    </w:p>
    <w:p>
      <w:pPr>
        <w:ind w:right="20" w:firstLine="656"/>
        <w:spacing w:after="0" w:line="271" w:lineRule="auto"/>
        <w:tabs>
          <w:tab w:leader="none" w:pos="971"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 of Control” shall be interpreted, if applicable, in a manner, and limited to the extent necessary, so that it will not cause adverse tax consequences under Section 409A.</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xml:space="preserve"> </w:t>
      </w:r>
      <w:r>
        <w:rPr>
          <w:rFonts w:ascii="Arial" w:cs="Arial" w:eastAsia="Arial" w:hAnsi="Arial"/>
          <w:sz w:val="19"/>
          <w:szCs w:val="19"/>
          <w:color w:val="auto"/>
        </w:rPr>
        <w:t>means the United States Internal Revenue Code of 1986, as amended including any successor statute, regulation</w:t>
      </w:r>
      <w:r>
        <w:rPr>
          <w:rFonts w:ascii="Arial" w:cs="Arial" w:eastAsia="Arial" w:hAnsi="Arial"/>
          <w:sz w:val="22"/>
          <w:szCs w:val="22"/>
          <w:color w:val="auto"/>
        </w:rPr>
        <w:t xml:space="preserve"> </w:t>
      </w:r>
      <w:r>
        <w:rPr>
          <w:rFonts w:ascii="Arial" w:cs="Arial" w:eastAsia="Arial" w:hAnsi="Arial"/>
          <w:sz w:val="19"/>
          <w:szCs w:val="19"/>
          <w:color w:val="auto"/>
        </w:rPr>
        <w:t>and guidance thereto.</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xml:space="preserve"> </w:t>
      </w:r>
      <w:r>
        <w:rPr>
          <w:rFonts w:ascii="Arial" w:cs="Arial" w:eastAsia="Arial" w:hAnsi="Arial"/>
          <w:sz w:val="19"/>
          <w:szCs w:val="19"/>
          <w:color w:val="auto"/>
        </w:rPr>
        <w:t>means the committee of the Board of Directors to which the Board of Directors has delegated power to act</w:t>
      </w:r>
      <w:r>
        <w:rPr>
          <w:rFonts w:ascii="Arial" w:cs="Arial" w:eastAsia="Arial" w:hAnsi="Arial"/>
          <w:sz w:val="22"/>
          <w:szCs w:val="22"/>
          <w:color w:val="auto"/>
        </w:rPr>
        <w:t xml:space="preserve"> </w:t>
      </w:r>
      <w:r>
        <w:rPr>
          <w:rFonts w:ascii="Arial" w:cs="Arial" w:eastAsia="Arial" w:hAnsi="Arial"/>
          <w:sz w:val="19"/>
          <w:szCs w:val="19"/>
          <w:color w:val="auto"/>
        </w:rPr>
        <w:t>under or pursuant to the provisions of the Plan, the composition of which shall at all times satisfy the provisions of Section 162(m) of the Code.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w:t>
      </w:r>
      <w:r>
        <w:rPr>
          <w:rFonts w:ascii="Arial" w:cs="Arial" w:eastAsia="Arial" w:hAnsi="Arial"/>
          <w:sz w:val="19"/>
          <w:szCs w:val="19"/>
          <w:color w:val="auto"/>
        </w:rPr>
        <w:t>means shares of the Company’s common stock, $.01 par value per share.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19"/>
          <w:szCs w:val="19"/>
          <w:color w:val="auto"/>
        </w:rPr>
        <w:t>means Myriad Genetics, Inc., a Delaware corporation.</w:t>
      </w:r>
    </w:p>
    <w:p>
      <w:pPr>
        <w:spacing w:after="0" w:line="15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u w:val="single" w:color="auto"/>
          <w:color w:val="auto"/>
        </w:rPr>
        <w:t>Consultant</w:t>
      </w:r>
      <w:r>
        <w:rPr>
          <w:rFonts w:ascii="Arial" w:cs="Arial" w:eastAsia="Arial" w:hAnsi="Arial"/>
          <w:sz w:val="22"/>
          <w:szCs w:val="22"/>
          <w:color w:val="auto"/>
        </w:rPr>
        <w:t xml:space="preserve"> </w:t>
      </w:r>
      <w:r>
        <w:rPr>
          <w:rFonts w:ascii="Arial" w:cs="Arial" w:eastAsia="Arial" w:hAnsi="Arial"/>
          <w:sz w:val="19"/>
          <w:szCs w:val="19"/>
          <w:color w:val="auto"/>
        </w:rPr>
        <w:t>means any natural person who is an advisor or consultant that provides bona fide services to the Company</w:t>
      </w:r>
      <w:r>
        <w:rPr>
          <w:rFonts w:ascii="Arial" w:cs="Arial" w:eastAsia="Arial" w:hAnsi="Arial"/>
          <w:sz w:val="22"/>
          <w:szCs w:val="22"/>
          <w:color w:val="auto"/>
        </w:rPr>
        <w:t xml:space="preserve"> </w:t>
      </w:r>
      <w:r>
        <w:rPr>
          <w:rFonts w:ascii="Arial" w:cs="Arial" w:eastAsia="Arial" w:hAnsi="Arial"/>
          <w:sz w:val="19"/>
          <w:szCs w:val="19"/>
          <w:color w:val="auto"/>
        </w:rPr>
        <w:t>or its Affiliates, provided that such services are not in connection with the offer or sale of securities in a capital raising</w:t>
      </w:r>
    </w:p>
    <w:p>
      <w:pPr>
        <w:spacing w:after="0" w:line="1" w:lineRule="exact"/>
        <w:rPr>
          <w:sz w:val="20"/>
          <w:szCs w:val="20"/>
          <w:color w:val="auto"/>
        </w:rPr>
      </w:pPr>
    </w:p>
    <w:p>
      <w:pPr>
        <w:jc w:val="center"/>
        <w:ind w:right="900"/>
        <w:spacing w:after="0"/>
        <w:rPr>
          <w:sz w:val="20"/>
          <w:szCs w:val="20"/>
          <w:color w:val="auto"/>
        </w:rPr>
      </w:pPr>
      <w:r>
        <w:rPr>
          <w:rFonts w:ascii="Arial" w:cs="Arial" w:eastAsia="Arial" w:hAnsi="Arial"/>
          <w:sz w:val="19"/>
          <w:szCs w:val="19"/>
          <w:color w:val="auto"/>
        </w:rPr>
        <w:t>transaction, and do not directly or indirectly promote or maintain a market for the Company’s or its Affiliates’ securities.</w:t>
      </w:r>
    </w:p>
    <w:p>
      <w:pPr>
        <w:spacing w:after="0" w:line="150" w:lineRule="exact"/>
        <w:rPr>
          <w:sz w:val="20"/>
          <w:szCs w:val="20"/>
          <w:color w:val="auto"/>
        </w:rPr>
      </w:pPr>
    </w:p>
    <w:p>
      <w:pPr>
        <w:jc w:val="center"/>
        <w:ind w:right="880"/>
        <w:spacing w:after="0"/>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w:t>
      </w:r>
      <w:r>
        <w:rPr>
          <w:rFonts w:ascii="Arial" w:cs="Arial" w:eastAsia="Arial" w:hAnsi="Arial"/>
          <w:sz w:val="19"/>
          <w:szCs w:val="19"/>
          <w:color w:val="auto"/>
        </w:rPr>
        <w: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Disabled</w:t>
      </w:r>
      <w:r>
        <w:rPr>
          <w:rFonts w:ascii="Arial" w:cs="Arial" w:eastAsia="Arial" w:hAnsi="Arial"/>
          <w:sz w:val="22"/>
          <w:szCs w:val="22"/>
          <w:color w:val="auto"/>
        </w:rPr>
        <w:t xml:space="preserve"> </w:t>
      </w:r>
      <w:r>
        <w:rPr>
          <w:rFonts w:ascii="Arial" w:cs="Arial" w:eastAsia="Arial" w:hAnsi="Arial"/>
          <w:sz w:val="19"/>
          <w:szCs w:val="19"/>
          <w:color w:val="auto"/>
        </w:rPr>
        <w:t>means permanent and total disability as defined in Section 22(e)(3) of the Code.</w:t>
      </w:r>
    </w:p>
    <w:p>
      <w:pPr>
        <w:spacing w:after="0" w:line="1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u w:val="single" w:color="auto"/>
          <w:color w:val="auto"/>
        </w:rPr>
        <w:t>Employee</w:t>
      </w:r>
      <w:r>
        <w:rPr>
          <w:rFonts w:ascii="Arial" w:cs="Arial" w:eastAsia="Arial" w:hAnsi="Arial"/>
          <w:sz w:val="22"/>
          <w:szCs w:val="22"/>
          <w:color w:val="auto"/>
        </w:rPr>
        <w:t xml:space="preserve"> </w:t>
      </w:r>
      <w:r>
        <w:rPr>
          <w:rFonts w:ascii="Arial" w:cs="Arial" w:eastAsia="Arial" w:hAnsi="Arial"/>
          <w:sz w:val="19"/>
          <w:szCs w:val="19"/>
          <w:color w:val="auto"/>
        </w:rPr>
        <w:t>means any employee of the Company or of an Affiliate (including, without limitation, an employee who is also</w:t>
      </w:r>
      <w:r>
        <w:rPr>
          <w:rFonts w:ascii="Arial" w:cs="Arial" w:eastAsia="Arial" w:hAnsi="Arial"/>
          <w:sz w:val="22"/>
          <w:szCs w:val="22"/>
          <w:color w:val="auto"/>
        </w:rPr>
        <w:t xml:space="preserve"> </w:t>
      </w:r>
      <w:r>
        <w:rPr>
          <w:rFonts w:ascii="Arial" w:cs="Arial" w:eastAsia="Arial" w:hAnsi="Arial"/>
          <w:sz w:val="19"/>
          <w:szCs w:val="19"/>
          <w:color w:val="auto"/>
        </w:rPr>
        <w:t>serving as an officer or director of the Company or of an Affiliate), designated by the Administrator to be eligible to be granted one or more Stock Rights under the Plan.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xml:space="preserve"> </w:t>
      </w:r>
      <w:r>
        <w:rPr>
          <w:rFonts w:ascii="Arial" w:cs="Arial" w:eastAsia="Arial" w:hAnsi="Arial"/>
          <w:sz w:val="19"/>
          <w:szCs w:val="19"/>
          <w:color w:val="auto"/>
        </w:rPr>
        <w:t>means the Securities Exchange Act of 1934, as amended.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Fair Market Value</w:t>
      </w:r>
      <w:r>
        <w:rPr>
          <w:rFonts w:ascii="Arial" w:cs="Arial" w:eastAsia="Arial" w:hAnsi="Arial"/>
          <w:sz w:val="22"/>
          <w:szCs w:val="22"/>
          <w:color w:val="auto"/>
        </w:rPr>
        <w:t xml:space="preserve"> </w:t>
      </w:r>
      <w:r>
        <w:rPr>
          <w:rFonts w:ascii="Arial" w:cs="Arial" w:eastAsia="Arial" w:hAnsi="Arial"/>
          <w:sz w:val="19"/>
          <w:szCs w:val="19"/>
          <w:color w:val="auto"/>
        </w:rPr>
        <w:t>of a Share of Common Stock means:</w:t>
      </w:r>
    </w:p>
    <w:p>
      <w:pPr>
        <w:spacing w:after="0" w:line="170" w:lineRule="exact"/>
        <w:rPr>
          <w:sz w:val="20"/>
          <w:szCs w:val="20"/>
          <w:color w:val="auto"/>
        </w:rPr>
      </w:pPr>
    </w:p>
    <w:p>
      <w:pPr>
        <w:jc w:val="both"/>
        <w:ind w:firstLine="656"/>
        <w:spacing w:after="0" w:line="233" w:lineRule="auto"/>
        <w:tabs>
          <w:tab w:leader="none" w:pos="963"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46" w:lineRule="exact"/>
        <w:rPr>
          <w:rFonts w:ascii="Arial" w:cs="Arial" w:eastAsia="Arial" w:hAnsi="Arial"/>
          <w:sz w:val="20"/>
          <w:szCs w:val="20"/>
          <w:color w:val="auto"/>
        </w:rPr>
      </w:pPr>
    </w:p>
    <w:p>
      <w:pPr>
        <w:jc w:val="both"/>
        <w:ind w:firstLine="656"/>
        <w:spacing w:after="0" w:line="229" w:lineRule="auto"/>
        <w:tabs>
          <w:tab w:leader="none" w:pos="95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144" w:lineRule="exact"/>
        <w:rPr>
          <w:rFonts w:ascii="Arial" w:cs="Arial" w:eastAsia="Arial" w:hAnsi="Arial"/>
          <w:sz w:val="20"/>
          <w:szCs w:val="20"/>
          <w:color w:val="auto"/>
        </w:rPr>
      </w:pPr>
    </w:p>
    <w:p>
      <w:pPr>
        <w:ind w:firstLine="656"/>
        <w:spacing w:after="0" w:line="257" w:lineRule="auto"/>
        <w:tabs>
          <w:tab w:leader="none" w:pos="963"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 Common Stock is neither listed on a national securities exchange nor traded in the over-the-counter market, such value as the Administrator, in good faith, shall determine.</w:t>
      </w:r>
    </w:p>
    <w:p>
      <w:pPr>
        <w:spacing w:after="0" w:line="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w:t>
      </w:r>
      <w:r>
        <w:rPr>
          <w:rFonts w:ascii="Arial" w:cs="Arial" w:eastAsia="Arial" w:hAnsi="Arial"/>
          <w:sz w:val="19"/>
          <w:szCs w:val="19"/>
          <w:color w:val="auto"/>
        </w:rPr>
        <w:t>means an Employee, director or Consultant of the Company or an Affiliate to whom one or more Stock</w:t>
      </w:r>
      <w:r>
        <w:rPr>
          <w:rFonts w:ascii="Arial" w:cs="Arial" w:eastAsia="Arial" w:hAnsi="Arial"/>
          <w:sz w:val="22"/>
          <w:szCs w:val="22"/>
          <w:color w:val="auto"/>
        </w:rPr>
        <w:t xml:space="preserve"> </w:t>
      </w:r>
      <w:r>
        <w:rPr>
          <w:rFonts w:ascii="Arial" w:cs="Arial" w:eastAsia="Arial" w:hAnsi="Arial"/>
          <w:sz w:val="19"/>
          <w:szCs w:val="19"/>
          <w:color w:val="auto"/>
        </w:rPr>
        <w:t>Rights are granted under the Plan. As used herein, “Participant” shall include “Participant’s Survivors” where the context requires.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xml:space="preserve"> </w:t>
      </w:r>
      <w:r>
        <w:rPr>
          <w:rFonts w:ascii="Arial" w:cs="Arial" w:eastAsia="Arial" w:hAnsi="Arial"/>
          <w:sz w:val="19"/>
          <w:szCs w:val="19"/>
          <w:color w:val="auto"/>
        </w:rPr>
        <w:t>means this Myriad Genetics, Inc. 2017 Employee, Director and Consultant Equity Incentive Plan, as amended.</w:t>
      </w:r>
    </w:p>
    <w:p>
      <w:pPr>
        <w:sectPr>
          <w:pgSz w:w="11900" w:h="16838" w:orient="portrait"/>
          <w:cols w:equalWidth="0" w:num="1">
            <w:col w:w="11240"/>
          </w:cols>
          <w:pgMar w:left="320" w:top="1414" w:right="339" w:bottom="1440" w:gutter="0" w:footer="0" w:header="0"/>
        </w:sectPr>
      </w:pPr>
    </w:p>
    <w:bookmarkStart w:id="13" w:name="page14"/>
    <w:bookmarkEnd w:id="13"/>
    <w:p>
      <w:pPr>
        <w:jc w:val="both"/>
        <w:ind w:firstLine="648"/>
        <w:spacing w:after="0" w:line="266" w:lineRule="auto"/>
        <w:rPr>
          <w:sz w:val="20"/>
          <w:szCs w:val="20"/>
          <w:color w:val="auto"/>
        </w:rPr>
      </w:pPr>
      <w:r>
        <w:rPr>
          <w:rFonts w:ascii="Arial" w:cs="Arial" w:eastAsia="Arial" w:hAnsi="Arial"/>
          <w:sz w:val="22"/>
          <w:szCs w:val="22"/>
          <w:u w:val="single" w:color="auto"/>
          <w:color w:val="auto"/>
        </w:rPr>
        <w:t>Restricted Stock Grant</w:t>
      </w:r>
      <w:r>
        <w:rPr>
          <w:rFonts w:ascii="Arial" w:cs="Arial" w:eastAsia="Arial" w:hAnsi="Arial"/>
          <w:sz w:val="22"/>
          <w:szCs w:val="22"/>
          <w:color w:val="auto"/>
        </w:rPr>
        <w:t xml:space="preserve"> </w:t>
      </w:r>
      <w:r>
        <w:rPr>
          <w:rFonts w:ascii="Arial" w:cs="Arial" w:eastAsia="Arial" w:hAnsi="Arial"/>
          <w:sz w:val="19"/>
          <w:szCs w:val="19"/>
          <w:color w:val="auto"/>
        </w:rPr>
        <w:t>means a grant by the Company of Shares under the Plan that are subject to a lapsing forfeiture</w:t>
      </w:r>
      <w:r>
        <w:rPr>
          <w:rFonts w:ascii="Arial" w:cs="Arial" w:eastAsia="Arial" w:hAnsi="Arial"/>
          <w:sz w:val="22"/>
          <w:szCs w:val="22"/>
          <w:color w:val="auto"/>
        </w:rPr>
        <w:t xml:space="preserve"> </w:t>
      </w:r>
      <w:r>
        <w:rPr>
          <w:rFonts w:ascii="Arial" w:cs="Arial" w:eastAsia="Arial" w:hAnsi="Arial"/>
          <w:sz w:val="19"/>
          <w:szCs w:val="19"/>
          <w:color w:val="auto"/>
        </w:rPr>
        <w:t>or repurchase right.</w:t>
      </w:r>
    </w:p>
    <w:p>
      <w:pPr>
        <w:spacing w:after="0" w:line="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Restricted Stock Unit Award</w:t>
      </w:r>
      <w:r>
        <w:rPr>
          <w:rFonts w:ascii="Arial" w:cs="Arial" w:eastAsia="Arial" w:hAnsi="Arial"/>
          <w:sz w:val="22"/>
          <w:szCs w:val="22"/>
          <w:color w:val="auto"/>
        </w:rPr>
        <w:t xml:space="preserve"> </w:t>
      </w:r>
      <w:r>
        <w:rPr>
          <w:rFonts w:ascii="Arial" w:cs="Arial" w:eastAsia="Arial" w:hAnsi="Arial"/>
          <w:sz w:val="19"/>
          <w:szCs w:val="19"/>
          <w:color w:val="auto"/>
        </w:rPr>
        <w:t>means a grant by the Company under the Plan of an unfunded, unsecured commitment</w:t>
      </w:r>
      <w:r>
        <w:rPr>
          <w:rFonts w:ascii="Arial" w:cs="Arial" w:eastAsia="Arial" w:hAnsi="Arial"/>
          <w:sz w:val="22"/>
          <w:szCs w:val="22"/>
          <w:color w:val="auto"/>
        </w:rPr>
        <w:t xml:space="preserve"> </w:t>
      </w:r>
      <w:r>
        <w:rPr>
          <w:rFonts w:ascii="Arial" w:cs="Arial" w:eastAsia="Arial" w:hAnsi="Arial"/>
          <w:sz w:val="19"/>
          <w:szCs w:val="19"/>
          <w:color w:val="auto"/>
        </w:rPr>
        <w:t>by the Company to deliver a pre-determined number of Shares to a Participant at a future time in accordance with the terms and conditions of the award agreement and the Plan.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w:t>
      </w:r>
      <w:r>
        <w:rPr>
          <w:rFonts w:ascii="Arial" w:cs="Arial" w:eastAsia="Arial" w:hAnsi="Arial"/>
          <w:sz w:val="19"/>
          <w:szCs w:val="19"/>
          <w:color w:val="auto"/>
        </w:rPr>
        <w:t>means the Securities Act of 1933, as amended.</w:t>
      </w:r>
    </w:p>
    <w:p>
      <w:pPr>
        <w:spacing w:after="0" w:line="1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Shares</w:t>
      </w:r>
      <w:r>
        <w:rPr>
          <w:rFonts w:ascii="Arial" w:cs="Arial" w:eastAsia="Arial" w:hAnsi="Arial"/>
          <w:sz w:val="22"/>
          <w:szCs w:val="22"/>
          <w:color w:val="auto"/>
        </w:rPr>
        <w:t xml:space="preserve"> </w:t>
      </w:r>
      <w:r>
        <w:rPr>
          <w:rFonts w:ascii="Arial" w:cs="Arial" w:eastAsia="Arial" w:hAnsi="Arial"/>
          <w:sz w:val="19"/>
          <w:szCs w:val="19"/>
          <w:color w:val="auto"/>
        </w:rPr>
        <w:t>means shares of the Common Stock as to which Stock Rights have been or may be granted under the Plan or</w:t>
      </w:r>
      <w:r>
        <w:rPr>
          <w:rFonts w:ascii="Arial" w:cs="Arial" w:eastAsia="Arial" w:hAnsi="Arial"/>
          <w:sz w:val="22"/>
          <w:szCs w:val="22"/>
          <w:color w:val="auto"/>
        </w:rPr>
        <w:t xml:space="preserve"> </w:t>
      </w:r>
      <w:r>
        <w:rPr>
          <w:rFonts w:ascii="Arial" w:cs="Arial" w:eastAsia="Arial" w:hAnsi="Arial"/>
          <w:sz w:val="19"/>
          <w:szCs w:val="19"/>
          <w:color w:val="auto"/>
        </w:rPr>
        <w:t>any shares of capital stock into which the Shares are changed or for which they are exchanged within the provisions of</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Paragraph 3 of the Plan. The Shares issued under the Plan may be authorized and unissued shares or shares held by the Company in its treasury, or both.</w:t>
      </w:r>
    </w:p>
    <w:p>
      <w:pPr>
        <w:spacing w:after="0" w:line="12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Stock Right</w:t>
      </w:r>
      <w:r>
        <w:rPr>
          <w:rFonts w:ascii="Arial" w:cs="Arial" w:eastAsia="Arial" w:hAnsi="Arial"/>
          <w:sz w:val="22"/>
          <w:szCs w:val="22"/>
          <w:color w:val="auto"/>
        </w:rPr>
        <w:t xml:space="preserve"> </w:t>
      </w:r>
      <w:r>
        <w:rPr>
          <w:rFonts w:ascii="Arial" w:cs="Arial" w:eastAsia="Arial" w:hAnsi="Arial"/>
          <w:sz w:val="19"/>
          <w:szCs w:val="19"/>
          <w:color w:val="auto"/>
        </w:rPr>
        <w:t>means a right to Shares or the value of Shares of the Company granted pursuant to the Plan — a</w:t>
      </w:r>
      <w:r>
        <w:rPr>
          <w:rFonts w:ascii="Arial" w:cs="Arial" w:eastAsia="Arial" w:hAnsi="Arial"/>
          <w:sz w:val="22"/>
          <w:szCs w:val="22"/>
          <w:color w:val="auto"/>
        </w:rPr>
        <w:t xml:space="preserve"> </w:t>
      </w:r>
      <w:r>
        <w:rPr>
          <w:rFonts w:ascii="Arial" w:cs="Arial" w:eastAsia="Arial" w:hAnsi="Arial"/>
          <w:sz w:val="19"/>
          <w:szCs w:val="19"/>
          <w:color w:val="auto"/>
        </w:rPr>
        <w:t>Restricted Stock Grant or a Restricted Stock Unit Award.</w:t>
      </w:r>
    </w:p>
    <w:p>
      <w:pPr>
        <w:spacing w:after="0" w:line="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u w:val="single" w:color="auto"/>
          <w:color w:val="auto"/>
        </w:rPr>
        <w:t>Survivor</w:t>
      </w:r>
      <w:r>
        <w:rPr>
          <w:rFonts w:ascii="Arial" w:cs="Arial" w:eastAsia="Arial" w:hAnsi="Arial"/>
          <w:sz w:val="22"/>
          <w:szCs w:val="22"/>
          <w:color w:val="auto"/>
        </w:rPr>
        <w:t xml:space="preserve"> </w:t>
      </w:r>
      <w:r>
        <w:rPr>
          <w:rFonts w:ascii="Arial" w:cs="Arial" w:eastAsia="Arial" w:hAnsi="Arial"/>
          <w:sz w:val="19"/>
          <w:szCs w:val="19"/>
          <w:color w:val="auto"/>
        </w:rPr>
        <w:t>means a deceased Participant’s legal representatives and/or any person or persons who acquired the</w:t>
      </w:r>
      <w:r>
        <w:rPr>
          <w:rFonts w:ascii="Arial" w:cs="Arial" w:eastAsia="Arial" w:hAnsi="Arial"/>
          <w:sz w:val="22"/>
          <w:szCs w:val="22"/>
          <w:color w:val="auto"/>
        </w:rPr>
        <w:t xml:space="preserve"> </w:t>
      </w:r>
      <w:r>
        <w:rPr>
          <w:rFonts w:ascii="Arial" w:cs="Arial" w:eastAsia="Arial" w:hAnsi="Arial"/>
          <w:sz w:val="19"/>
          <w:szCs w:val="19"/>
          <w:color w:val="auto"/>
        </w:rPr>
        <w:t>Participant’s rights to a Stock Right by will or by the laws of descent and distribution.</w:t>
      </w:r>
    </w:p>
    <w:p>
      <w:pPr>
        <w:spacing w:after="0" w:line="9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20"/>
          <w:szCs w:val="20"/>
          <w:color w:val="auto"/>
        </w:rPr>
      </w:pPr>
      <w:r>
        <w:rPr>
          <w:rFonts w:ascii="Arial" w:cs="Arial" w:eastAsia="Arial" w:hAnsi="Arial"/>
          <w:sz w:val="22"/>
          <w:szCs w:val="22"/>
          <w:u w:val="single" w:color="auto"/>
          <w:color w:val="auto"/>
        </w:rPr>
        <w:t>PURPOSES OF THE PLAN.</w:t>
      </w:r>
    </w:p>
    <w:p>
      <w:pPr>
        <w:spacing w:after="0" w:line="130"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The Plan is intended to encourage ownership of Shares by Employees and directors of and certain Consultants to the Company and its Affiliates in order to attract and retain such people, to induce them to work for the benefit of the Company or of</w:t>
      </w:r>
    </w:p>
    <w:p>
      <w:pPr>
        <w:spacing w:after="0" w:line="218" w:lineRule="auto"/>
        <w:rPr>
          <w:sz w:val="20"/>
          <w:szCs w:val="20"/>
          <w:color w:val="auto"/>
        </w:rPr>
      </w:pPr>
      <w:r>
        <w:rPr>
          <w:rFonts w:ascii="Arial" w:cs="Arial" w:eastAsia="Arial" w:hAnsi="Arial"/>
          <w:sz w:val="20"/>
          <w:szCs w:val="20"/>
          <w:color w:val="auto"/>
        </w:rPr>
        <w:t>an Affiliate and to provide additional incentive for them to promote the success of the Company or of an Affiliate. The Plan provides for the granting of Restricted Stock Grants and Restricted Stock Unit Awards and shall not allow for the grant of stock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options.</w:t>
      </w:r>
    </w:p>
    <w:p>
      <w:pPr>
        <w:spacing w:after="0" w:line="13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2"/>
          <w:szCs w:val="22"/>
          <w:u w:val="single" w:color="auto"/>
          <w:color w:val="auto"/>
        </w:rPr>
        <w:t>SHARES SUBJECT TO THE PLAN.</w:t>
      </w:r>
    </w:p>
    <w:p>
      <w:pPr>
        <w:spacing w:after="0" w:line="156" w:lineRule="exact"/>
        <w:rPr>
          <w:rFonts w:ascii="Arial" w:cs="Arial" w:eastAsia="Arial" w:hAnsi="Arial"/>
          <w:sz w:val="20"/>
          <w:szCs w:val="20"/>
          <w:color w:val="auto"/>
        </w:rPr>
      </w:pPr>
    </w:p>
    <w:p>
      <w:pPr>
        <w:jc w:val="both"/>
        <w:ind w:firstLine="656"/>
        <w:spacing w:after="0" w:line="232" w:lineRule="auto"/>
        <w:tabs>
          <w:tab w:leader="none" w:pos="963" w:val="left"/>
        </w:tabs>
        <w:numPr>
          <w:ilvl w:val="1"/>
          <w:numId w:val="7"/>
        </w:numPr>
        <w:rPr>
          <w:rFonts w:ascii="Arial" w:cs="Arial" w:eastAsia="Arial" w:hAnsi="Arial"/>
          <w:sz w:val="20"/>
          <w:szCs w:val="20"/>
          <w:color w:val="auto"/>
        </w:rPr>
      </w:pPr>
      <w:r>
        <w:rPr>
          <w:rFonts w:ascii="Arial" w:cs="Arial" w:eastAsia="Arial" w:hAnsi="Arial"/>
          <w:sz w:val="20"/>
          <w:szCs w:val="20"/>
          <w:color w:val="auto"/>
        </w:rPr>
        <w:t>Commencing on June 5, 2025, the number of Shares which may be issued from time to time pursuant to this Plan shall not exceed 6,760,672 Shares of Common Stock for new awards plus 5,715,143 additional Shares underlying awards already outstanding under the Plan, or the equivalent of such number of Shares after the Administrator, in its sole discretion, has interpreted the effect of any stock split, stock dividend, combination, recapitalization or similar transaction in accordance with Paragraph 18 of this Plan.</w:t>
      </w:r>
    </w:p>
    <w:p>
      <w:pPr>
        <w:spacing w:after="0" w:line="143" w:lineRule="exact"/>
        <w:rPr>
          <w:rFonts w:ascii="Arial" w:cs="Arial" w:eastAsia="Arial" w:hAnsi="Arial"/>
          <w:sz w:val="20"/>
          <w:szCs w:val="20"/>
          <w:color w:val="auto"/>
        </w:rPr>
      </w:pPr>
    </w:p>
    <w:p>
      <w:pPr>
        <w:jc w:val="both"/>
        <w:ind w:firstLine="656"/>
        <w:spacing w:after="0" w:line="228" w:lineRule="auto"/>
        <w:tabs>
          <w:tab w:leader="none" w:pos="950" w:val="left"/>
        </w:tabs>
        <w:numPr>
          <w:ilvl w:val="1"/>
          <w:numId w:val="7"/>
        </w:numPr>
        <w:rPr>
          <w:rFonts w:ascii="Arial" w:cs="Arial" w:eastAsia="Arial" w:hAnsi="Arial"/>
          <w:sz w:val="20"/>
          <w:szCs w:val="20"/>
          <w:color w:val="auto"/>
        </w:rPr>
      </w:pPr>
      <w:r>
        <w:rPr>
          <w:rFonts w:ascii="Arial" w:cs="Arial" w:eastAsia="Arial" w:hAnsi="Arial"/>
          <w:sz w:val="20"/>
          <w:szCs w:val="20"/>
          <w:color w:val="auto"/>
        </w:rPr>
        <w:t>If any Restricted Stock Unit Award expires or is forfeited, cancelled, or otherwise terminated or results in any Shares not being issued or the Company shall reacquire (at not more than its original issuance price) any Shares issued pursuant to a Restricted Stock Grant, the unissued or reacquired Shares which were subject to such Stock Right shall again be available for issuance from time to time pursuant to this Plan. Notwithstanding the foregoing, if the Company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w:t>
      </w:r>
    </w:p>
    <w:p>
      <w:pPr>
        <w:spacing w:after="0" w:line="126" w:lineRule="exact"/>
        <w:rPr>
          <w:rFonts w:ascii="Arial" w:cs="Arial" w:eastAsia="Arial" w:hAnsi="Arial"/>
          <w:sz w:val="20"/>
          <w:szCs w:val="20"/>
          <w:color w:val="auto"/>
        </w:rPr>
      </w:pPr>
    </w:p>
    <w:p>
      <w:pPr>
        <w:ind w:left="240" w:hanging="232"/>
        <w:spacing w:after="0"/>
        <w:tabs>
          <w:tab w:leader="none" w:pos="240" w:val="left"/>
        </w:tabs>
        <w:numPr>
          <w:ilvl w:val="0"/>
          <w:numId w:val="7"/>
        </w:numPr>
        <w:rPr>
          <w:rFonts w:ascii="Arial" w:cs="Arial" w:eastAsia="Arial" w:hAnsi="Arial"/>
          <w:sz w:val="20"/>
          <w:szCs w:val="20"/>
          <w:color w:val="auto"/>
        </w:rPr>
      </w:pPr>
      <w:r>
        <w:rPr>
          <w:rFonts w:ascii="Arial" w:cs="Arial" w:eastAsia="Arial" w:hAnsi="Arial"/>
          <w:sz w:val="22"/>
          <w:szCs w:val="22"/>
          <w:u w:val="single" w:color="auto"/>
          <w:color w:val="auto"/>
        </w:rPr>
        <w:t>ADMINISTRATION OF THE PLAN.</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31" w:lineRule="exact"/>
        <w:rPr>
          <w:sz w:val="20"/>
          <w:szCs w:val="20"/>
          <w:color w:val="auto"/>
        </w:rPr>
      </w:pPr>
    </w:p>
    <w:p>
      <w:pPr>
        <w:ind w:right="20" w:firstLine="656"/>
        <w:spacing w:after="0" w:line="257" w:lineRule="auto"/>
        <w:tabs>
          <w:tab w:leader="none" w:pos="963" w:val="left"/>
        </w:tabs>
        <w:numPr>
          <w:ilvl w:val="0"/>
          <w:numId w:val="8"/>
        </w:numPr>
        <w:rPr>
          <w:rFonts w:ascii="Arial" w:cs="Arial" w:eastAsia="Arial" w:hAnsi="Arial"/>
          <w:sz w:val="20"/>
          <w:szCs w:val="20"/>
          <w:color w:val="auto"/>
        </w:rPr>
      </w:pPr>
      <w:r>
        <w:rPr>
          <w:rFonts w:ascii="Arial" w:cs="Arial" w:eastAsia="Arial" w:hAnsi="Arial"/>
          <w:sz w:val="20"/>
          <w:szCs w:val="20"/>
          <w:color w:val="auto"/>
        </w:rPr>
        <w:t>Interpret the provisions of the Plan and all Stock Rights and to make all rules and determinations which it deems necessary or advisable for the administration of the Plan;</w:t>
      </w:r>
    </w:p>
    <w:p>
      <w:pPr>
        <w:sectPr>
          <w:pgSz w:w="11900" w:h="16838" w:orient="portrait"/>
          <w:cols w:equalWidth="0" w:num="1">
            <w:col w:w="11240"/>
          </w:cols>
          <w:pgMar w:left="320" w:top="1409" w:right="339" w:bottom="1440" w:gutter="0" w:footer="0" w:header="0"/>
        </w:sectPr>
      </w:pPr>
    </w:p>
    <w:bookmarkStart w:id="14" w:name="page15"/>
    <w:bookmarkEnd w:id="14"/>
    <w:p>
      <w:pPr>
        <w:ind w:left="960" w:hanging="304"/>
        <w:spacing w:after="0"/>
        <w:tabs>
          <w:tab w:leader="none" w:pos="9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Determine which Employees, directors and Consultants shall be granted Stock Rights;</w:t>
      </w:r>
    </w:p>
    <w:p>
      <w:pPr>
        <w:spacing w:after="0" w:line="175" w:lineRule="exact"/>
        <w:rPr>
          <w:rFonts w:ascii="Arial" w:cs="Arial" w:eastAsia="Arial" w:hAnsi="Arial"/>
          <w:sz w:val="20"/>
          <w:szCs w:val="20"/>
          <w:color w:val="auto"/>
        </w:rPr>
      </w:pPr>
    </w:p>
    <w:p>
      <w:pPr>
        <w:ind w:right="20" w:firstLine="656"/>
        <w:spacing w:after="0" w:line="243" w:lineRule="auto"/>
        <w:tabs>
          <w:tab w:leader="none" w:pos="938" w:val="left"/>
        </w:tabs>
        <w:numPr>
          <w:ilvl w:val="0"/>
          <w:numId w:val="9"/>
        </w:numPr>
        <w:rPr>
          <w:rFonts w:ascii="Arial" w:cs="Arial" w:eastAsia="Arial" w:hAnsi="Arial"/>
          <w:sz w:val="20"/>
          <w:szCs w:val="20"/>
          <w:color w:val="auto"/>
        </w:rPr>
      </w:pPr>
      <w:r>
        <w:rPr>
          <w:rFonts w:ascii="Arial" w:cs="Arial" w:eastAsia="Arial" w:hAnsi="Arial"/>
          <w:sz w:val="20"/>
          <w:szCs w:val="20"/>
          <w:color w:val="auto"/>
        </w:rPr>
        <w:t>Determine the number of Shares for which a Stock Right or Stock Rights shall be granted, provided, however, that in no event shall:</w:t>
      </w:r>
    </w:p>
    <w:p>
      <w:pPr>
        <w:spacing w:after="0" w:line="141" w:lineRule="exact"/>
        <w:rPr>
          <w:rFonts w:ascii="Arial" w:cs="Arial" w:eastAsia="Arial" w:hAnsi="Arial"/>
          <w:sz w:val="20"/>
          <w:szCs w:val="20"/>
          <w:color w:val="auto"/>
        </w:rPr>
      </w:pPr>
    </w:p>
    <w:p>
      <w:pPr>
        <w:ind w:left="1540" w:hanging="236"/>
        <w:spacing w:after="0"/>
        <w:tabs>
          <w:tab w:leader="none" w:pos="1540" w:val="left"/>
        </w:tabs>
        <w:numPr>
          <w:ilvl w:val="1"/>
          <w:numId w:val="9"/>
        </w:numPr>
        <w:rPr>
          <w:rFonts w:ascii="Arial" w:cs="Arial" w:eastAsia="Arial" w:hAnsi="Arial"/>
          <w:sz w:val="20"/>
          <w:szCs w:val="20"/>
          <w:color w:val="auto"/>
        </w:rPr>
      </w:pPr>
      <w:r>
        <w:rPr>
          <w:rFonts w:ascii="Arial" w:cs="Arial" w:eastAsia="Arial" w:hAnsi="Arial"/>
          <w:sz w:val="20"/>
          <w:szCs w:val="20"/>
          <w:color w:val="auto"/>
        </w:rPr>
        <w:t>Stock Rights with respect to more than 574,040 Shares be granted to any Participant in any fiscal year; and</w:t>
      </w:r>
    </w:p>
    <w:p>
      <w:pPr>
        <w:spacing w:after="0" w:line="175" w:lineRule="exact"/>
        <w:rPr>
          <w:rFonts w:ascii="Arial" w:cs="Arial" w:eastAsia="Arial" w:hAnsi="Arial"/>
          <w:sz w:val="20"/>
          <w:szCs w:val="20"/>
          <w:color w:val="auto"/>
        </w:rPr>
      </w:pPr>
    </w:p>
    <w:p>
      <w:pPr>
        <w:jc w:val="both"/>
        <w:ind w:firstLine="1304"/>
        <w:spacing w:after="0" w:line="233" w:lineRule="auto"/>
        <w:tabs>
          <w:tab w:leader="none" w:pos="1589"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aggregate grant date fair value of Shares to be granted to any non-employee director under the Plan in any calendar year may not exceed $500,000; provided however that the foregoing limitation shall not apply to Stock Rights made pursuant to an election to receive equity in lieu of cash for all or a portion of fees received for service on the Board of Directors or any Committee thereof.</w:t>
      </w:r>
    </w:p>
    <w:p>
      <w:pPr>
        <w:spacing w:after="0" w:line="146" w:lineRule="exact"/>
        <w:rPr>
          <w:rFonts w:ascii="Arial" w:cs="Arial" w:eastAsia="Arial" w:hAnsi="Arial"/>
          <w:sz w:val="20"/>
          <w:szCs w:val="20"/>
          <w:color w:val="auto"/>
        </w:rPr>
      </w:pPr>
    </w:p>
    <w:p>
      <w:pPr>
        <w:jc w:val="both"/>
        <w:ind w:firstLine="656"/>
        <w:spacing w:after="0" w:line="229" w:lineRule="auto"/>
        <w:tabs>
          <w:tab w:leader="none" w:pos="950" w:val="left"/>
        </w:tabs>
        <w:numPr>
          <w:ilvl w:val="0"/>
          <w:numId w:val="9"/>
        </w:numPr>
        <w:rPr>
          <w:rFonts w:ascii="Arial" w:cs="Arial" w:eastAsia="Arial" w:hAnsi="Arial"/>
          <w:sz w:val="20"/>
          <w:szCs w:val="20"/>
          <w:color w:val="auto"/>
        </w:rPr>
      </w:pPr>
      <w:r>
        <w:rPr>
          <w:rFonts w:ascii="Arial" w:cs="Arial" w:eastAsia="Arial" w:hAnsi="Arial"/>
          <w:sz w:val="20"/>
          <w:szCs w:val="20"/>
          <w:color w:val="auto"/>
        </w:rPr>
        <w:t>Specify the terms and conditions upon which a Stock Right or Stock Rights may be granted; provided, however, that except in the case of death, disability or Change of Control or as otherwise provided in an employment or other agreement between the Participant and the Company, Stock Rights shall not vest, and any right of the Company to restrict or require Shares subject to a Stock Grant shall not lapse, less than one year from the date of grant and no dividends or dividend equivalents shall be paid on any Stock Right prior to the vesting of the underlying Shares;</w:t>
      </w:r>
    </w:p>
    <w:p>
      <w:pPr>
        <w:spacing w:after="0" w:line="144" w:lineRule="exact"/>
        <w:rPr>
          <w:rFonts w:ascii="Arial" w:cs="Arial" w:eastAsia="Arial" w:hAnsi="Arial"/>
          <w:sz w:val="20"/>
          <w:szCs w:val="20"/>
          <w:color w:val="auto"/>
        </w:rPr>
      </w:pPr>
    </w:p>
    <w:p>
      <w:pPr>
        <w:jc w:val="both"/>
        <w:ind w:firstLine="656"/>
        <w:spacing w:after="0" w:line="247" w:lineRule="auto"/>
        <w:tabs>
          <w:tab w:leader="none" w:pos="950" w:val="left"/>
        </w:tabs>
        <w:numPr>
          <w:ilvl w:val="0"/>
          <w:numId w:val="9"/>
        </w:numPr>
        <w:rPr>
          <w:rFonts w:ascii="Arial" w:cs="Arial" w:eastAsia="Arial" w:hAnsi="Arial"/>
          <w:sz w:val="19"/>
          <w:szCs w:val="19"/>
          <w:color w:val="auto"/>
        </w:rPr>
      </w:pPr>
      <w:r>
        <w:rPr>
          <w:rFonts w:ascii="Arial" w:cs="Arial" w:eastAsia="Arial" w:hAnsi="Arial"/>
          <w:sz w:val="19"/>
          <w:szCs w:val="19"/>
          <w:color w:val="auto"/>
        </w:rPr>
        <w:t>Amend any term or condition of any outstanding Stock Right, provided that no such change shall impair the rights of a Participant under any grant previously made without such Participant’s consent; provided however, except as otherwise provided in an employment or other agreement between the Participant and the Company, the Administrator is not authorized to accelerate the vesting schedule of an outstanding Stock Right except in the case of death, disability or Change of Control; and</w:t>
      </w:r>
    </w:p>
    <w:p>
      <w:pPr>
        <w:spacing w:after="0" w:line="140" w:lineRule="exact"/>
        <w:rPr>
          <w:rFonts w:ascii="Arial" w:cs="Arial" w:eastAsia="Arial" w:hAnsi="Arial"/>
          <w:sz w:val="19"/>
          <w:szCs w:val="19"/>
          <w:color w:val="auto"/>
        </w:rPr>
      </w:pPr>
    </w:p>
    <w:p>
      <w:pPr>
        <w:jc w:val="both"/>
        <w:ind w:firstLine="656"/>
        <w:spacing w:after="0" w:line="233" w:lineRule="auto"/>
        <w:tabs>
          <w:tab w:leader="none" w:pos="895" w:val="left"/>
        </w:tabs>
        <w:numPr>
          <w:ilvl w:val="0"/>
          <w:numId w:val="9"/>
        </w:numPr>
        <w:rPr>
          <w:rFonts w:ascii="Arial" w:cs="Arial" w:eastAsia="Arial" w:hAnsi="Arial"/>
          <w:sz w:val="20"/>
          <w:szCs w:val="20"/>
          <w:color w:val="auto"/>
        </w:rPr>
      </w:pPr>
      <w:r>
        <w:rPr>
          <w:rFonts w:ascii="Arial" w:cs="Arial" w:eastAsia="Arial" w:hAnsi="Arial"/>
          <w:sz w:val="20"/>
          <w:szCs w:val="20"/>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0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provided, however, that all such interpretations, rules, determinations, terms and conditions shall be made and prescribed in the context of potential tax consequences under Section 409A of the Code. Subject to the foregoing, the interpretation and construction by the Administrator of any provisions of the Plan or of any Stock Right granted under it shall be final, unless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otherwise determined by the Board of Directors, if the Administrator is the Committee. In addition, if the Administrator is the Committee, the Board of Directors may take any action under the Plan that would otherwise be the responsibility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Committee.</w:t>
      </w:r>
    </w:p>
    <w:p>
      <w:pPr>
        <w:spacing w:after="0" w:line="13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To the extent permitted under applicable law, the Board of Directors or the Committee may allocate all or any portion of its responsibilities and powers to any one or more of its members and may delegate all or any portion of its responsibilities and</w:t>
      </w:r>
    </w:p>
    <w:p>
      <w:pPr>
        <w:spacing w:after="0" w:line="226" w:lineRule="auto"/>
        <w:rPr>
          <w:sz w:val="20"/>
          <w:szCs w:val="20"/>
          <w:color w:val="auto"/>
        </w:rPr>
      </w:pPr>
      <w:r>
        <w:rPr>
          <w:rFonts w:ascii="Arial" w:cs="Arial" w:eastAsia="Arial" w:hAnsi="Arial"/>
          <w:sz w:val="20"/>
          <w:szCs w:val="20"/>
          <w:color w:val="auto"/>
        </w:rPr>
        <w:t>powers to any other person selected by it. The Board of Directors or the Committee may revoke any such allocation or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delegation at any time. Notwithstanding the foregoing, only the Board of Directors or the Committee shall be authorized to grant a Stock Right to any director of the Company or to any “officer” of the Company (as defined by Rule 16a-1 under the Exchange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Act).</w:t>
      </w:r>
    </w:p>
    <w:p>
      <w:pPr>
        <w:spacing w:after="0" w:line="139"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20"/>
          <w:szCs w:val="20"/>
          <w:color w:val="auto"/>
        </w:rPr>
      </w:pPr>
      <w:r>
        <w:rPr>
          <w:rFonts w:ascii="Arial" w:cs="Arial" w:eastAsia="Arial" w:hAnsi="Arial"/>
          <w:sz w:val="22"/>
          <w:szCs w:val="22"/>
          <w:u w:val="single" w:color="auto"/>
          <w:color w:val="auto"/>
        </w:rPr>
        <w:t>ELIGIBILITY FOR PARTICIPATION.</w:t>
      </w:r>
    </w:p>
    <w:p>
      <w:pPr>
        <w:spacing w:after="0" w:line="13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Administrator will, in its sole discretion, name the Participants in the Plan; provided, however, that each Participant must be an Employee, director or Consultant of the Company or of an Affiliate at the time a Stock Right is granted.</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Notwithstanding the foregoing, the Administrator may authorize the grant of a Stock Right to a person not then an Employee, director or Consultant of the</w:t>
      </w:r>
    </w:p>
    <w:p>
      <w:pPr>
        <w:sectPr>
          <w:pgSz w:w="11900" w:h="16838" w:orient="portrait"/>
          <w:cols w:equalWidth="0" w:num="1">
            <w:col w:w="11240"/>
          </w:cols>
          <w:pgMar w:left="320" w:top="142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Company or of an Affiliate; provided, however, that the actual grant of such Stock Right shall be conditioned upon such person</w:t>
      </w:r>
    </w:p>
    <w:p>
      <w:pPr>
        <w:spacing w:after="0" w:line="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becoming eligible to become a Participant at or prior to the time of the execution of the Agreement evidencing such Stock Right. The granting of any Stock Right to any individual shall neither entitle that individual to, nor disqualify him or her from,</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participation in any other grant of Stock Rights or any grant under any other benefit plan established by the Company or any Affiliate for Employees, directors or Consultants.</w:t>
      </w:r>
    </w:p>
    <w:p>
      <w:pPr>
        <w:spacing w:after="0" w:line="113"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20"/>
          <w:szCs w:val="20"/>
          <w:color w:val="auto"/>
        </w:rPr>
      </w:pPr>
      <w:r>
        <w:rPr>
          <w:rFonts w:ascii="Arial" w:cs="Arial" w:eastAsia="Arial" w:hAnsi="Arial"/>
          <w:sz w:val="22"/>
          <w:szCs w:val="22"/>
          <w:u w:val="single" w:color="auto"/>
          <w:color w:val="auto"/>
        </w:rPr>
        <w:t>TERMS AND CONDITIONS OF RESTRICTED STOCK GRANTS.</w:t>
      </w:r>
    </w:p>
    <w:p>
      <w:pPr>
        <w:spacing w:after="0" w:line="143"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Each Restricted Stock Grant to a Participant shall state the principal terms in an Agreement duly executed by the Company and, to the extent required by law or requested by the Company, by the Participant. The Agreement shall be in a form</w:t>
      </w:r>
    </w:p>
    <w:p>
      <w:pPr>
        <w:spacing w:after="0" w:line="232" w:lineRule="auto"/>
        <w:rPr>
          <w:sz w:val="20"/>
          <w:szCs w:val="20"/>
          <w:color w:val="auto"/>
        </w:rPr>
      </w:pPr>
      <w:r>
        <w:rPr>
          <w:rFonts w:ascii="Arial" w:cs="Arial" w:eastAsia="Arial" w:hAnsi="Arial"/>
          <w:sz w:val="20"/>
          <w:szCs w:val="20"/>
          <w:color w:val="auto"/>
        </w:rPr>
        <w:t>approved by the Administrator and shall contain terms and conditions which the Administrator determines to be appropriate and in the best interest of the Company, subject to the following minimum standards:</w:t>
      </w:r>
    </w:p>
    <w:p>
      <w:pPr>
        <w:spacing w:after="0" w:line="145" w:lineRule="exact"/>
        <w:rPr>
          <w:sz w:val="20"/>
          <w:szCs w:val="20"/>
          <w:color w:val="auto"/>
        </w:rPr>
      </w:pPr>
    </w:p>
    <w:p>
      <w:pPr>
        <w:jc w:val="both"/>
        <w:ind w:firstLine="656"/>
        <w:spacing w:after="0" w:line="236" w:lineRule="auto"/>
        <w:tabs>
          <w:tab w:leader="none" w:pos="963" w:val="left"/>
        </w:tabs>
        <w:numPr>
          <w:ilvl w:val="0"/>
          <w:numId w:val="12"/>
        </w:numPr>
        <w:rPr>
          <w:rFonts w:ascii="Arial" w:cs="Arial" w:eastAsia="Arial" w:hAnsi="Arial"/>
          <w:sz w:val="20"/>
          <w:szCs w:val="20"/>
          <w:color w:val="auto"/>
        </w:rPr>
      </w:pPr>
      <w:r>
        <w:rPr>
          <w:rFonts w:ascii="Arial" w:cs="Arial" w:eastAsia="Arial" w:hAnsi="Arial"/>
          <w:sz w:val="20"/>
          <w:szCs w:val="20"/>
          <w:color w:val="auto"/>
        </w:rPr>
        <w:t>Each Agreement shall state the purchase price per share, if any, of the Shares covered by each Restricted Stock Grant, which purchase price shall be determined by the Administrator but shall not be less than the minimum consideration required by the Delaware General Corporation Law, if any, on the date of grant of the Restricted Stock Grant;</w:t>
      </w:r>
    </w:p>
    <w:p>
      <w:pPr>
        <w:spacing w:after="0" w:line="145" w:lineRule="exact"/>
        <w:rPr>
          <w:rFonts w:ascii="Arial" w:cs="Arial" w:eastAsia="Arial" w:hAnsi="Arial"/>
          <w:sz w:val="20"/>
          <w:szCs w:val="20"/>
          <w:color w:val="auto"/>
        </w:rPr>
      </w:pPr>
    </w:p>
    <w:p>
      <w:pPr>
        <w:ind w:left="960" w:hanging="304"/>
        <w:spacing w:after="0"/>
        <w:tabs>
          <w:tab w:leader="none" w:pos="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Each Agreement shall state the number of Shares to which the Restricted Stock Grant pertains;</w:t>
      </w:r>
    </w:p>
    <w:p>
      <w:pPr>
        <w:spacing w:after="0" w:line="175" w:lineRule="exact"/>
        <w:rPr>
          <w:rFonts w:ascii="Arial" w:cs="Arial" w:eastAsia="Arial" w:hAnsi="Arial"/>
          <w:sz w:val="20"/>
          <w:szCs w:val="20"/>
          <w:color w:val="auto"/>
        </w:rPr>
      </w:pPr>
    </w:p>
    <w:p>
      <w:pPr>
        <w:jc w:val="both"/>
        <w:ind w:firstLine="656"/>
        <w:spacing w:after="0" w:line="236" w:lineRule="auto"/>
        <w:tabs>
          <w:tab w:leader="none" w:pos="938" w:val="left"/>
        </w:tabs>
        <w:numPr>
          <w:ilvl w:val="0"/>
          <w:numId w:val="12"/>
        </w:numPr>
        <w:rPr>
          <w:rFonts w:ascii="Arial" w:cs="Arial" w:eastAsia="Arial" w:hAnsi="Arial"/>
          <w:sz w:val="20"/>
          <w:szCs w:val="20"/>
          <w:color w:val="auto"/>
        </w:rPr>
      </w:pPr>
      <w:r>
        <w:rPr>
          <w:rFonts w:ascii="Arial" w:cs="Arial" w:eastAsia="Arial" w:hAnsi="Arial"/>
          <w:sz w:val="20"/>
          <w:szCs w:val="20"/>
          <w:color w:val="auto"/>
        </w:rPr>
        <w:t>Each Agreement shall include the terms of any right of the Company to restrict or reacquire the Shares subject to the Restricted Stock Grant, including the time and events upon which such rights shall accrue and the purchase price therefor, if any within the parameters set forth in the Plan; and</w:t>
      </w:r>
    </w:p>
    <w:p>
      <w:pPr>
        <w:spacing w:after="0" w:line="145" w:lineRule="exact"/>
        <w:rPr>
          <w:rFonts w:ascii="Arial" w:cs="Arial" w:eastAsia="Arial" w:hAnsi="Arial"/>
          <w:sz w:val="20"/>
          <w:szCs w:val="20"/>
          <w:color w:val="auto"/>
        </w:rPr>
      </w:pPr>
    </w:p>
    <w:p>
      <w:pPr>
        <w:jc w:val="both"/>
        <w:ind w:firstLine="656"/>
        <w:spacing w:after="0" w:line="236" w:lineRule="auto"/>
        <w:tabs>
          <w:tab w:leader="none" w:pos="963" w:val="left"/>
        </w:tabs>
        <w:numPr>
          <w:ilvl w:val="0"/>
          <w:numId w:val="12"/>
        </w:numPr>
        <w:rPr>
          <w:rFonts w:ascii="Arial" w:cs="Arial" w:eastAsia="Arial" w:hAnsi="Arial"/>
          <w:sz w:val="20"/>
          <w:szCs w:val="20"/>
          <w:color w:val="auto"/>
        </w:rPr>
      </w:pPr>
      <w:r>
        <w:rPr>
          <w:rFonts w:ascii="Arial" w:cs="Arial" w:eastAsia="Arial" w:hAnsi="Arial"/>
          <w:sz w:val="20"/>
          <w:szCs w:val="20"/>
          <w:color w:val="auto"/>
        </w:rPr>
        <w:t>Dividends (other than stock dividends to be issued pursuant to Section 18 of the Plan) may accrue but shall not be paid prior to the time, and only to the extent that, the restrictions or rights to reacquire the Shares subject to the Restricted Stock Grant lapse.</w:t>
      </w:r>
    </w:p>
    <w:p>
      <w:pPr>
        <w:spacing w:after="0" w:line="127"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0"/>
          <w:szCs w:val="20"/>
          <w:color w:val="auto"/>
        </w:rPr>
      </w:pPr>
      <w:r>
        <w:rPr>
          <w:rFonts w:ascii="Arial" w:cs="Arial" w:eastAsia="Arial" w:hAnsi="Arial"/>
          <w:sz w:val="22"/>
          <w:szCs w:val="22"/>
          <w:u w:val="single" w:color="auto"/>
          <w:color w:val="auto"/>
        </w:rPr>
        <w:t>TERMS AND CONDITIONS OF RESTRICTED STOCK UNIT AWARDS.</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Each Restricted Stock Unit Award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in the best interest of the Company. Each Agreement shall include the terms of any right of the Company including the right to terminate the Restricted Stock Unit Award without the issuance of Shares, the terms of any vesting conditions within the</w:t>
      </w:r>
    </w:p>
    <w:p>
      <w:pPr>
        <w:spacing w:after="0" w:line="226" w:lineRule="auto"/>
        <w:rPr>
          <w:sz w:val="20"/>
          <w:szCs w:val="20"/>
          <w:color w:val="auto"/>
        </w:rPr>
      </w:pPr>
      <w:r>
        <w:rPr>
          <w:rFonts w:ascii="Arial" w:cs="Arial" w:eastAsia="Arial" w:hAnsi="Arial"/>
          <w:sz w:val="20"/>
          <w:szCs w:val="20"/>
          <w:color w:val="auto"/>
        </w:rPr>
        <w:t>parameters set forth in the Plan, or events upon which Shares shall be issued provided that dividends (other than stock</w:t>
      </w:r>
    </w:p>
    <w:p>
      <w:pPr>
        <w:jc w:val="both"/>
        <w:ind w:right="20"/>
        <w:spacing w:after="0" w:line="232" w:lineRule="auto"/>
        <w:rPr>
          <w:sz w:val="20"/>
          <w:szCs w:val="20"/>
          <w:color w:val="auto"/>
        </w:rPr>
      </w:pPr>
      <w:r>
        <w:rPr>
          <w:rFonts w:ascii="Arial" w:cs="Arial" w:eastAsia="Arial" w:hAnsi="Arial"/>
          <w:sz w:val="20"/>
          <w:szCs w:val="20"/>
          <w:color w:val="auto"/>
        </w:rPr>
        <w:t>dividends to be issued pursuant to Section 18 of the Plan) or dividend equivalents may accrue but shall not be paid prior to and only to the extent that, the Shares subject to the Restricted Stock Unit Award vest.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intends that the Plan and any Restricted Stock Unit Awards granted hereunder be exempt from the</w:t>
      </w:r>
    </w:p>
    <w:p>
      <w:pPr>
        <w:spacing w:after="0" w:line="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application of Section 409A of the Code or meet the requirements of paragraphs (2), (3) and (4) of subsection (a) of Section 409A of the Code, to the extent applicable, and be operated in accordance with Section 409A so that any compensation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deferred under any Restricted Stock Unit Award (and applicable investment earnings) shall not be included in income under Section 409A of the Code. Any ambiguities in the Plan shall be construed to effect the intent as described in this Paragraph 7.</w:t>
      </w:r>
    </w:p>
    <w:p>
      <w:pPr>
        <w:spacing w:after="0" w:line="113" w:lineRule="exact"/>
        <w:rPr>
          <w:sz w:val="20"/>
          <w:szCs w:val="20"/>
          <w:color w:val="auto"/>
        </w:rPr>
      </w:pPr>
    </w:p>
    <w:p>
      <w:pPr>
        <w:ind w:right="20" w:firstLine="8"/>
        <w:spacing w:after="0" w:line="259" w:lineRule="auto"/>
        <w:tabs>
          <w:tab w:leader="none" w:pos="279" w:val="left"/>
        </w:tabs>
        <w:numPr>
          <w:ilvl w:val="0"/>
          <w:numId w:val="14"/>
        </w:numPr>
        <w:rPr>
          <w:rFonts w:ascii="Arial" w:cs="Arial" w:eastAsia="Arial" w:hAnsi="Arial"/>
          <w:sz w:val="20"/>
          <w:szCs w:val="20"/>
          <w:color w:val="auto"/>
        </w:rPr>
      </w:pPr>
      <w:r>
        <w:rPr>
          <w:rFonts w:ascii="Arial" w:cs="Arial" w:eastAsia="Arial" w:hAnsi="Arial"/>
          <w:sz w:val="22"/>
          <w:szCs w:val="22"/>
          <w:u w:val="single" w:color="auto"/>
          <w:color w:val="auto"/>
        </w:rPr>
        <w:t>PAYMENT IN CONNECTION WITH THE ISSUANCE OF RESTRICTED STOCK GRANTS AND ISSUE OF SHARES FOR STOCK RIGHTS.</w:t>
      </w:r>
    </w:p>
    <w:p>
      <w:pPr>
        <w:sectPr>
          <w:pgSz w:w="11900" w:h="16838" w:orient="portrait"/>
          <w:cols w:equalWidth="0" w:num="1">
            <w:col w:w="11240"/>
          </w:cols>
          <w:pgMar w:left="320" w:top="1400"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20"/>
          <w:szCs w:val="20"/>
          <w:color w:val="auto"/>
        </w:rPr>
        <w:t>Any Restricted Stock Grant requiring payment of a purchase price for the Shares as to which such Restricted Stock</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Grant is being granted shall be made (a) in United States dollars in cash or by check, or (b) at the discretion of the Administrator, through delivery of shares of Common Stock held for at least six months (if required to avoid negative accounting treatment) and</w:t>
      </w:r>
    </w:p>
    <w:p>
      <w:pPr>
        <w:spacing w:after="0" w:line="227" w:lineRule="auto"/>
        <w:rPr>
          <w:sz w:val="20"/>
          <w:szCs w:val="20"/>
          <w:color w:val="auto"/>
        </w:rPr>
      </w:pPr>
      <w:r>
        <w:rPr>
          <w:rFonts w:ascii="Arial" w:cs="Arial" w:eastAsia="Arial" w:hAnsi="Arial"/>
          <w:sz w:val="20"/>
          <w:szCs w:val="20"/>
          <w:color w:val="auto"/>
        </w:rPr>
        <w:t>having a Fair Market Value equal as of the date of payment to the purchase price of the Restricted Stock Grant, or (c) at the</w:t>
      </w:r>
    </w:p>
    <w:p>
      <w:pPr>
        <w:ind w:right="20"/>
        <w:spacing w:after="0" w:line="232" w:lineRule="auto"/>
        <w:rPr>
          <w:sz w:val="20"/>
          <w:szCs w:val="20"/>
          <w:color w:val="auto"/>
        </w:rPr>
      </w:pPr>
      <w:r>
        <w:rPr>
          <w:rFonts w:ascii="Arial" w:cs="Arial" w:eastAsia="Arial" w:hAnsi="Arial"/>
          <w:sz w:val="20"/>
          <w:szCs w:val="20"/>
          <w:color w:val="auto"/>
        </w:rPr>
        <w:t>discretion of the Administrator, by any combination of (a) and (b) above; or (d) at the discretion of the Administrator, by payment of such other lawful consideration as the Administrator may determine.</w:t>
      </w:r>
    </w:p>
    <w:p>
      <w:pPr>
        <w:spacing w:after="0" w:line="118"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The Company shall when required by the applicable Agreement, reasonably promptly deliver the Shares as to which such Stock Right was made to the Participant (or to the Participant’s Survivors, as the case may be), subject to any escrow</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provision set forth in the applicable Agreement. In determining what constitutes “reasonably promptly,” it is expressly understood that the issuance and delivery of the Shares may be delayed by the Company in order to comply with any law or regulation</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(including, without limitation, state securities or “blue sky” laws) which requires the Company to take any action with respect to the Shares prior to their issuance.</w:t>
      </w:r>
    </w:p>
    <w:p>
      <w:pPr>
        <w:spacing w:after="0" w:line="113"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20"/>
          <w:szCs w:val="20"/>
          <w:color w:val="auto"/>
        </w:rPr>
      </w:pPr>
      <w:r>
        <w:rPr>
          <w:rFonts w:ascii="Arial" w:cs="Arial" w:eastAsia="Arial" w:hAnsi="Arial"/>
          <w:sz w:val="22"/>
          <w:szCs w:val="22"/>
          <w:u w:val="single" w:color="auto"/>
          <w:color w:val="auto"/>
        </w:rPr>
        <w:t>RIGHTS AS A SHAREHOLDER.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Participant to whom a Stock Right has been granted shall have rights as a shareholder with respect to any Shares</w:t>
      </w:r>
    </w:p>
    <w:p>
      <w:pPr>
        <w:spacing w:after="0" w:line="4"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covered by such Stock Right, except after issuance of Shares as set forth in any Agreement and tender of the aggregate purchase price, if any, for the Shares being purchased, and registration of the Shares in the Company’s share register in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name of the Participant.</w:t>
      </w:r>
    </w:p>
    <w:p>
      <w:pPr>
        <w:spacing w:after="0" w:line="13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2"/>
          <w:szCs w:val="22"/>
          <w:u w:val="single" w:color="auto"/>
          <w:color w:val="auto"/>
        </w:rPr>
        <w:t>ASSIGNABILITY AND TRANSFERABILITY OF STOCK RIGHTS.</w:t>
      </w:r>
    </w:p>
    <w:p>
      <w:pPr>
        <w:spacing w:after="0" w:line="130" w:lineRule="exact"/>
        <w:rPr>
          <w:sz w:val="20"/>
          <w:szCs w:val="20"/>
          <w:color w:val="auto"/>
        </w:rPr>
      </w:pPr>
    </w:p>
    <w:p>
      <w:pPr>
        <w:ind w:right="20" w:firstLine="648"/>
        <w:spacing w:after="0" w:line="234" w:lineRule="auto"/>
        <w:rPr>
          <w:sz w:val="20"/>
          <w:szCs w:val="20"/>
          <w:color w:val="auto"/>
        </w:rPr>
      </w:pPr>
      <w:r>
        <w:rPr>
          <w:rFonts w:ascii="Arial" w:cs="Arial" w:eastAsia="Arial" w:hAnsi="Arial"/>
          <w:sz w:val="20"/>
          <w:szCs w:val="20"/>
          <w:color w:val="auto"/>
        </w:rPr>
        <w:t>By its terms, a Stock Right granted to a Participant shall not be transferable by the Participant other than (i) by will or by the laws of descent and distribution, or (ii) as approved by the Administrator in its discretion and set forth in the applicable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Agreement provided that no Stock Right may be transferred by a Participant for value. The designation of a beneficiary of a Stock Right by a Participant, with the prior approval of the Administrator and in such form as the Administrator shall prescribe,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shall not be deemed a transfer prohibited by this Paragraph. Except as provided above during the Participant’s lifetime, a Stock Right shall only be exercisable by or issued to such Participant (or his or her legal representative) and shall not be assigned,</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pledged or hypothecated in any way (whether by operation of law or otherwise) and shall not be subject to execution, attachment or similar process. Any attempted transfer, assignment, pledge, hypothecation or other disposition of any Stock</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Right or of any rights granted thereunder contrary to the provisions of this Plan, or the levy of any attachment or similar process upon a Stock Right, shall be null and void.</w:t>
      </w:r>
    </w:p>
    <w:p>
      <w:pPr>
        <w:spacing w:after="0" w:line="113" w:lineRule="exact"/>
        <w:rPr>
          <w:sz w:val="20"/>
          <w:szCs w:val="20"/>
          <w:color w:val="auto"/>
        </w:rPr>
      </w:pPr>
    </w:p>
    <w:p>
      <w:pPr>
        <w:ind w:firstLine="8"/>
        <w:spacing w:after="0" w:line="259" w:lineRule="auto"/>
        <w:tabs>
          <w:tab w:leader="none" w:pos="415" w:val="left"/>
        </w:tabs>
        <w:numPr>
          <w:ilvl w:val="0"/>
          <w:numId w:val="17"/>
        </w:numPr>
        <w:rPr>
          <w:rFonts w:ascii="Arial" w:cs="Arial" w:eastAsia="Arial" w:hAnsi="Arial"/>
          <w:sz w:val="20"/>
          <w:szCs w:val="20"/>
          <w:color w:val="auto"/>
        </w:rPr>
      </w:pPr>
      <w:r>
        <w:rPr>
          <w:rFonts w:ascii="Arial" w:cs="Arial" w:eastAsia="Arial" w:hAnsi="Arial"/>
          <w:sz w:val="22"/>
          <w:szCs w:val="22"/>
          <w:u w:val="single" w:color="auto"/>
          <w:color w:val="auto"/>
        </w:rPr>
        <w:t>EFFECT OF TERMINATION OF SERVICE ON UNACCEPTED RESTRICTED STOCK GRANTS AND RESTRICTED STOCK UNIT AWARDS.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event of a termination of service (whether as an Employee, director or Consultant) with the Company or an Affiliate</w:t>
      </w:r>
    </w:p>
    <w:p>
      <w:pPr>
        <w:spacing w:after="0" w:line="1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for any reason before the Participant has accepted a Restricted Stock Grant or a Restricted Stock Unit Award and paid the purchase price, if required, such grant shall terminate.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this Paragraph 11 and Paragraph 12 below, a Participant to whom a Stock Right has been issued under</w:t>
      </w:r>
    </w:p>
    <w:p>
      <w:pPr>
        <w:spacing w:after="0" w:line="16"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the Plan who is absent from work with the Company or with an Affiliate because of temporary disability (any disability other than a Disability as defined in Paragraph 1 hereof), or who is on leave of absence for any purpose, shall not, during the period of any</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such absence, be deemed, by virtue of such absence alone, to have terminated such Participant’s employment, director status or consultancy with the Company or with an Affiliate, except as the Administrator may otherwise expressly provide.</w:t>
      </w:r>
    </w:p>
    <w:p>
      <w:pPr>
        <w:spacing w:after="0" w:line="11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In addition, for purposes of this Paragraph 11 and Paragraph 12 below, any change of employment or other service within or among the Company and any Affiliates shall not be treated as a</w:t>
      </w:r>
    </w:p>
    <w:p>
      <w:pPr>
        <w:sectPr>
          <w:pgSz w:w="11900" w:h="16838" w:orient="portrait"/>
          <w:cols w:equalWidth="0" w:num="1">
            <w:col w:w="11240"/>
          </w:cols>
          <w:pgMar w:left="320" w:top="1400" w:right="33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20"/>
          <w:szCs w:val="20"/>
          <w:color w:val="auto"/>
        </w:rPr>
        <w:t>termination of employment, director status or consultancy so long as the Participant continues to be an Employee, director or Consultant of the Company or any Affiliate.</w:t>
      </w:r>
    </w:p>
    <w:p>
      <w:pPr>
        <w:spacing w:after="0" w:line="97" w:lineRule="exact"/>
        <w:rPr>
          <w:sz w:val="20"/>
          <w:szCs w:val="20"/>
          <w:color w:val="auto"/>
        </w:rPr>
      </w:pPr>
    </w:p>
    <w:p>
      <w:pPr>
        <w:ind w:right="20" w:firstLine="8"/>
        <w:spacing w:after="0" w:line="259" w:lineRule="auto"/>
        <w:tabs>
          <w:tab w:leader="none" w:pos="348" w:val="left"/>
        </w:tabs>
        <w:numPr>
          <w:ilvl w:val="0"/>
          <w:numId w:val="18"/>
        </w:numPr>
        <w:rPr>
          <w:rFonts w:ascii="Arial" w:cs="Arial" w:eastAsia="Arial" w:hAnsi="Arial"/>
          <w:sz w:val="20"/>
          <w:szCs w:val="20"/>
          <w:color w:val="auto"/>
        </w:rPr>
      </w:pPr>
      <w:r>
        <w:rPr>
          <w:rFonts w:ascii="Arial" w:cs="Arial" w:eastAsia="Arial" w:hAnsi="Arial"/>
          <w:sz w:val="22"/>
          <w:szCs w:val="22"/>
          <w:u w:val="single" w:color="auto"/>
          <w:color w:val="auto"/>
        </w:rPr>
        <w:t>EFFECT ON RESTRICTED STOCK GRANTS AND RESTRICTED STOCK UNIT AWARDS OF TERMINATION OF SERVICE OTHER THAN FOR CAUSE OR DEATH OR DISABILITY.</w:t>
      </w:r>
    </w:p>
    <w:p>
      <w:pPr>
        <w:spacing w:after="0" w:line="80"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Except as otherwise provided in a Participant’s Agreement, in the event of a termination of service for any reason (whether as an Employee, director or Consultant), other than termination for Cause, Disability, or death for which events there</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are special rules in Paragraphs 13, 14, and 15, below, before all forfeiture provisions or Company rights of repurchase shall have lapsed, then the Company shall have the right to cancel or repurchase that number of Shares subject to a Restricted Stock</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Grant as to which the Company’s forfeiture or repurchase rights have not lapsed or cancel a Restricted Stock Unit Award without the issuance of any additional Shares thereunder.</w:t>
      </w:r>
    </w:p>
    <w:p>
      <w:pPr>
        <w:spacing w:after="0" w:line="113" w:lineRule="exact"/>
        <w:rPr>
          <w:sz w:val="20"/>
          <w:szCs w:val="20"/>
          <w:color w:val="auto"/>
        </w:rPr>
      </w:pPr>
    </w:p>
    <w:p>
      <w:pPr>
        <w:ind w:right="20" w:firstLine="8"/>
        <w:spacing w:after="0" w:line="259" w:lineRule="auto"/>
        <w:tabs>
          <w:tab w:leader="none" w:pos="348" w:val="left"/>
        </w:tabs>
        <w:numPr>
          <w:ilvl w:val="0"/>
          <w:numId w:val="19"/>
        </w:numPr>
        <w:rPr>
          <w:rFonts w:ascii="Arial" w:cs="Arial" w:eastAsia="Arial" w:hAnsi="Arial"/>
          <w:sz w:val="20"/>
          <w:szCs w:val="20"/>
          <w:color w:val="auto"/>
        </w:rPr>
      </w:pPr>
      <w:r>
        <w:rPr>
          <w:rFonts w:ascii="Arial" w:cs="Arial" w:eastAsia="Arial" w:hAnsi="Arial"/>
          <w:sz w:val="22"/>
          <w:szCs w:val="22"/>
          <w:u w:val="single" w:color="auto"/>
          <w:color w:val="auto"/>
        </w:rPr>
        <w:t>EFFECT ON RESTRICTED STOCK GRANTS AND RESTRICTED STOCK UNIT AWARDS OF TERMINATION OF SERVICE FOR CAUSE.</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Except as otherwise provided in a Participant’s Agreement, the following rules apply if the Participant’s service (whether as an Employee, director or Consultant) with the Company or an Affiliate is terminated for Cause:</w:t>
      </w:r>
    </w:p>
    <w:p>
      <w:pPr>
        <w:spacing w:after="0" w:line="115" w:lineRule="exact"/>
        <w:rPr>
          <w:sz w:val="20"/>
          <w:szCs w:val="20"/>
          <w:color w:val="auto"/>
        </w:rPr>
      </w:pPr>
    </w:p>
    <w:p>
      <w:pPr>
        <w:jc w:val="both"/>
        <w:ind w:firstLine="656"/>
        <w:spacing w:after="0" w:line="241" w:lineRule="auto"/>
        <w:tabs>
          <w:tab w:leader="none" w:pos="977"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Shares subject to any Restricted Stock Grant that remain subject to forfeiture provisions or as to which the Company shall have a repurchase right and Restricted Stock Unit Awards for which Shares have not been issued shall be immediately forfeited to the Company as of the time the Participant is notified his or her service is terminated for Cause.</w:t>
      </w:r>
    </w:p>
    <w:p>
      <w:pPr>
        <w:spacing w:after="0" w:line="144" w:lineRule="exact"/>
        <w:rPr>
          <w:rFonts w:ascii="Arial" w:cs="Arial" w:eastAsia="Arial" w:hAnsi="Arial"/>
          <w:sz w:val="20"/>
          <w:szCs w:val="20"/>
          <w:color w:val="auto"/>
        </w:rPr>
      </w:pPr>
    </w:p>
    <w:p>
      <w:pPr>
        <w:jc w:val="both"/>
        <w:ind w:firstLine="656"/>
        <w:spacing w:after="0" w:line="228" w:lineRule="auto"/>
        <w:tabs>
          <w:tab w:leader="none" w:pos="950" w:val="left"/>
        </w:tabs>
        <w:numPr>
          <w:ilvl w:val="1"/>
          <w:numId w:val="20"/>
        </w:numPr>
        <w:rPr>
          <w:rFonts w:ascii="Arial" w:cs="Arial" w:eastAsia="Arial" w:hAnsi="Arial"/>
          <w:sz w:val="20"/>
          <w:szCs w:val="20"/>
          <w:color w:val="auto"/>
        </w:rPr>
      </w:pPr>
      <w:r>
        <w:rPr>
          <w:rFonts w:ascii="Arial" w:cs="Arial" w:eastAsia="Arial" w:hAnsi="Arial"/>
          <w:sz w:val="20"/>
          <w:szCs w:val="20"/>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Restricted Stock Grant that remained subject to forfeiture provisions or as to which the Company had a repurchase right and Restricted Stock Unit Awards for which Shares have not been issued on the date of termination shall be immediately forfeited to the Company.</w:t>
      </w:r>
    </w:p>
    <w:p>
      <w:pPr>
        <w:spacing w:after="0" w:line="128" w:lineRule="exact"/>
        <w:rPr>
          <w:rFonts w:ascii="Arial" w:cs="Arial" w:eastAsia="Arial" w:hAnsi="Arial"/>
          <w:sz w:val="20"/>
          <w:szCs w:val="20"/>
          <w:color w:val="auto"/>
        </w:rPr>
      </w:pPr>
    </w:p>
    <w:p>
      <w:pPr>
        <w:ind w:right="20" w:firstLine="8"/>
        <w:spacing w:after="0" w:line="246" w:lineRule="auto"/>
        <w:tabs>
          <w:tab w:leader="none" w:pos="348" w:val="left"/>
        </w:tabs>
        <w:numPr>
          <w:ilvl w:val="0"/>
          <w:numId w:val="21"/>
        </w:numPr>
        <w:rPr>
          <w:rFonts w:ascii="Arial" w:cs="Arial" w:eastAsia="Arial" w:hAnsi="Arial"/>
          <w:sz w:val="20"/>
          <w:szCs w:val="20"/>
          <w:color w:val="auto"/>
        </w:rPr>
      </w:pPr>
      <w:r>
        <w:rPr>
          <w:rFonts w:ascii="Arial" w:cs="Arial" w:eastAsia="Arial" w:hAnsi="Arial"/>
          <w:sz w:val="22"/>
          <w:szCs w:val="22"/>
          <w:u w:val="single" w:color="auto"/>
          <w:color w:val="auto"/>
        </w:rPr>
        <w:t>EFFECT ON RESTRICTED STOCK GRANTS AND RESTRICTED STOCK UNIT AWARDS OF TERMINATION OF SERVICE FOR DISABILITY.</w:t>
      </w:r>
    </w:p>
    <w:p>
      <w:pPr>
        <w:spacing w:after="0" w:line="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the Participant’s termination due to Disability, they shall be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exercisable; provided, however, that in the event such forfeiture provisions or rights of repurchase lapse periodically, such provisions or rights shall lapse to the extent of a pro rata portion of the Shares subject to such Stock Right through the date of</w:t>
      </w:r>
    </w:p>
    <w:p>
      <w:pPr>
        <w:spacing w:after="0" w:line="226" w:lineRule="auto"/>
        <w:rPr>
          <w:sz w:val="20"/>
          <w:szCs w:val="20"/>
          <w:color w:val="auto"/>
        </w:rPr>
      </w:pPr>
      <w:r>
        <w:rPr>
          <w:rFonts w:ascii="Arial" w:cs="Arial" w:eastAsia="Arial" w:hAnsi="Arial"/>
          <w:sz w:val="20"/>
          <w:szCs w:val="20"/>
          <w:color w:val="auto"/>
        </w:rPr>
        <w:t>the Participant’s termination due to Disability as would have lapsed had the Participant not been terminated due to Disability.</w:t>
      </w:r>
    </w:p>
    <w:p>
      <w:pPr>
        <w:spacing w:after="0"/>
        <w:rPr>
          <w:sz w:val="20"/>
          <w:szCs w:val="20"/>
          <w:color w:val="auto"/>
        </w:rPr>
      </w:pPr>
      <w:r>
        <w:rPr>
          <w:rFonts w:ascii="Arial" w:cs="Arial" w:eastAsia="Arial" w:hAnsi="Arial"/>
          <w:sz w:val="19"/>
          <w:szCs w:val="19"/>
          <w:color w:val="auto"/>
        </w:rPr>
        <w:t>The proration shall be based upon the number of days accrued prior to the date of the Participant’s termination due to Disability.</w:t>
      </w:r>
    </w:p>
    <w:p>
      <w:pPr>
        <w:spacing w:after="0" w:line="12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The Administrator shall make the determination both as to whether Disability has occurred and the date of its occurrence (unless a procedure for such determination is set forth in another agreement between the Company and such Participant, in</w:t>
      </w:r>
    </w:p>
    <w:p>
      <w:pPr>
        <w:jc w:val="both"/>
        <w:spacing w:after="0" w:line="232" w:lineRule="auto"/>
        <w:rPr>
          <w:sz w:val="20"/>
          <w:szCs w:val="20"/>
          <w:color w:val="auto"/>
        </w:rPr>
      </w:pPr>
      <w:r>
        <w:rPr>
          <w:rFonts w:ascii="Arial" w:cs="Arial" w:eastAsia="Arial" w:hAnsi="Arial"/>
          <w:sz w:val="20"/>
          <w:szCs w:val="20"/>
          <w:color w:val="auto"/>
        </w:rPr>
        <w:t>which case such procedure shall be used for such determination). If requested, the Participant shall be examined by a physician selected or approved by the Administrator, the cost of which examination shall be paid for by the Company.</w:t>
      </w:r>
    </w:p>
    <w:p>
      <w:pPr>
        <w:spacing w:after="0" w:line="127" w:lineRule="exact"/>
        <w:rPr>
          <w:sz w:val="20"/>
          <w:szCs w:val="20"/>
          <w:color w:val="auto"/>
        </w:rPr>
      </w:pPr>
    </w:p>
    <w:p>
      <w:pPr>
        <w:ind w:right="20" w:firstLine="8"/>
        <w:spacing w:after="0" w:line="259" w:lineRule="auto"/>
        <w:tabs>
          <w:tab w:leader="none" w:pos="348"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EFFECT ON RESTRICTED STOCK GRANTS AND RESTRICTED STOCK UNIT AWARDS OF DEATH WHILE AN EMPLOYEE, DIRECTOR OR CONSULTANT.</w:t>
      </w:r>
    </w:p>
    <w:p>
      <w:pPr>
        <w:sectPr>
          <w:pgSz w:w="11900" w:h="16838" w:orient="portrait"/>
          <w:cols w:equalWidth="0" w:num="1">
            <w:col w:w="11240"/>
          </w:cols>
          <w:pgMar w:left="320" w:top="1400"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20"/>
          <w:szCs w:val="20"/>
          <w:color w:val="auto"/>
        </w:rPr>
        <w:t>Except as otherwise provided in a Participant’s Agreement, the following rules apply in the event of the death of a</w:t>
      </w:r>
    </w:p>
    <w:p>
      <w:pPr>
        <w:spacing w:after="0" w:line="4"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Participant while the Participant is an Employee, director or Consultant of the Company or of an Affiliate: to the extent the forfeiture provisions or the Company’s rights of repurchase have not lapsed on the date of death, they shall lapse in full on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Participant’s date of death.</w:t>
      </w:r>
    </w:p>
    <w:p>
      <w:pPr>
        <w:spacing w:after="0" w:line="13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PURCHASE FOR INVESTMENT.</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Unless the offering and sale of the Shares shall have been effectively registered under the Securities Act, the Company shall be under no obligation to issue the Shares under the Plan unless and until the following conditions have been fulfilled:</w:t>
      </w:r>
    </w:p>
    <w:p>
      <w:pPr>
        <w:spacing w:after="0" w:line="128" w:lineRule="exact"/>
        <w:rPr>
          <w:sz w:val="20"/>
          <w:szCs w:val="20"/>
          <w:color w:val="auto"/>
        </w:rPr>
      </w:pPr>
    </w:p>
    <w:p>
      <w:pPr>
        <w:jc w:val="both"/>
        <w:ind w:firstLine="656"/>
        <w:spacing w:after="0" w:line="232" w:lineRule="auto"/>
        <w:tabs>
          <w:tab w:leader="none" w:pos="95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person who receives a Stock Right shall warrant to the Company, prior to the receipt of such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Stock Right:</w:t>
      </w:r>
    </w:p>
    <w:p>
      <w:pPr>
        <w:spacing w:after="0" w:line="103"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“The shares represented by this certificate have been taken for investment and they may not be sold or otherwise transferred by any person, including a pledgee, unless (1) either (a) a Registration Statement with respect to such shares shall</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be effective under the Securities Act of 1933, as amended, or (b) the Company shall have received an opinion of counsel satisfactory to it that an exemption from registration under such Act is then available, and (2) there shall have been compliance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 all applicable state securities laws.”</w:t>
      </w:r>
    </w:p>
    <w:p>
      <w:pPr>
        <w:spacing w:after="0" w:line="157" w:lineRule="exact"/>
        <w:rPr>
          <w:sz w:val="20"/>
          <w:szCs w:val="20"/>
          <w:color w:val="auto"/>
        </w:rPr>
      </w:pPr>
    </w:p>
    <w:p>
      <w:pPr>
        <w:ind w:right="20" w:firstLine="656"/>
        <w:spacing w:after="0" w:line="243" w:lineRule="auto"/>
        <w:tabs>
          <w:tab w:leader="none" w:pos="95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At the discretion of the Administrator, the Company shall have received an opinion of its counsel that the Shares may be issued in compliance with the Securities Act without registration thereunder.</w:t>
      </w:r>
    </w:p>
    <w:p>
      <w:pPr>
        <w:spacing w:after="0" w:line="123" w:lineRule="exact"/>
        <w:rPr>
          <w:rFonts w:ascii="Arial" w:cs="Arial" w:eastAsia="Arial" w:hAnsi="Arial"/>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2"/>
          <w:szCs w:val="22"/>
          <w:u w:val="single" w:color="auto"/>
          <w:color w:val="auto"/>
        </w:rPr>
        <w:t>DISSOLUTION OR LIQUIDATION OF THE COMPANY.</w:t>
      </w:r>
    </w:p>
    <w:p>
      <w:pPr>
        <w:spacing w:after="0" w:line="143" w:lineRule="exact"/>
        <w:rPr>
          <w:sz w:val="20"/>
          <w:szCs w:val="20"/>
          <w:color w:val="auto"/>
        </w:rPr>
      </w:pPr>
    </w:p>
    <w:p>
      <w:pPr>
        <w:ind w:firstLine="648"/>
        <w:spacing w:after="0" w:line="239" w:lineRule="auto"/>
        <w:rPr>
          <w:sz w:val="20"/>
          <w:szCs w:val="20"/>
          <w:color w:val="auto"/>
        </w:rPr>
      </w:pPr>
      <w:r>
        <w:rPr>
          <w:rFonts w:ascii="Arial" w:cs="Arial" w:eastAsia="Arial" w:hAnsi="Arial"/>
          <w:sz w:val="19"/>
          <w:szCs w:val="19"/>
          <w:color w:val="auto"/>
        </w:rPr>
        <w:t>If the rights of a Participant or a Participant’s Survivors have not otherwise terminated and expired, the Participant or the Participant’s Survivors will have the right immediately prior to such dissolution or liquidation to accept any Stock Right to the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extent that the Stock Right is exercisable or subject to acceptance as of the date immediately prior to such dissolution or liquidation. Upon the dissolution or liquidation of the Company, all Restricted Stock Grants and Restricted Stock Unit Awards</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which have not been accepted, to the extent required under the applicable Agreement, will terminate and become null and void and any outstanding Restricted Stock Unit Awards shall immediately terminate unless otherwise determined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Administrator or specifically provided in the applicable Agreement.</w:t>
      </w:r>
    </w:p>
    <w:p>
      <w:pPr>
        <w:spacing w:after="0" w:line="13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2"/>
          <w:szCs w:val="22"/>
          <w:u w:val="single" w:color="auto"/>
          <w:color w:val="auto"/>
        </w:rPr>
        <w:t>ADJUSTMENTS.</w:t>
      </w:r>
    </w:p>
    <w:p>
      <w:pPr>
        <w:spacing w:after="0" w:line="130"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10" w:lineRule="exact"/>
        <w:rPr>
          <w:sz w:val="20"/>
          <w:szCs w:val="20"/>
          <w:color w:val="auto"/>
        </w:rPr>
      </w:pPr>
    </w:p>
    <w:p>
      <w:pPr>
        <w:jc w:val="both"/>
        <w:ind w:firstLine="656"/>
        <w:spacing w:after="0" w:line="237" w:lineRule="auto"/>
        <w:tabs>
          <w:tab w:leader="none" w:pos="977" w:val="left"/>
        </w:tabs>
        <w:numPr>
          <w:ilvl w:val="0"/>
          <w:numId w:val="28"/>
        </w:numPr>
        <w:rPr>
          <w:rFonts w:ascii="Arial" w:cs="Arial" w:eastAsia="Arial" w:hAnsi="Arial"/>
          <w:sz w:val="20"/>
          <w:szCs w:val="20"/>
          <w:color w:val="auto"/>
        </w:rPr>
      </w:pPr>
      <w:r>
        <w:rPr>
          <w:rFonts w:ascii="Arial" w:cs="Arial" w:eastAsia="Arial" w:hAnsi="Arial"/>
          <w:sz w:val="22"/>
          <w:szCs w:val="22"/>
          <w:u w:val="single" w:color="auto"/>
          <w:color w:val="auto"/>
        </w:rPr>
        <w:t>Stock Dividends and Stock Splits</w:t>
      </w:r>
      <w:r>
        <w:rPr>
          <w:rFonts w:ascii="Arial" w:cs="Arial" w:eastAsia="Arial" w:hAnsi="Arial"/>
          <w:sz w:val="19"/>
          <w:szCs w:val="19"/>
          <w:color w:val="auto"/>
        </w:rPr>
        <w:t>. If (i) the shares of Common Stock shall be subdivided or combined into a</w:t>
      </w:r>
      <w:r>
        <w:rPr>
          <w:rFonts w:ascii="Arial" w:cs="Arial" w:eastAsia="Arial" w:hAnsi="Arial"/>
          <w:sz w:val="22"/>
          <w:szCs w:val="22"/>
          <w:color w:val="auto"/>
        </w:rPr>
        <w:t xml:space="preserve"> </w:t>
      </w:r>
      <w:r>
        <w:rPr>
          <w:rFonts w:ascii="Arial" w:cs="Arial" w:eastAsia="Arial" w:hAnsi="Arial"/>
          <w:sz w:val="19"/>
          <w:szCs w:val="19"/>
          <w:color w:val="auto"/>
        </w:rPr>
        <w:t>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purchase price per share, to reflect such events. The number of Shares subject to the limitations in Paragraph 3(a) and 4(c) shall also be proportionately adjusted upon the occurrence of such events.</w:t>
      </w:r>
    </w:p>
    <w:p>
      <w:pPr>
        <w:sectPr>
          <w:pgSz w:w="11900" w:h="16838" w:orient="portrait"/>
          <w:cols w:equalWidth="0" w:num="1">
            <w:col w:w="11240"/>
          </w:cols>
          <w:pgMar w:left="320" w:top="1400" w:right="339" w:bottom="1440" w:gutter="0" w:footer="0" w:header="0"/>
        </w:sectPr>
      </w:pPr>
    </w:p>
    <w:bookmarkStart w:id="19" w:name="page20"/>
    <w:bookmarkEnd w:id="19"/>
    <w:p>
      <w:pPr>
        <w:jc w:val="both"/>
        <w:ind w:firstLine="656"/>
        <w:spacing w:after="0" w:line="232" w:lineRule="auto"/>
        <w:tabs>
          <w:tab w:leader="none" w:pos="977"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Corporate Transactions</w:t>
      </w:r>
      <w:r>
        <w:rPr>
          <w:rFonts w:ascii="Arial" w:cs="Arial" w:eastAsia="Arial" w:hAnsi="Arial"/>
          <w:sz w:val="19"/>
          <w:szCs w:val="19"/>
          <w:color w:val="auto"/>
        </w:rPr>
        <w:t>. If the Company is to be consolidated with or acquired by another entity in a merger,</w:t>
      </w:r>
      <w:r>
        <w:rPr>
          <w:rFonts w:ascii="Arial" w:cs="Arial" w:eastAsia="Arial" w:hAnsi="Arial"/>
          <w:sz w:val="22"/>
          <w:szCs w:val="22"/>
          <w:color w:val="auto"/>
        </w:rPr>
        <w:t xml:space="preserve"> </w:t>
      </w:r>
      <w:r>
        <w:rPr>
          <w:rFonts w:ascii="Arial" w:cs="Arial" w:eastAsia="Arial" w:hAnsi="Arial"/>
          <w:sz w:val="19"/>
          <w:szCs w:val="19"/>
          <w:color w:val="auto"/>
        </w:rPr>
        <w:t>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w:t>
      </w:r>
    </w:p>
    <w:p>
      <w:pPr>
        <w:spacing w:after="0" w:line="146" w:lineRule="exact"/>
        <w:rPr>
          <w:rFonts w:ascii="Arial" w:cs="Arial" w:eastAsia="Arial" w:hAnsi="Arial"/>
          <w:sz w:val="20"/>
          <w:szCs w:val="20"/>
          <w:color w:val="auto"/>
        </w:rPr>
      </w:pPr>
    </w:p>
    <w:p>
      <w:pPr>
        <w:jc w:val="both"/>
        <w:ind w:firstLine="1304"/>
        <w:spacing w:after="0" w:line="225" w:lineRule="auto"/>
        <w:tabs>
          <w:tab w:leader="none" w:pos="1545" w:val="left"/>
        </w:tabs>
        <w:numPr>
          <w:ilvl w:val="1"/>
          <w:numId w:val="29"/>
        </w:numPr>
        <w:rPr>
          <w:rFonts w:ascii="Arial" w:cs="Arial" w:eastAsia="Arial" w:hAnsi="Arial"/>
          <w:sz w:val="20"/>
          <w:szCs w:val="20"/>
          <w:color w:val="auto"/>
        </w:rPr>
      </w:pPr>
      <w:r>
        <w:rPr>
          <w:rFonts w:ascii="Arial" w:cs="Arial" w:eastAsia="Arial" w:hAnsi="Arial"/>
          <w:sz w:val="20"/>
          <w:szCs w:val="20"/>
          <w:color w:val="auto"/>
        </w:rPr>
        <w:t>as to outstanding Restricted Stock Unit Awards, either (a) make appropriate provision for the continuation of such Restricted Stock Unit Awards by substituting on an equitable basis for the Shares then subject to such Restricted Stock Unit Awards either the consideration payable with respect to the outstanding shares of Common Stock in connection with the Corporate Transaction or securities of any successor or acquiring entity; or (b) terminate such Restricted Stock Unit Awards in exchange for payment of an amount equal to the consideration payable upon consummation of such Corporate Transaction to a holder of the number of shares of Common Stock which would have been issued pursuant to such Restricted Stock Unit Award. For purposes of determining the payments to be made in the case of a Corporate Transaction the consideration for which, in whole or in part, is other than cash, the consideration other than cash shall be valued at the fair value thereof as determined in good faith by the Board of Directors.</w:t>
      </w:r>
    </w:p>
    <w:p>
      <w:pPr>
        <w:spacing w:after="0" w:line="152" w:lineRule="exact"/>
        <w:rPr>
          <w:rFonts w:ascii="Arial" w:cs="Arial" w:eastAsia="Arial" w:hAnsi="Arial"/>
          <w:sz w:val="20"/>
          <w:szCs w:val="20"/>
          <w:color w:val="auto"/>
        </w:rPr>
      </w:pPr>
    </w:p>
    <w:p>
      <w:pPr>
        <w:jc w:val="both"/>
        <w:ind w:firstLine="1304"/>
        <w:spacing w:after="0" w:line="228" w:lineRule="auto"/>
        <w:tabs>
          <w:tab w:leader="none" w:pos="1589" w:val="left"/>
        </w:tabs>
        <w:numPr>
          <w:ilvl w:val="1"/>
          <w:numId w:val="29"/>
        </w:numPr>
        <w:rPr>
          <w:rFonts w:ascii="Arial" w:cs="Arial" w:eastAsia="Arial" w:hAnsi="Arial"/>
          <w:sz w:val="20"/>
          <w:szCs w:val="20"/>
          <w:color w:val="auto"/>
        </w:rPr>
      </w:pPr>
      <w:r>
        <w:rPr>
          <w:rFonts w:ascii="Arial" w:cs="Arial" w:eastAsia="Arial" w:hAnsi="Arial"/>
          <w:sz w:val="20"/>
          <w:szCs w:val="20"/>
          <w:color w:val="auto"/>
        </w:rPr>
        <w:t>as to outstanding Restricted Stock Grants either, (a) make appropriate provision for the continuation of such Restricted Stock Grants on the same terms and conditions by substituting on an equitable basis for the Shares then subject to such Restricted Stock Grants either the consideration payable with respect to the outstanding Shares of Common Stock in connection with the Corporate Transaction or securities of any successor or acquiring entity; or (b) terminate such Restricted Stock Grants in exchange for payment of an amount equal to the consideration payable upon consummation of such Corporate Transaction to a holder of the number of shares of Common Stock comprising such Restricted Stock Grant; and</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taking any of the actions permitted under this Paragraph 18(b), the Administrator shall not be obligated by the</w:t>
      </w:r>
    </w:p>
    <w:p>
      <w:pPr>
        <w:spacing w:after="0" w:line="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Plan to treat all Stock Rights, all Stock Rights held by a Participant, or all Stock Rights of the same type, identically. The Administrator or the Successor Board shall determine the specific adjustments to be made under this Paragraph 18, including,</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but not limited to the effect of any, Corporate Transaction or Change of Control and, subject to Paragraph 4, its determination shall be conclusive.</w:t>
      </w:r>
    </w:p>
    <w:p>
      <w:pPr>
        <w:spacing w:after="0" w:line="127" w:lineRule="exact"/>
        <w:rPr>
          <w:sz w:val="20"/>
          <w:szCs w:val="20"/>
          <w:color w:val="auto"/>
        </w:rPr>
      </w:pPr>
    </w:p>
    <w:p>
      <w:pPr>
        <w:jc w:val="both"/>
        <w:ind w:firstLine="656"/>
        <w:spacing w:after="0" w:line="237" w:lineRule="auto"/>
        <w:tabs>
          <w:tab w:leader="none" w:pos="938" w:val="left"/>
        </w:tabs>
        <w:numPr>
          <w:ilvl w:val="1"/>
          <w:numId w:val="30"/>
        </w:numPr>
        <w:rPr>
          <w:rFonts w:ascii="Arial" w:cs="Arial" w:eastAsia="Arial" w:hAnsi="Arial"/>
          <w:sz w:val="20"/>
          <w:szCs w:val="20"/>
          <w:color w:val="auto"/>
        </w:rPr>
      </w:pPr>
      <w:r>
        <w:rPr>
          <w:rFonts w:ascii="Arial" w:cs="Arial" w:eastAsia="Arial" w:hAnsi="Arial"/>
          <w:sz w:val="22"/>
          <w:szCs w:val="22"/>
          <w:u w:val="single" w:color="auto"/>
          <w:color w:val="auto"/>
        </w:rPr>
        <w:t>Recapitalization or Reorganization</w:t>
      </w:r>
      <w:r>
        <w:rPr>
          <w:rFonts w:ascii="Arial" w:cs="Arial" w:eastAsia="Arial" w:hAnsi="Arial"/>
          <w:sz w:val="19"/>
          <w:szCs w:val="19"/>
          <w:color w:val="auto"/>
        </w:rPr>
        <w:t>. In the event of a recapitalization or reorganization of the Company other than</w:t>
      </w:r>
      <w:r>
        <w:rPr>
          <w:rFonts w:ascii="Arial" w:cs="Arial" w:eastAsia="Arial" w:hAnsi="Arial"/>
          <w:sz w:val="22"/>
          <w:szCs w:val="22"/>
          <w:color w:val="auto"/>
        </w:rPr>
        <w:t xml:space="preserve"> </w:t>
      </w:r>
      <w:r>
        <w:rPr>
          <w:rFonts w:ascii="Arial" w:cs="Arial" w:eastAsia="Arial" w:hAnsi="Arial"/>
          <w:sz w:val="19"/>
          <w:szCs w:val="19"/>
          <w:color w:val="auto"/>
        </w:rPr>
        <w:t>a Corporate Transaction pursuant to which securities of the Company or of another corporation are issued with respect to the outstanding shares of Common Stock, a Participant shall be entitled to receive after the recapitalization or reorganization for the price paid, if any, the number of replacement securities which would have been received if such Shares had been issued prior to such recapitalization or reorganization.</w:t>
      </w:r>
    </w:p>
    <w:p>
      <w:pPr>
        <w:spacing w:after="0" w:line="129" w:lineRule="exact"/>
        <w:rPr>
          <w:rFonts w:ascii="Arial" w:cs="Arial" w:eastAsia="Arial" w:hAnsi="Arial"/>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2"/>
          <w:szCs w:val="22"/>
          <w:u w:val="single" w:color="auto"/>
          <w:color w:val="auto"/>
        </w:rPr>
        <w:t>ISSUANCES OF SECURITIES.</w:t>
      </w:r>
    </w:p>
    <w:p>
      <w:pPr>
        <w:spacing w:after="0" w:line="143" w:lineRule="exact"/>
        <w:rPr>
          <w:sz w:val="20"/>
          <w:szCs w:val="20"/>
          <w:color w:val="auto"/>
        </w:rPr>
      </w:pPr>
    </w:p>
    <w:p>
      <w:pPr>
        <w:ind w:firstLine="648"/>
        <w:spacing w:after="0" w:line="239" w:lineRule="auto"/>
        <w:rPr>
          <w:sz w:val="20"/>
          <w:szCs w:val="20"/>
          <w:color w:val="auto"/>
        </w:rPr>
      </w:pPr>
      <w:r>
        <w:rPr>
          <w:rFonts w:ascii="Arial" w:cs="Arial" w:eastAsia="Arial" w:hAnsi="Arial"/>
          <w:sz w:val="19"/>
          <w:szCs w:val="19"/>
          <w:color w:val="auto"/>
        </w:rPr>
        <w:t>Except as expressly provided herein, no issuance by the Company of shares of stock of any class, or securities convertible into shares of stock of any class, shall affect, and no adjustment by reason thereof shall be made with respect to, the</w:t>
      </w:r>
    </w:p>
    <w:p>
      <w:pPr>
        <w:spacing w:after="0" w:line="226" w:lineRule="auto"/>
        <w:rPr>
          <w:sz w:val="20"/>
          <w:szCs w:val="20"/>
          <w:color w:val="auto"/>
        </w:rPr>
      </w:pPr>
      <w:r>
        <w:rPr>
          <w:rFonts w:ascii="Arial" w:cs="Arial" w:eastAsia="Arial" w:hAnsi="Arial"/>
          <w:sz w:val="20"/>
          <w:szCs w:val="20"/>
          <w:color w:val="auto"/>
        </w:rPr>
        <w:t>number or price of shares subject to Stock Rights. Except as expressly provided herein, no adjustments shall be made for</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dividends paid in cash or in property (including without limitation, securities) of the Company prior to any issuance of Shares pursuant to a Stock Right.</w:t>
      </w:r>
    </w:p>
    <w:p>
      <w:pPr>
        <w:spacing w:after="0" w:line="12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0"/>
          <w:szCs w:val="20"/>
          <w:color w:val="auto"/>
        </w:rPr>
      </w:pPr>
      <w:r>
        <w:rPr>
          <w:rFonts w:ascii="Arial" w:cs="Arial" w:eastAsia="Arial" w:hAnsi="Arial"/>
          <w:sz w:val="22"/>
          <w:szCs w:val="22"/>
          <w:u w:val="single" w:color="auto"/>
          <w:color w:val="auto"/>
        </w:rPr>
        <w:t>FRACTIONAL SHARES.</w:t>
      </w:r>
    </w:p>
    <w:p>
      <w:pPr>
        <w:spacing w:after="0" w:line="143"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No fractional shares shall be issued under the Plan and the Participant shall receive from the Company cash in lieu of such fractional shares equal to the Fair Market Value thereof.</w:t>
      </w:r>
    </w:p>
    <w:p>
      <w:pPr>
        <w:spacing w:after="0" w:line="12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0"/>
          <w:szCs w:val="20"/>
          <w:color w:val="auto"/>
        </w:rPr>
      </w:pPr>
      <w:r>
        <w:rPr>
          <w:rFonts w:ascii="Arial" w:cs="Arial" w:eastAsia="Arial" w:hAnsi="Arial"/>
          <w:sz w:val="22"/>
          <w:szCs w:val="22"/>
          <w:u w:val="single" w:color="auto"/>
          <w:color w:val="auto"/>
        </w:rPr>
        <w:t>WITHHOLDING.</w:t>
      </w:r>
    </w:p>
    <w:p>
      <w:pPr>
        <w:sectPr>
          <w:pgSz w:w="11900" w:h="16838" w:orient="portrait"/>
          <w:cols w:equalWidth="0" w:num="1">
            <w:col w:w="11240"/>
          </w:cols>
          <w:pgMar w:left="320" w:top="1409"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20"/>
          <w:szCs w:val="20"/>
          <w:color w:val="auto"/>
        </w:rPr>
        <w:t>In the event that any federal, state, or local income taxes, employment taxes, Federal Insurance Contributions Act</w:t>
      </w:r>
    </w:p>
    <w:p>
      <w:pPr>
        <w:spacing w:after="0" w:line="4"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withholdings or other amounts are required by applicable law or governmental regulation to be withheld from the Participant’s salary, wages or other remuneration in connection with the issuance of a Stock Right or Shares under the Plan or for any other</w:t>
      </w:r>
    </w:p>
    <w:p>
      <w:pPr>
        <w:spacing w:after="0" w:line="226" w:lineRule="auto"/>
        <w:rPr>
          <w:sz w:val="20"/>
          <w:szCs w:val="20"/>
          <w:color w:val="auto"/>
        </w:rPr>
      </w:pPr>
      <w:r>
        <w:rPr>
          <w:rFonts w:ascii="Arial" w:cs="Arial" w:eastAsia="Arial" w:hAnsi="Arial"/>
          <w:sz w:val="20"/>
          <w:szCs w:val="20"/>
          <w:color w:val="auto"/>
        </w:rPr>
        <w:t>reason required by law, the Company may withhold from the Participant’s compensation, if any, or may require that the</w:t>
      </w:r>
    </w:p>
    <w:p>
      <w:pPr>
        <w:spacing w:after="0" w:line="218" w:lineRule="auto"/>
        <w:rPr>
          <w:sz w:val="20"/>
          <w:szCs w:val="20"/>
          <w:color w:val="auto"/>
        </w:rPr>
      </w:pPr>
      <w:r>
        <w:rPr>
          <w:rFonts w:ascii="Arial" w:cs="Arial" w:eastAsia="Arial" w:hAnsi="Arial"/>
          <w:sz w:val="20"/>
          <w:szCs w:val="20"/>
          <w:color w:val="auto"/>
        </w:rPr>
        <w:t>Participant advance in cash to the Company, or to any Affiliate of the Company which employs or employed the Participant, the statutory minimum amount of such withholdings unless a different withholding arrangement, including the use of shares of the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Company’s Common Stock or a promissory note, is authorized by the Administrator (and permitted by law). For purposes hereof, the fair market value of the shares withheld for purposes of payroll withholding shall be determined in the manner set</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forth under the definition of Fair Market Value provided in Paragraph 1 above, as of the most recent practicable date. If the Fair Market Value of the shares withheld is less than the amount of payroll withholdings required, the Participant may be required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advance the difference in cash to the Company or the Affiliate employer.</w:t>
      </w:r>
    </w:p>
    <w:p>
      <w:pPr>
        <w:spacing w:after="0" w:line="13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2"/>
          <w:szCs w:val="22"/>
          <w:u w:val="single" w:color="auto"/>
          <w:color w:val="auto"/>
        </w:rPr>
        <w:t>TERMINATION OF THE PLAN.</w:t>
      </w:r>
    </w:p>
    <w:p>
      <w:pPr>
        <w:spacing w:after="0" w:line="130"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The Plan will terminate on September 14, 2027, the date which is ten years from the earlier of the date of its adoption by the Board of Directors and the date of its approval by the shareholders of the Company. The Plan may be terminated at an</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earlier date by vote of the shareholders or the Board of Directors of the Company; provided, however, that any such earlier termination shall not affect any Agreements executed prior to the effective date of such termination. Termination of the Plan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not affect any Stock Rights theretofore granted.</w:t>
      </w:r>
    </w:p>
    <w:p>
      <w:pPr>
        <w:spacing w:after="0" w:line="13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0"/>
          <w:szCs w:val="20"/>
          <w:color w:val="auto"/>
        </w:rPr>
      </w:pPr>
      <w:r>
        <w:rPr>
          <w:rFonts w:ascii="Arial" w:cs="Arial" w:eastAsia="Arial" w:hAnsi="Arial"/>
          <w:sz w:val="22"/>
          <w:szCs w:val="22"/>
          <w:u w:val="single" w:color="auto"/>
          <w:color w:val="auto"/>
        </w:rPr>
        <w:t>AMENDMENT OF THE PLAN AND AGREEMENTS.</w:t>
      </w:r>
    </w:p>
    <w:p>
      <w:pPr>
        <w:spacing w:after="0" w:line="13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Plan may be amended by the shareholders of the Company. The Plan may also be amended by the Administrator; provided that any amendment approved by the Administrator which the Administrator determines is of a scope that requires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shareholder approval shall be subject to obtaining such shareholder approval. Any modification or amendment of the Plan shall not, without the consent of a Participant, adversely affect his or her rights under a Stock Right previously granted to him or her.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1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2"/>
          <w:szCs w:val="22"/>
          <w:u w:val="single" w:color="auto"/>
          <w:color w:val="auto"/>
        </w:rPr>
        <w:t>EMPLOYMENT OR OTHER RELATIONSHIP.</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Nothing in this Plan or any Agreement shall be deemed to prevent the Company or an Affiliate from terminating the</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employment, consultancy or director status of a Participant, nor to prevent a Participant from terminating his or her own employment, consultancy or director status or to give any Participant a right to be retained in employment or other service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 or any Affiliate for any period of time.</w:t>
      </w:r>
    </w:p>
    <w:p>
      <w:pPr>
        <w:spacing w:after="0" w:line="13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2"/>
          <w:szCs w:val="22"/>
          <w:u w:val="single" w:color="auto"/>
          <w:color w:val="auto"/>
        </w:rPr>
        <w:t>SECTION 409A.</w:t>
      </w:r>
    </w:p>
    <w:p>
      <w:pPr>
        <w:spacing w:after="0" w:line="130"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If a Participant is a “specified employee” as defined in Section 409A of the Code (and as applied according to procedures of the Company and its Affiliates) as of his separation from service, to the extent any payment under this Plan or pursuant to the</w:t>
      </w:r>
    </w:p>
    <w:p>
      <w:pPr>
        <w:spacing w:after="0" w:line="218" w:lineRule="auto"/>
        <w:rPr>
          <w:sz w:val="20"/>
          <w:szCs w:val="20"/>
          <w:color w:val="auto"/>
        </w:rPr>
      </w:pPr>
      <w:r>
        <w:rPr>
          <w:rFonts w:ascii="Arial" w:cs="Arial" w:eastAsia="Arial" w:hAnsi="Arial"/>
          <w:sz w:val="20"/>
          <w:szCs w:val="20"/>
          <w:color w:val="auto"/>
        </w:rPr>
        <w:t>grant of a Restricted Stock Unit Award constitutes deferred compensation (after taking into account any applicable exemptions from Section 409A of the Code), and to the extent required by Section 409A of the Code, no payments due under this Plan or</w:t>
      </w:r>
    </w:p>
    <w:p>
      <w:pPr>
        <w:spacing w:after="0" w:line="226" w:lineRule="auto"/>
        <w:rPr>
          <w:sz w:val="20"/>
          <w:szCs w:val="20"/>
          <w:color w:val="auto"/>
        </w:rPr>
      </w:pPr>
      <w:r>
        <w:rPr>
          <w:rFonts w:ascii="Arial" w:cs="Arial" w:eastAsia="Arial" w:hAnsi="Arial"/>
          <w:sz w:val="20"/>
          <w:szCs w:val="20"/>
          <w:color w:val="auto"/>
        </w:rPr>
        <w:t>pursuant to a Restricted Stock Unit Award may be made until the earlier of: (i) the first day of the seventh month following the</w:t>
      </w:r>
    </w:p>
    <w:p>
      <w:pPr>
        <w:spacing w:after="0" w:line="218" w:lineRule="auto"/>
        <w:rPr>
          <w:sz w:val="20"/>
          <w:szCs w:val="20"/>
          <w:color w:val="auto"/>
        </w:rPr>
      </w:pPr>
      <w:r>
        <w:rPr>
          <w:rFonts w:ascii="Arial" w:cs="Arial" w:eastAsia="Arial" w:hAnsi="Arial"/>
          <w:sz w:val="20"/>
          <w:szCs w:val="20"/>
          <w:color w:val="auto"/>
        </w:rPr>
        <w:t>Participant’s separation from service, or (ii) the Participant’s date of death; provided, however, that any payments delayed during this six-month period shall be paid in the aggregate in a lump sum, without interest, on the first day of the seventh month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following the Participant’s separation from service.</w:t>
      </w:r>
    </w:p>
    <w:p>
      <w:pPr>
        <w:sectPr>
          <w:pgSz w:w="11900" w:h="16838" w:orient="portrait"/>
          <w:cols w:equalWidth="0" w:num="1">
            <w:col w:w="11240"/>
          </w:cols>
          <w:pgMar w:left="320" w:top="1400"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9"/>
          <w:szCs w:val="19"/>
          <w:color w:val="auto"/>
        </w:rPr>
        <w:t>The Administrator shall administer the Plan with a view toward ensuring that Stock Rights under the Plan that are subject</w:t>
      </w:r>
    </w:p>
    <w:p>
      <w:pPr>
        <w:spacing w:after="0" w:line="16"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to Section 409A of the Code comply with the requirements thereof, but neither the Administrator nor any member of the Board, nor the Company nor any of its Affiliates, nor any other person acting hereunder on behalf of the Company, the Administrator or</w:t>
      </w:r>
    </w:p>
    <w:p>
      <w:pPr>
        <w:spacing w:after="0" w:line="227" w:lineRule="auto"/>
        <w:rPr>
          <w:sz w:val="20"/>
          <w:szCs w:val="20"/>
          <w:color w:val="auto"/>
        </w:rPr>
      </w:pPr>
      <w:r>
        <w:rPr>
          <w:rFonts w:ascii="Arial" w:cs="Arial" w:eastAsia="Arial" w:hAnsi="Arial"/>
          <w:sz w:val="20"/>
          <w:szCs w:val="20"/>
          <w:color w:val="auto"/>
        </w:rPr>
        <w:t>the Board shall be liable to a Participant or any Survivor by reason of the acceleration of any income, or the imposition of any</w:t>
      </w:r>
    </w:p>
    <w:p>
      <w:pPr>
        <w:ind w:right="20"/>
        <w:spacing w:after="0" w:line="232" w:lineRule="auto"/>
        <w:rPr>
          <w:sz w:val="20"/>
          <w:szCs w:val="20"/>
          <w:color w:val="auto"/>
        </w:rPr>
      </w:pPr>
      <w:r>
        <w:rPr>
          <w:rFonts w:ascii="Arial" w:cs="Arial" w:eastAsia="Arial" w:hAnsi="Arial"/>
          <w:sz w:val="20"/>
          <w:szCs w:val="20"/>
          <w:color w:val="auto"/>
        </w:rPr>
        <w:t>additional tax or penalty, with respect to a Stock Right, whether by reason of a failure to satisfy the requirements of Section 409A of the Code or otherwise.</w:t>
      </w:r>
    </w:p>
    <w:p>
      <w:pPr>
        <w:spacing w:after="0" w:line="12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2"/>
          <w:szCs w:val="22"/>
          <w:u w:val="single" w:color="auto"/>
          <w:color w:val="auto"/>
        </w:rPr>
        <w:t>INDEMNITY.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Neither the Board nor the Administrator, nor any members of either, nor any employees of the Company or any parent,</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subsidiary, or other Affiliate, shall be liable for any act, omission, interpretation, construction or determination made in good faith in connection with their responsibilities with respect to this Plan, and the Company hereby agrees to indemnify the members of</w:t>
      </w:r>
    </w:p>
    <w:p>
      <w:pPr>
        <w:spacing w:after="0" w:line="227" w:lineRule="auto"/>
        <w:rPr>
          <w:sz w:val="20"/>
          <w:szCs w:val="20"/>
          <w:color w:val="auto"/>
        </w:rPr>
      </w:pPr>
      <w:r>
        <w:rPr>
          <w:rFonts w:ascii="Arial" w:cs="Arial" w:eastAsia="Arial" w:hAnsi="Arial"/>
          <w:sz w:val="20"/>
          <w:szCs w:val="20"/>
          <w:color w:val="auto"/>
        </w:rPr>
        <w:t>the Board, the members of the Committee, and the employees of the Company and its parent or subsidiaries in respect of any</w:t>
      </w:r>
    </w:p>
    <w:p>
      <w:pPr>
        <w:spacing w:after="0" w:line="232" w:lineRule="auto"/>
        <w:rPr>
          <w:sz w:val="20"/>
          <w:szCs w:val="20"/>
          <w:color w:val="auto"/>
        </w:rPr>
      </w:pPr>
      <w:r>
        <w:rPr>
          <w:rFonts w:ascii="Arial" w:cs="Arial" w:eastAsia="Arial" w:hAnsi="Arial"/>
          <w:sz w:val="20"/>
          <w:szCs w:val="20"/>
          <w:color w:val="auto"/>
        </w:rPr>
        <w:t>claim, loss, damage, or expense (including reasonable counsel fees) arising from any such act, omission, interpretation, construction or determination to the full extent permitted by law.</w:t>
      </w:r>
    </w:p>
    <w:p>
      <w:pPr>
        <w:spacing w:after="0" w:line="12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2"/>
          <w:szCs w:val="22"/>
          <w:u w:val="single" w:color="auto"/>
          <w:color w:val="auto"/>
        </w:rPr>
        <w:t>CLAWBACK.</w:t>
      </w:r>
    </w:p>
    <w:p>
      <w:pPr>
        <w:spacing w:after="0" w:line="143" w:lineRule="exact"/>
        <w:rPr>
          <w:sz w:val="20"/>
          <w:szCs w:val="20"/>
          <w:color w:val="auto"/>
        </w:rPr>
      </w:pPr>
    </w:p>
    <w:p>
      <w:pPr>
        <w:ind w:firstLine="648"/>
        <w:spacing w:after="0" w:line="227" w:lineRule="auto"/>
        <w:rPr>
          <w:sz w:val="20"/>
          <w:szCs w:val="20"/>
          <w:color w:val="auto"/>
        </w:rPr>
      </w:pPr>
      <w:r>
        <w:rPr>
          <w:rFonts w:ascii="Arial" w:cs="Arial" w:eastAsia="Arial" w:hAnsi="Arial"/>
          <w:sz w:val="20"/>
          <w:szCs w:val="20"/>
          <w:color w:val="auto"/>
        </w:rPr>
        <w:t>Notwithstanding anything to the contrary contained in this Plan, the Company may recover from a Participant any compensation received from any Stock Right (whether or not settled) or cause a Participant to forfeit any Stock Right (whether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not vested) in the event that the Company’s Clawback Policy then in effect is triggered.</w:t>
      </w:r>
    </w:p>
    <w:p>
      <w:pPr>
        <w:spacing w:after="0" w:line="13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20"/>
          <w:szCs w:val="20"/>
          <w:color w:val="auto"/>
        </w:rPr>
      </w:pPr>
      <w:r>
        <w:rPr>
          <w:rFonts w:ascii="Arial" w:cs="Arial" w:eastAsia="Arial" w:hAnsi="Arial"/>
          <w:sz w:val="22"/>
          <w:szCs w:val="22"/>
          <w:u w:val="single" w:color="auto"/>
          <w:color w:val="auto"/>
        </w:rPr>
        <w:t>GOVERNING LAW.</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This Plan shall be construed and enforced in accordance with the law of the State of Delaware.</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Roman"/>
      <w:start w:val="1"/>
    </w:lvl>
  </w:abstractNum>
  <w:abstractNum w:abstractNumId="3">
    <w:nsid w:val="721DA317"/>
    <w:multiLevelType w:val="hybridMultilevel"/>
    <w:lvl w:ilvl="0">
      <w:lvlJc w:val="left"/>
      <w:lvlText w:val="(%1)"/>
      <w:numFmt w:val="lowerRoman"/>
      <w:start w:val="3"/>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3"/>
    </w:lvl>
    <w:lvl w:ilvl="1">
      <w:lvlJc w:val="left"/>
      <w:lvlText w:val="(%2)"/>
      <w:numFmt w:val="lowerLetter"/>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2"/>
    </w:lvl>
    <w:lvl w:ilvl="1">
      <w:lvlJc w:val="left"/>
      <w:lvlText w:val="(%2)"/>
      <w:numFmt w:val="lowerRoman"/>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6"/>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decimal"/>
      <w:start w:val="7"/>
    </w:lvl>
  </w:abstractNum>
  <w:abstractNum w:abstractNumId="13">
    <w:nsid w:val="54E49EB4"/>
    <w:multiLevelType w:val="hybridMultilevel"/>
    <w:lvl w:ilvl="0">
      <w:lvlJc w:val="left"/>
      <w:lvlText w:val="%1."/>
      <w:numFmt w:val="decimal"/>
      <w:start w:val="8"/>
    </w:lvl>
  </w:abstractNum>
  <w:abstractNum w:abstractNumId="14">
    <w:nsid w:val="71F32454"/>
    <w:multiLevelType w:val="hybridMultilevel"/>
    <w:lvl w:ilvl="0">
      <w:lvlJc w:val="left"/>
      <w:lvlText w:val="%1."/>
      <w:numFmt w:val="decimal"/>
      <w:start w:val="9"/>
    </w:lvl>
  </w:abstractNum>
  <w:abstractNum w:abstractNumId="15">
    <w:nsid w:val="2CA88611"/>
    <w:multiLevelType w:val="hybridMultilevel"/>
    <w:lvl w:ilvl="0">
      <w:lvlJc w:val="left"/>
      <w:lvlText w:val="%1."/>
      <w:numFmt w:val="decimal"/>
      <w:start w:val="10"/>
    </w:lvl>
  </w:abstractNum>
  <w:abstractNum w:abstractNumId="16">
    <w:nsid w:val="836C40E"/>
    <w:multiLevelType w:val="hybridMultilevel"/>
    <w:lvl w:ilvl="0">
      <w:lvlJc w:val="left"/>
      <w:lvlText w:val="%1."/>
      <w:numFmt w:val="decimal"/>
      <w:start w:val="11"/>
    </w:lvl>
  </w:abstractNum>
  <w:abstractNum w:abstractNumId="17">
    <w:nsid w:val="2901D82"/>
    <w:multiLevelType w:val="hybridMultilevel"/>
    <w:lvl w:ilvl="0">
      <w:lvlJc w:val="left"/>
      <w:lvlText w:val="%1."/>
      <w:numFmt w:val="decimal"/>
      <w:start w:val="12"/>
    </w:lvl>
  </w:abstractNum>
  <w:abstractNum w:abstractNumId="18">
    <w:nsid w:val="3A95F874"/>
    <w:multiLevelType w:val="hybridMultilevel"/>
    <w:lvl w:ilvl="0">
      <w:lvlJc w:val="left"/>
      <w:lvlText w:val="%1."/>
      <w:numFmt w:val="decimal"/>
      <w:start w:val="13"/>
    </w:lvl>
  </w:abstractNum>
  <w:abstractNum w:abstractNumId="19">
    <w:nsid w:val="8138641"/>
    <w:multiLevelType w:val="hybridMultilevel"/>
    <w:lvl w:ilvl="0">
      <w:lvlJc w:val="left"/>
      <w:lvlText w:val="%1"/>
      <w:numFmt w:val="decimal"/>
      <w:start w:val="1"/>
    </w:lvl>
    <w:lvl w:ilvl="1">
      <w:lvlJc w:val="left"/>
      <w:lvlText w:val="(%2)"/>
      <w:numFmt w:val="lowerLetter"/>
      <w:start w:val="1"/>
    </w:lvl>
  </w:abstractNum>
  <w:abstractNum w:abstractNumId="20">
    <w:nsid w:val="1E7FF521"/>
    <w:multiLevelType w:val="hybridMultilevel"/>
    <w:lvl w:ilvl="0">
      <w:lvlJc w:val="left"/>
      <w:lvlText w:val="%1."/>
      <w:numFmt w:val="decimal"/>
      <w:start w:val="14"/>
    </w:lvl>
    <w:lvl w:ilvl="1">
      <w:lvlJc w:val="left"/>
      <w:lvlText w:val="%2"/>
      <w:numFmt w:val="lowerLetter"/>
      <w:start w:val="1"/>
    </w:lvl>
  </w:abstractNum>
  <w:abstractNum w:abstractNumId="21">
    <w:nsid w:val="7C3DBD3D"/>
    <w:multiLevelType w:val="hybridMultilevel"/>
    <w:lvl w:ilvl="0">
      <w:lvlJc w:val="left"/>
      <w:lvlText w:val="%1."/>
      <w:numFmt w:val="decimal"/>
      <w:start w:val="15"/>
    </w:lvl>
  </w:abstractNum>
  <w:abstractNum w:abstractNumId="22">
    <w:nsid w:val="737B8DDC"/>
    <w:multiLevelType w:val="hybridMultilevel"/>
    <w:lvl w:ilvl="0">
      <w:lvlJc w:val="left"/>
      <w:lvlText w:val="%1."/>
      <w:numFmt w:val="decimal"/>
      <w:start w:val="16"/>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decimal"/>
      <w:start w:val="1"/>
    </w:lvl>
    <w:lvl w:ilvl="1">
      <w:lvlJc w:val="left"/>
      <w:lvlText w:val="(%2)"/>
      <w:numFmt w:val="lowerLetter"/>
      <w:start w:val="2"/>
    </w:lvl>
  </w:abstractNum>
  <w:abstractNum w:abstractNumId="25">
    <w:nsid w:val="4516DDE9"/>
    <w:multiLevelType w:val="hybridMultilevel"/>
    <w:lvl w:ilvl="0">
      <w:lvlJc w:val="left"/>
      <w:lvlText w:val="%1."/>
      <w:numFmt w:val="decimal"/>
      <w:start w:val="17"/>
    </w:lvl>
    <w:lvl w:ilvl="1">
      <w:lvlJc w:val="left"/>
      <w:lvlText w:val="%2"/>
      <w:numFmt w:val="lowerLetter"/>
      <w:start w:val="1"/>
    </w:lvl>
  </w:abstractNum>
  <w:abstractNum w:abstractNumId="26">
    <w:nsid w:val="3006C83E"/>
    <w:multiLevelType w:val="hybridMultilevel"/>
    <w:lvl w:ilvl="0">
      <w:lvlJc w:val="left"/>
      <w:lvlText w:val="%1."/>
      <w:numFmt w:val="decimal"/>
      <w:start w:val="18"/>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2"/>
    </w:lvl>
    <w:lvl w:ilvl="1">
      <w:lvlJc w:val="left"/>
      <w:lvlText w:val="(%2)"/>
      <w:numFmt w:val="lowerRoman"/>
      <w:start w:val="1"/>
    </w:lvl>
  </w:abstractNum>
  <w:abstractNum w:abstractNumId="29">
    <w:nsid w:val="5577F8E1"/>
    <w:multiLevelType w:val="hybridMultilevel"/>
    <w:lvl w:ilvl="0">
      <w:lvlJc w:val="left"/>
      <w:lvlText w:val="%1"/>
      <w:numFmt w:val="decimal"/>
      <w:start w:val="1"/>
    </w:lvl>
    <w:lvl w:ilvl="1">
      <w:lvlJc w:val="left"/>
      <w:lvlText w:val="(%2)"/>
      <w:numFmt w:val="lowerLetter"/>
      <w:start w:val="3"/>
    </w:lvl>
  </w:abstractNum>
  <w:abstractNum w:abstractNumId="30">
    <w:nsid w:val="440BADFC"/>
    <w:multiLevelType w:val="hybridMultilevel"/>
    <w:lvl w:ilvl="0">
      <w:lvlJc w:val="left"/>
      <w:lvlText w:val="%1."/>
      <w:numFmt w:val="decimal"/>
      <w:start w:val="19"/>
    </w:lvl>
    <w:lvl w:ilvl="1">
      <w:lvlJc w:val="left"/>
      <w:lvlText w:val="%2"/>
      <w:numFmt w:val="lowerLetter"/>
      <w:start w:val="1"/>
    </w:lvl>
  </w:abstractNum>
  <w:abstractNum w:abstractNumId="31">
    <w:nsid w:val="5072367"/>
    <w:multiLevelType w:val="hybridMultilevel"/>
    <w:lvl w:ilvl="0">
      <w:lvlJc w:val="left"/>
      <w:lvlText w:val="%1."/>
      <w:numFmt w:val="decimal"/>
      <w:start w:val="20"/>
    </w:lvl>
  </w:abstractNum>
  <w:abstractNum w:abstractNumId="32">
    <w:nsid w:val="3804823E"/>
    <w:multiLevelType w:val="hybridMultilevel"/>
    <w:lvl w:ilvl="0">
      <w:lvlJc w:val="left"/>
      <w:lvlText w:val="%1."/>
      <w:numFmt w:val="decimal"/>
      <w:start w:val="21"/>
    </w:lvl>
  </w:abstractNum>
  <w:abstractNum w:abstractNumId="33">
    <w:nsid w:val="77465F01"/>
    <w:multiLevelType w:val="hybridMultilevel"/>
    <w:lvl w:ilvl="0">
      <w:lvlJc w:val="left"/>
      <w:lvlText w:val="%1."/>
      <w:numFmt w:val="decimal"/>
      <w:start w:val="22"/>
    </w:lvl>
  </w:abstractNum>
  <w:abstractNum w:abstractNumId="34">
    <w:nsid w:val="7724C67E"/>
    <w:multiLevelType w:val="hybridMultilevel"/>
    <w:lvl w:ilvl="0">
      <w:lvlJc w:val="left"/>
      <w:lvlText w:val="%1."/>
      <w:numFmt w:val="decimal"/>
      <w:start w:val="23"/>
    </w:lvl>
  </w:abstractNum>
  <w:abstractNum w:abstractNumId="35">
    <w:nsid w:val="5C482A97"/>
    <w:multiLevelType w:val="hybridMultilevel"/>
    <w:lvl w:ilvl="0">
      <w:lvlJc w:val="left"/>
      <w:lvlText w:val="%1."/>
      <w:numFmt w:val="decimal"/>
      <w:start w:val="24"/>
    </w:lvl>
  </w:abstractNum>
  <w:abstractNum w:abstractNumId="36">
    <w:nsid w:val="2463B9EA"/>
    <w:multiLevelType w:val="hybridMultilevel"/>
    <w:lvl w:ilvl="0">
      <w:lvlJc w:val="left"/>
      <w:lvlText w:val="%1."/>
      <w:numFmt w:val="decimal"/>
      <w:start w:val="25"/>
    </w:lvl>
  </w:abstractNum>
  <w:abstractNum w:abstractNumId="37">
    <w:nsid w:val="5E884ADC"/>
    <w:multiLevelType w:val="hybridMultilevel"/>
    <w:lvl w:ilvl="0">
      <w:lvlJc w:val="left"/>
      <w:lvlText w:val="%1."/>
      <w:numFmt w:val="decimal"/>
      <w:start w:val="26"/>
    </w:lvl>
  </w:abstractNum>
  <w:abstractNum w:abstractNumId="38">
    <w:nsid w:val="51EAD36B"/>
    <w:multiLevelType w:val="hybridMultilevel"/>
    <w:lvl w:ilvl="0">
      <w:lvlJc w:val="left"/>
      <w:lvlText w:val="%1."/>
      <w:numFmt w:val="decimal"/>
      <w:start w:val="27"/>
    </w:lvl>
  </w:abstractNum>
  <w:abstractNum w:abstractNumId="39">
    <w:nsid w:val="2D517796"/>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eg"/><Relationship Id="rId17" Type="http://schemas.openxmlformats.org/officeDocument/2006/relationships/image" Target="media/image5.jpeg"/><Relationship Id="rId8" Type="http://schemas.openxmlformats.org/officeDocument/2006/relationships/hyperlink" Target="https://www.sec.gov/Archives/edgar/data/899923/000089992323000058/mgirestatedcertificateof.htm" TargetMode="External"/><Relationship Id="rId9" Type="http://schemas.openxmlformats.org/officeDocument/2006/relationships/hyperlink" Target="https://www.sec.gov/Archives/edgar/data/899923/000119312520269801/d102302dex31.htm" TargetMode="External"/><Relationship Id="rId10" Type="http://schemas.openxmlformats.org/officeDocument/2006/relationships/hyperlink" Target="https://www.sec.gov/Archives/edgar/data/899923/000119312511223211/dex41.htm" TargetMode="External"/><Relationship Id="rId11" Type="http://schemas.openxmlformats.org/officeDocument/2006/relationships/hyperlink" Target="https://www.sec.gov/Archives/edgar/data/899923/000156459020040011/mygn-ex1011_355.htm" TargetMode="External"/><Relationship Id="rId12" Type="http://schemas.openxmlformats.org/officeDocument/2006/relationships/hyperlink" Target="https://www.sec.gov/Archives/edgar/data/899923/000089992323000035/restrictedstockun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2025-06-05T15:21:57Z</dcterms:created>
  <dcterms:modified xsi:type="dcterms:W3CDTF">2025-06-05T15:21:57Z</dcterms:modified>
</cp:coreProperties>
</file>