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103.xml.htm"/>
      <w:bookmarkStart w:id="1" w:name="kswkform4_17806911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Dreismann Heinrich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59,701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231,145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pursuant to the Issuer's 2026 Employee, Director and Consultant Equity Incentive Plan, as amended. Each restricted stock unit represents a contingent right to receive one share of the Issuer's common stock and vests upon the earlier of (a) the first anniversary of the date of grant or (b) the date of the next annual meeting of stockholders following such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Heinrich Dreismann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9372"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3389</Characters>
  <CharactersWithSpaces>3958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