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16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Commission file number:  0-26642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w:t>
      </w:r>
    </w:p>
    <w:p>
      <w:pPr>
        <w:pStyle w:val="TextBody"/>
        <w:bidi w:val="0"/>
        <w:spacing w:lineRule="auto" w:line="288" w:before="180" w:after="283"/>
        <w:jc w:val="center"/>
        <w:rPr>
          <w:rFonts w:ascii="Times New Roman;serif" w:hAnsi="Times New Roman;serif"/>
          <w:b/>
          <w:color w:val="000000"/>
          <w:sz w:val="40"/>
        </w:rPr>
      </w:pPr>
      <w:r>
        <w:rPr>
          <w:rFonts w:ascii="Times New Roman;serif" w:hAnsi="Times New Roman;serif"/>
          <w:b/>
          <w:color w:val="000000"/>
          <w:sz w:val="40"/>
        </w:rPr>
        <w:t>MYRIAD GENETICS,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of incorporation or organization)</w:t>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322 North 2200 West, Salt Lake City, UT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87-0494517</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p>
      <w:pPr>
        <w:pStyle w:val="TextBody"/>
        <w:bidi w:val="0"/>
        <w:spacing w:before="180" w:after="283"/>
        <w:jc w:val="center"/>
        <w:rPr/>
      </w:pPr>
      <w:r>
        <w:rPr/>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84116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60" w:after="283"/>
        <w:jc w:val="center"/>
        <w:rPr/>
      </w:pPr>
      <w:r>
        <w:rPr>
          <w:rFonts w:ascii="Times New Roman;serif" w:hAnsi="Times New Roman;serif"/>
          <w:b/>
          <w:color w:val="000000"/>
          <w:sz w:val="20"/>
        </w:rPr>
        <w:t xml:space="preserve">Registrant's telephone number, including area code: </w:t>
      </w:r>
      <w:r>
        <w:rPr>
          <w:rFonts w:ascii="Times New Roman;serif" w:hAnsi="Times New Roman;serif"/>
          <w:b/>
          <w:color w:val="000000"/>
          <w:sz w:val="20"/>
          <w:u w:val="single"/>
        </w:rPr>
        <w:t>(801) 584-3600</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18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53" w:type="dxa"/>
        <w:jc w:val="left"/>
        <w:tblInd w:w="0" w:type="dxa"/>
        <w:tblLayout w:type="fixed"/>
        <w:tblCellMar>
          <w:top w:w="28" w:type="dxa"/>
          <w:left w:w="28" w:type="dxa"/>
          <w:bottom w:w="28" w:type="dxa"/>
          <w:right w:w="28" w:type="dxa"/>
        </w:tblCellMar>
      </w:tblPr>
      <w:tblGrid>
        <w:gridCol w:w="986"/>
        <w:gridCol w:w="867"/>
        <w:gridCol w:w="877"/>
        <w:gridCol w:w="109"/>
        <w:gridCol w:w="109"/>
        <w:gridCol w:w="109"/>
        <w:gridCol w:w="314"/>
        <w:gridCol w:w="314"/>
        <w:gridCol w:w="316"/>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MYGN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6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July 28, 2026, the registrant had 95,649,645 shares of $0.01 par value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INDEX TO FORM 10-Q</w:t>
      </w:r>
    </w:p>
    <w:tbl>
      <w:tblPr>
        <w:tblW w:w="10205" w:type="dxa"/>
        <w:jc w:val="left"/>
        <w:tblInd w:w="0" w:type="dxa"/>
        <w:tblLayout w:type="fixed"/>
        <w:tblCellMar>
          <w:top w:w="28" w:type="dxa"/>
          <w:left w:w="28" w:type="dxa"/>
          <w:bottom w:w="28" w:type="dxa"/>
          <w:right w:w="28" w:type="dxa"/>
        </w:tblCellMar>
      </w:tblPr>
      <w:tblGrid>
        <w:gridCol w:w="269"/>
        <w:gridCol w:w="236"/>
        <w:gridCol w:w="237"/>
        <w:gridCol w:w="3033"/>
        <w:gridCol w:w="2969"/>
        <w:gridCol w:w="2977"/>
        <w:gridCol w:w="140"/>
        <w:gridCol w:w="140"/>
        <w:gridCol w:w="204"/>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Page</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e3fa2d3559845bd932a74e45da6bc38_10">
              <w:r>
                <w:rPr>
                  <w:rStyle w:val="InternetLink"/>
                  <w:rFonts w:ascii="Times New Roman;serif" w:hAnsi="Times New Roman;serif"/>
                  <w:b w:val="false"/>
                  <w:strike w:val="false"/>
                  <w:dstrike w:val="false"/>
                  <w:color w:val="000000"/>
                  <w:sz w:val="20"/>
                  <w:u w:val="none"/>
                  <w:effect w:val="none"/>
                </w:rPr>
                <w:t>PART I - Financial Information</w:t>
              </w:r>
            </w:hyperlink>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3">
              <w:r>
                <w:rPr>
                  <w:rStyle w:val="InternetLink"/>
                  <w:rFonts w:ascii="Times New Roman;serif" w:hAnsi="Times New Roman;serif"/>
                  <w:b w:val="false"/>
                  <w:strike w:val="false"/>
                  <w:dstrike w:val="false"/>
                  <w:color w:val="000000"/>
                  <w:sz w:val="20"/>
                  <w:u w:val="none"/>
                  <w:effect w:val="none"/>
                </w:rPr>
                <w:t>Item 1.</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3">
              <w:r>
                <w:rPr>
                  <w:rStyle w:val="InternetLink"/>
                  <w:rFonts w:ascii="Times New Roman;serif" w:hAnsi="Times New Roman;serif"/>
                  <w:b w:val="false"/>
                  <w:strike w:val="false"/>
                  <w:dstrike w:val="false"/>
                  <w:color w:val="000000"/>
                  <w:sz w:val="20"/>
                  <w:u w:val="none"/>
                  <w:effect w:val="none"/>
                </w:rPr>
                <w:t>Financial Statements</w:t>
              </w:r>
            </w:hyperlink>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6">
              <w:r>
                <w:rPr>
                  <w:rStyle w:val="InternetLink"/>
                  <w:rFonts w:ascii="Times New Roman;serif" w:hAnsi="Times New Roman;serif"/>
                  <w:b w:val="false"/>
                  <w:color w:val="0000FF"/>
                  <w:sz w:val="20"/>
                  <w:u w:val="single"/>
                </w:rPr>
                <w:t>Condensed Consolidated Balance Sheets as of</w:t>
              </w:r>
            </w:hyperlink>
            <w:r>
              <w:rPr>
                <w:color w:val="0000FF"/>
              </w:rPr>
              <w:t xml:space="preserve"> </w:t>
            </w:r>
            <w:r>
              <w:rPr>
                <w:rFonts w:ascii="Times New Roman;serif" w:hAnsi="Times New Roman;serif"/>
                <w:b w:val="false"/>
                <w:color w:val="0000FF"/>
                <w:sz w:val="20"/>
                <w:u w:val="single"/>
              </w:rPr>
              <w:t>June 30, 2026</w:t>
            </w:r>
            <w:hyperlink w:anchor="i2e3fa2d3559845bd932a74e45da6bc38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December 31, 2025</w:t>
            </w:r>
            <w:hyperlink w:anchor="i2e3fa2d3559845bd932a74e45da6bc38_16">
              <w:r>
                <w:rPr>
                  <w:rStyle w:val="InternetLink"/>
                  <w:rFonts w:ascii="Times New Roman;serif" w:hAnsi="Times New Roman;serif"/>
                  <w:b w:val="false"/>
                  <w:color w:val="000080"/>
                  <w:sz w:val="20"/>
                  <w:u w:val="single"/>
                </w:rPr>
                <w:t xml:space="preserve"> (unaudited)</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6">
              <w:r>
                <w:rPr>
                  <w:rStyle w:val="InternetLink"/>
                  <w:rFonts w:ascii="Times New Roman;serif" w:hAnsi="Times New Roman;serif"/>
                  <w:b w:val="false"/>
                  <w:strike w:val="false"/>
                  <w:dstrike w:val="false"/>
                  <w:color w:val="000000"/>
                  <w:sz w:val="20"/>
                  <w:u w:val="none"/>
                  <w:effect w:val="none"/>
                </w:rPr>
                <w:t>4</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9">
              <w:r>
                <w:rPr>
                  <w:rStyle w:val="InternetLink"/>
                  <w:rFonts w:ascii="Times New Roman;serif" w:hAnsi="Times New Roman;serif"/>
                  <w:b w:val="false"/>
                  <w:color w:val="000080"/>
                  <w:sz w:val="20"/>
                  <w:u w:val="single"/>
                </w:rPr>
                <w:t>Condensed Consolidated Statements of Operations for the</w:t>
              </w:r>
            </w:hyperlink>
            <w:r>
              <w:rPr>
                <w:rFonts w:ascii="Times New Roman;serif" w:hAnsi="Times New Roman;serif"/>
                <w:b w:val="false"/>
                <w:color w:val="0000FF"/>
                <w:sz w:val="20"/>
                <w:u w:val="single"/>
              </w:rPr>
              <w:t xml:space="preserve"> three and six months ended June 30, 2026 </w:t>
            </w:r>
            <w:hyperlink w:anchor="i2e3fa2d3559845bd932a74e45da6bc38_19">
              <w:r>
                <w:rPr>
                  <w:rStyle w:val="InternetLink"/>
                  <w:rFonts w:ascii="Times New Roman;serif" w:hAnsi="Times New Roman;serif"/>
                  <w:b w:val="false"/>
                  <w:color w:val="000080"/>
                  <w:sz w:val="20"/>
                  <w:u w:val="single"/>
                </w:rPr>
                <w:t>and</w:t>
              </w:r>
            </w:hyperlink>
            <w:r>
              <w:rPr>
                <w:rFonts w:ascii="Times New Roman;serif" w:hAnsi="Times New Roman;serif"/>
                <w:b w:val="false"/>
                <w:color w:val="0000FF"/>
                <w:sz w:val="20"/>
                <w:u w:val="single"/>
              </w:rPr>
              <w:t xml:space="preserve"> 2025 </w:t>
            </w:r>
            <w:hyperlink w:anchor="i2e3fa2d3559845bd932a74e45da6bc38_19">
              <w:r>
                <w:rPr>
                  <w:rStyle w:val="InternetLink"/>
                  <w:rFonts w:ascii="Times New Roman;serif" w:hAnsi="Times New Roman;serif"/>
                  <w:b w:val="false"/>
                  <w:color w:val="000080"/>
                  <w:sz w:val="20"/>
                  <w:u w:val="single"/>
                </w:rPr>
                <w:t>(unaudited)</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9">
              <w:r>
                <w:rPr>
                  <w:rStyle w:val="InternetLink"/>
                  <w:rFonts w:ascii="Times New Roman;serif" w:hAnsi="Times New Roman;serif"/>
                  <w:b w:val="false"/>
                  <w:strike w:val="false"/>
                  <w:dstrike w:val="false"/>
                  <w:color w:val="000000"/>
                  <w:sz w:val="20"/>
                  <w:u w:val="none"/>
                  <w:effect w:val="none"/>
                </w:rPr>
                <w:t>5</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22">
              <w:r>
                <w:rPr>
                  <w:rStyle w:val="InternetLink"/>
                  <w:rFonts w:ascii="Times New Roman;serif" w:hAnsi="Times New Roman;serif"/>
                  <w:b w:val="false"/>
                  <w:color w:val="000080"/>
                  <w:sz w:val="20"/>
                  <w:u w:val="single"/>
                </w:rPr>
                <w:t xml:space="preserve">Condensed Consolidated Statements of Comprehensive </w:t>
              </w:r>
            </w:hyperlink>
            <w:hyperlink w:anchor="i2e3fa2d3559845bd932a74e45da6bc38_22">
              <w:r>
                <w:rPr>
                  <w:rStyle w:val="InternetLink"/>
                  <w:rFonts w:ascii="Times New Roman;serif" w:hAnsi="Times New Roman;serif"/>
                  <w:b w:val="false"/>
                  <w:color w:val="000080"/>
                  <w:sz w:val="20"/>
                  <w:u w:val="single"/>
                </w:rPr>
                <w:t>Loss</w:t>
              </w:r>
            </w:hyperlink>
            <w:hyperlink w:anchor="i2e3fa2d3559845bd932a74e45da6bc38_22">
              <w:r>
                <w:rPr>
                  <w:rStyle w:val="InternetLink"/>
                  <w:rFonts w:ascii="Times New Roman;serif" w:hAnsi="Times New Roman;serif"/>
                  <w:b w:val="false"/>
                  <w:color w:val="000080"/>
                  <w:sz w:val="20"/>
                  <w:u w:val="single"/>
                </w:rPr>
                <w:t xml:space="preserve"> for the</w:t>
              </w:r>
            </w:hyperlink>
            <w:r>
              <w:rPr>
                <w:rFonts w:ascii="Times New Roman;serif" w:hAnsi="Times New Roman;serif"/>
                <w:b w:val="false"/>
                <w:color w:val="0000FF"/>
                <w:sz w:val="20"/>
                <w:u w:val="single"/>
              </w:rPr>
              <w:t xml:space="preserve"> three and six months ended June 30, 2026 </w:t>
            </w:r>
            <w:hyperlink w:anchor="i2e3fa2d3559845bd932a74e45da6bc38_22">
              <w:r>
                <w:rPr>
                  <w:rStyle w:val="InternetLink"/>
                  <w:rFonts w:ascii="Times New Roman;serif" w:hAnsi="Times New Roman;serif"/>
                  <w:b w:val="false"/>
                  <w:color w:val="000080"/>
                  <w:sz w:val="20"/>
                  <w:u w:val="single"/>
                </w:rPr>
                <w:t>and</w:t>
              </w:r>
            </w:hyperlink>
            <w:r>
              <w:rPr>
                <w:rFonts w:ascii="Times New Roman;serif" w:hAnsi="Times New Roman;serif"/>
                <w:b w:val="false"/>
                <w:color w:val="0000FF"/>
                <w:sz w:val="20"/>
                <w:u w:val="single"/>
              </w:rPr>
              <w:t xml:space="preserve"> 2025 </w:t>
            </w:r>
            <w:hyperlink w:anchor="i2e3fa2d3559845bd932a74e45da6bc38_22">
              <w:r>
                <w:rPr>
                  <w:rStyle w:val="InternetLink"/>
                  <w:rFonts w:ascii="Times New Roman;serif" w:hAnsi="Times New Roman;serif"/>
                  <w:b w:val="false"/>
                  <w:color w:val="000080"/>
                  <w:sz w:val="20"/>
                  <w:u w:val="single"/>
                </w:rPr>
                <w:t>(unaudited)</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22">
              <w:r>
                <w:rPr>
                  <w:rStyle w:val="InternetLink"/>
                  <w:rFonts w:ascii="Times New Roman;serif" w:hAnsi="Times New Roman;serif"/>
                  <w:b w:val="false"/>
                  <w:strike w:val="false"/>
                  <w:dstrike w:val="false"/>
                  <w:color w:val="000000"/>
                  <w:sz w:val="20"/>
                  <w:u w:val="none"/>
                  <w:effect w:val="none"/>
                </w:rPr>
                <w:t>6</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3fa2d3559845bd932a74e45da6bc38_25">
              <w:r>
                <w:rPr>
                  <w:rStyle w:val="InternetLink"/>
                  <w:rFonts w:ascii="Times New Roman;serif" w:hAnsi="Times New Roman;serif"/>
                  <w:b w:val="false"/>
                  <w:color w:val="000080"/>
                  <w:sz w:val="20"/>
                  <w:u w:val="single"/>
                </w:rPr>
                <w:t xml:space="preserve">Condensed Consolidated Statements of Stockholders’ Equity for </w:t>
              </w:r>
            </w:hyperlink>
            <w:hyperlink w:anchor="i2e3fa2d3559845bd932a74e45da6bc38_25">
              <w:r>
                <w:rPr>
                  <w:rStyle w:val="InternetLink"/>
                  <w:rFonts w:ascii="Times New Roman;serif" w:hAnsi="Times New Roman;serif"/>
                  <w:b w:val="false"/>
                  <w:color w:val="000080"/>
                  <w:sz w:val="20"/>
                  <w:u w:val="single"/>
                </w:rPr>
                <w:t>the</w:t>
              </w:r>
            </w:hyperlink>
            <w:r>
              <w:rPr>
                <w:rFonts w:ascii="Times New Roman;serif" w:hAnsi="Times New Roman;serif"/>
                <w:b w:val="false"/>
                <w:color w:val="0000FF"/>
                <w:sz w:val="20"/>
                <w:u w:val="single"/>
              </w:rPr>
              <w:t xml:space="preserve"> three and six months ended June 30, 2026 </w:t>
            </w:r>
            <w:hyperlink w:anchor="i2e3fa2d3559845bd932a74e45da6bc38_22">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 xml:space="preserve">2025 </w:t>
            </w:r>
            <w:hyperlink w:anchor="i2e3fa2d3559845bd932a74e45da6bc38_22">
              <w:r>
                <w:rPr>
                  <w:rStyle w:val="InternetLink"/>
                  <w:rFonts w:ascii="Times New Roman;serif" w:hAnsi="Times New Roman;serif"/>
                  <w:b w:val="false"/>
                  <w:color w:val="000080"/>
                  <w:sz w:val="20"/>
                  <w:u w:val="single"/>
                </w:rPr>
                <w:t>(unaudited)</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25">
              <w:r>
                <w:rPr>
                  <w:rStyle w:val="InternetLink"/>
                  <w:rFonts w:ascii="Times New Roman;serif" w:hAnsi="Times New Roman;serif"/>
                  <w:b w:val="false"/>
                  <w:strike w:val="false"/>
                  <w:dstrike w:val="false"/>
                  <w:color w:val="000000"/>
                  <w:sz w:val="20"/>
                  <w:u w:val="none"/>
                  <w:effect w:val="none"/>
                </w:rPr>
                <w:t>7</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3fa2d3559845bd932a74e45da6bc38_28">
              <w:r>
                <w:rPr>
                  <w:rStyle w:val="InternetLink"/>
                  <w:rFonts w:ascii="Times New Roman;serif" w:hAnsi="Times New Roman;serif"/>
                  <w:b w:val="false"/>
                  <w:color w:val="000080"/>
                  <w:sz w:val="20"/>
                  <w:u w:val="single"/>
                </w:rPr>
                <w:t xml:space="preserve">Condensed Consolidated Statements of Cash Flows for </w:t>
              </w:r>
            </w:hyperlink>
            <w:hyperlink w:anchor="i2e3fa2d3559845bd932a74e45da6bc38_28">
              <w:r>
                <w:rPr>
                  <w:rStyle w:val="InternetLink"/>
                  <w:rFonts w:ascii="Times New Roman;serif" w:hAnsi="Times New Roman;serif"/>
                  <w:b w:val="false"/>
                  <w:color w:val="000080"/>
                  <w:sz w:val="20"/>
                  <w:u w:val="single"/>
                </w:rPr>
                <w:t>the</w:t>
              </w:r>
            </w:hyperlink>
            <w:r>
              <w:rPr>
                <w:color w:val="0000FF"/>
              </w:rPr>
              <w:t xml:space="preserve"> </w:t>
            </w:r>
            <w:r>
              <w:rPr>
                <w:rFonts w:ascii="Times New Roman;serif" w:hAnsi="Times New Roman;serif"/>
                <w:b w:val="false"/>
                <w:color w:val="0000FF"/>
                <w:sz w:val="20"/>
              </w:rPr>
              <w:t>six months ended June 30, 2026</w:t>
            </w:r>
            <w:r>
              <w:rPr>
                <w:color w:val="0000FF"/>
                <w:u w:val="single"/>
              </w:rPr>
              <w:t xml:space="preserve"> </w:t>
            </w:r>
            <w:hyperlink w:anchor="i2e3fa2d3559845bd932a74e45da6bc38_22">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2025</w:t>
            </w:r>
            <w:hyperlink w:anchor="i2e3fa2d3559845bd932a74e45da6bc38_22">
              <w:r>
                <w:rPr>
                  <w:rStyle w:val="InternetLink"/>
                  <w:rFonts w:ascii="Times New Roman;serif" w:hAnsi="Times New Roman;serif"/>
                  <w:b w:val="false"/>
                  <w:color w:val="000080"/>
                  <w:sz w:val="20"/>
                  <w:u w:val="single"/>
                </w:rPr>
                <w:t xml:space="preserve"> (unaudited)</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28">
              <w:r>
                <w:rPr>
                  <w:rStyle w:val="InternetLink"/>
                  <w:rFonts w:ascii="Times New Roman;serif" w:hAnsi="Times New Roman;serif"/>
                  <w:b w:val="false"/>
                  <w:strike w:val="false"/>
                  <w:dstrike w:val="false"/>
                  <w:color w:val="000000"/>
                  <w:sz w:val="20"/>
                  <w:u w:val="none"/>
                  <w:effect w:val="none"/>
                </w:rPr>
                <w:t>8</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31">
              <w:r>
                <w:rPr>
                  <w:rStyle w:val="InternetLink"/>
                  <w:rFonts w:ascii="Times New Roman;serif" w:hAnsi="Times New Roman;serif"/>
                  <w:b w:val="false"/>
                  <w:color w:val="0000FF"/>
                  <w:sz w:val="20"/>
                  <w:u w:val="single"/>
                </w:rPr>
                <w:t>Notes to Condensed Consolidated Financial Statements (unaudited)</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31">
              <w:r>
                <w:rPr>
                  <w:rStyle w:val="InternetLink"/>
                  <w:rFonts w:ascii="Times New Roman;serif" w:hAnsi="Times New Roman;serif"/>
                  <w:b w:val="false"/>
                  <w:strike w:val="false"/>
                  <w:dstrike w:val="false"/>
                  <w:color w:val="000000"/>
                  <w:sz w:val="20"/>
                  <w:u w:val="none"/>
                  <w:effect w:val="none"/>
                </w:rPr>
                <w:t>9</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94">
              <w:r>
                <w:rPr>
                  <w:rStyle w:val="InternetLink"/>
                  <w:rFonts w:ascii="Times New Roman;serif" w:hAnsi="Times New Roman;serif"/>
                  <w:b w:val="false"/>
                  <w:strike w:val="false"/>
                  <w:dstrike w:val="false"/>
                  <w:color w:val="000000"/>
                  <w:sz w:val="20"/>
                  <w:u w:val="none"/>
                  <w:effect w:val="none"/>
                </w:rPr>
                <w:t>Item 2.</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94">
              <w:r>
                <w:rPr>
                  <w:rStyle w:val="InternetLink"/>
                  <w:rFonts w:ascii="Times New Roman;serif" w:hAnsi="Times New Roman;serif"/>
                  <w:b w:val="false"/>
                  <w:strike w:val="false"/>
                  <w:dstrike w:val="false"/>
                  <w:color w:val="000000"/>
                  <w:sz w:val="20"/>
                  <w:u w:val="none"/>
                  <w:effect w:val="none"/>
                </w:rPr>
                <w:t>20</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18">
              <w:r>
                <w:rPr>
                  <w:rStyle w:val="InternetLink"/>
                  <w:rFonts w:ascii="Times New Roman;serif" w:hAnsi="Times New Roman;serif"/>
                  <w:b w:val="false"/>
                  <w:strike w:val="false"/>
                  <w:dstrike w:val="false"/>
                  <w:color w:val="000000"/>
                  <w:sz w:val="20"/>
                  <w:u w:val="none"/>
                  <w:effect w:val="none"/>
                </w:rPr>
                <w:t>Item 3.</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18">
              <w:r>
                <w:rPr>
                  <w:rStyle w:val="InternetLink"/>
                  <w:rFonts w:ascii="Times New Roman;serif" w:hAnsi="Times New Roman;serif"/>
                  <w:b w:val="false"/>
                  <w:color w:val="0000FF"/>
                  <w:sz w:val="20"/>
                  <w:u w:val="single"/>
                </w:rPr>
                <w:t>Quantitative and Qualitative Disclosures About Market Risk</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18">
              <w:r>
                <w:rPr>
                  <w:rStyle w:val="InternetLink"/>
                  <w:rFonts w:ascii="Times New Roman;serif" w:hAnsi="Times New Roman;serif"/>
                  <w:b w:val="false"/>
                  <w:strike w:val="false"/>
                  <w:dstrike w:val="false"/>
                  <w:color w:val="000000"/>
                  <w:sz w:val="20"/>
                  <w:u w:val="none"/>
                  <w:effect w:val="none"/>
                </w:rPr>
                <w:t>29</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21">
              <w:r>
                <w:rPr>
                  <w:rStyle w:val="InternetLink"/>
                  <w:rFonts w:ascii="Times New Roman;serif" w:hAnsi="Times New Roman;serif"/>
                  <w:b w:val="false"/>
                  <w:strike w:val="false"/>
                  <w:dstrike w:val="false"/>
                  <w:color w:val="000000"/>
                  <w:sz w:val="20"/>
                  <w:u w:val="none"/>
                  <w:effect w:val="none"/>
                </w:rPr>
                <w:t>Item 4.</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21">
              <w:r>
                <w:rPr>
                  <w:rStyle w:val="InternetLink"/>
                  <w:rFonts w:ascii="Times New Roman;serif" w:hAnsi="Times New Roman;serif"/>
                  <w:b w:val="false"/>
                  <w:color w:val="0000FF"/>
                  <w:sz w:val="20"/>
                  <w:u w:val="single"/>
                </w:rPr>
                <w:t>Controls and Procedures</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21">
              <w:r>
                <w:rPr>
                  <w:rStyle w:val="InternetLink"/>
                  <w:rFonts w:ascii="Times New Roman;serif" w:hAnsi="Times New Roman;serif"/>
                  <w:b w:val="false"/>
                  <w:strike w:val="false"/>
                  <w:dstrike w:val="false"/>
                  <w:color w:val="000000"/>
                  <w:sz w:val="20"/>
                  <w:u w:val="none"/>
                  <w:effect w:val="none"/>
                </w:rPr>
                <w:t>29</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e3fa2d3559845bd932a74e45da6bc38_124">
              <w:r>
                <w:rPr>
                  <w:rStyle w:val="InternetLink"/>
                  <w:rFonts w:ascii="Times New Roman;serif" w:hAnsi="Times New Roman;serif"/>
                  <w:b w:val="false"/>
                  <w:strike w:val="false"/>
                  <w:dstrike w:val="false"/>
                  <w:color w:val="000000"/>
                  <w:sz w:val="20"/>
                  <w:u w:val="none"/>
                  <w:effect w:val="none"/>
                </w:rPr>
                <w:t>PART II - Other Information</w:t>
              </w:r>
            </w:hyperlink>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27">
              <w:r>
                <w:rPr>
                  <w:rStyle w:val="InternetLink"/>
                  <w:rFonts w:ascii="Times New Roman;serif" w:hAnsi="Times New Roman;serif"/>
                  <w:b w:val="false"/>
                  <w:strike w:val="false"/>
                  <w:dstrike w:val="false"/>
                  <w:color w:val="000000"/>
                  <w:sz w:val="20"/>
                  <w:u w:val="none"/>
                  <w:effect w:val="none"/>
                </w:rPr>
                <w:t>Item 1.</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27">
              <w:r>
                <w:rPr>
                  <w:rStyle w:val="InternetLink"/>
                  <w:rFonts w:ascii="Times New Roman;serif" w:hAnsi="Times New Roman;serif"/>
                  <w:b w:val="false"/>
                  <w:color w:val="0000FF"/>
                  <w:sz w:val="20"/>
                  <w:u w:val="single"/>
                </w:rPr>
                <w:t>Legal Proceedings</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27">
              <w:r>
                <w:rPr>
                  <w:rStyle w:val="InternetLink"/>
                  <w:rFonts w:ascii="Times New Roman;serif" w:hAnsi="Times New Roman;serif"/>
                  <w:b w:val="false"/>
                  <w:strike w:val="false"/>
                  <w:dstrike w:val="false"/>
                  <w:color w:val="000000"/>
                  <w:sz w:val="20"/>
                  <w:u w:val="none"/>
                  <w:effect w:val="none"/>
                </w:rPr>
                <w:t>29</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30">
              <w:r>
                <w:rPr>
                  <w:rStyle w:val="InternetLink"/>
                  <w:rFonts w:ascii="Times New Roman;serif" w:hAnsi="Times New Roman;serif"/>
                  <w:b w:val="false"/>
                  <w:strike w:val="false"/>
                  <w:dstrike w:val="false"/>
                  <w:color w:val="000000"/>
                  <w:sz w:val="20"/>
                  <w:u w:val="none"/>
                  <w:effect w:val="none"/>
                </w:rPr>
                <w:t>Item 1A.</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30">
              <w:r>
                <w:rPr>
                  <w:rStyle w:val="InternetLink"/>
                  <w:rFonts w:ascii="Times New Roman;serif" w:hAnsi="Times New Roman;serif"/>
                  <w:b w:val="false"/>
                  <w:color w:val="0000FF"/>
                  <w:sz w:val="20"/>
                  <w:u w:val="single"/>
                </w:rPr>
                <w:t>Risk Factors</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30">
              <w:r>
                <w:rPr>
                  <w:rStyle w:val="InternetLink"/>
                  <w:rFonts w:ascii="Times New Roman;serif" w:hAnsi="Times New Roman;serif"/>
                  <w:b w:val="false"/>
                  <w:strike w:val="false"/>
                  <w:dstrike w:val="false"/>
                  <w:color w:val="000000"/>
                  <w:sz w:val="20"/>
                  <w:u w:val="none"/>
                  <w:effect w:val="none"/>
                </w:rPr>
                <w:t>30</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33">
              <w:r>
                <w:rPr>
                  <w:rStyle w:val="InternetLink"/>
                  <w:rFonts w:ascii="Times New Roman;serif" w:hAnsi="Times New Roman;serif"/>
                  <w:b w:val="false"/>
                  <w:strike w:val="false"/>
                  <w:dstrike w:val="false"/>
                  <w:color w:val="000000"/>
                  <w:sz w:val="20"/>
                  <w:u w:val="none"/>
                  <w:effect w:val="none"/>
                </w:rPr>
                <w:t>Item 2.</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33">
              <w:r>
                <w:rPr>
                  <w:rStyle w:val="InternetLink"/>
                  <w:rFonts w:ascii="Times New Roman;serif" w:hAnsi="Times New Roman;serif"/>
                  <w:b w:val="false"/>
                  <w:color w:val="0000FF"/>
                  <w:sz w:val="20"/>
                  <w:u w:val="single"/>
                </w:rPr>
                <w:t>Unregistered Sales of Equity Securities and Use of Proceeds</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33">
              <w:r>
                <w:rPr>
                  <w:rStyle w:val="InternetLink"/>
                  <w:rFonts w:ascii="Times New Roman;serif" w:hAnsi="Times New Roman;serif"/>
                  <w:b w:val="false"/>
                  <w:strike w:val="false"/>
                  <w:dstrike w:val="false"/>
                  <w:color w:val="000000"/>
                  <w:sz w:val="20"/>
                  <w:u w:val="none"/>
                  <w:effect w:val="none"/>
                </w:rPr>
                <w:t>30</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36">
              <w:r>
                <w:rPr>
                  <w:rStyle w:val="InternetLink"/>
                  <w:rFonts w:ascii="Times New Roman;serif" w:hAnsi="Times New Roman;serif"/>
                  <w:b w:val="false"/>
                  <w:strike w:val="false"/>
                  <w:dstrike w:val="false"/>
                  <w:color w:val="000000"/>
                  <w:sz w:val="20"/>
                  <w:u w:val="none"/>
                  <w:effect w:val="none"/>
                </w:rPr>
                <w:t>Item 3.</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36">
              <w:r>
                <w:rPr>
                  <w:rStyle w:val="InternetLink"/>
                  <w:rFonts w:ascii="Times New Roman;serif" w:hAnsi="Times New Roman;serif"/>
                  <w:b w:val="false"/>
                  <w:color w:val="0000FF"/>
                  <w:sz w:val="20"/>
                  <w:u w:val="single"/>
                </w:rPr>
                <w:t>Defaults Upon Senior Securities</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36">
              <w:r>
                <w:rPr>
                  <w:rStyle w:val="InternetLink"/>
                  <w:rFonts w:ascii="Times New Roman;serif" w:hAnsi="Times New Roman;serif"/>
                  <w:b w:val="false"/>
                  <w:strike w:val="false"/>
                  <w:dstrike w:val="false"/>
                  <w:color w:val="000000"/>
                  <w:sz w:val="20"/>
                  <w:u w:val="none"/>
                  <w:effect w:val="none"/>
                </w:rPr>
                <w:t>30</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39">
              <w:r>
                <w:rPr>
                  <w:rStyle w:val="InternetLink"/>
                  <w:rFonts w:ascii="Times New Roman;serif" w:hAnsi="Times New Roman;serif"/>
                  <w:b w:val="false"/>
                  <w:strike w:val="false"/>
                  <w:dstrike w:val="false"/>
                  <w:color w:val="000000"/>
                  <w:sz w:val="20"/>
                  <w:u w:val="none"/>
                  <w:effect w:val="none"/>
                </w:rPr>
                <w:t>Item 4.</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39">
              <w:r>
                <w:rPr>
                  <w:rStyle w:val="InternetLink"/>
                  <w:rFonts w:ascii="Times New Roman;serif" w:hAnsi="Times New Roman;serif"/>
                  <w:b w:val="false"/>
                  <w:color w:val="0000FF"/>
                  <w:sz w:val="20"/>
                  <w:u w:val="single"/>
                </w:rPr>
                <w:t>Mine Safety Disclosures</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39">
              <w:r>
                <w:rPr>
                  <w:rStyle w:val="InternetLink"/>
                  <w:rFonts w:ascii="Times New Roman;serif" w:hAnsi="Times New Roman;serif"/>
                  <w:b w:val="false"/>
                  <w:strike w:val="false"/>
                  <w:dstrike w:val="false"/>
                  <w:color w:val="000000"/>
                  <w:sz w:val="20"/>
                  <w:u w:val="none"/>
                  <w:effect w:val="none"/>
                </w:rPr>
                <w:t>30</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42">
              <w:r>
                <w:rPr>
                  <w:rStyle w:val="InternetLink"/>
                  <w:rFonts w:ascii="Times New Roman;serif" w:hAnsi="Times New Roman;serif"/>
                  <w:b w:val="false"/>
                  <w:strike w:val="false"/>
                  <w:dstrike w:val="false"/>
                  <w:color w:val="000000"/>
                  <w:sz w:val="20"/>
                  <w:u w:val="none"/>
                  <w:effect w:val="none"/>
                </w:rPr>
                <w:t>Item 5.</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42">
              <w:r>
                <w:rPr>
                  <w:rStyle w:val="InternetLink"/>
                  <w:rFonts w:ascii="Times New Roman;serif" w:hAnsi="Times New Roman;serif"/>
                  <w:b w:val="false"/>
                  <w:color w:val="0000FF"/>
                  <w:sz w:val="20"/>
                  <w:u w:val="single"/>
                </w:rPr>
                <w:t>Other Information</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42">
              <w:r>
                <w:rPr>
                  <w:rStyle w:val="InternetLink"/>
                  <w:rFonts w:ascii="Times New Roman;serif" w:hAnsi="Times New Roman;serif"/>
                  <w:b w:val="false"/>
                  <w:strike w:val="false"/>
                  <w:dstrike w:val="false"/>
                  <w:color w:val="000000"/>
                  <w:sz w:val="20"/>
                  <w:u w:val="none"/>
                  <w:effect w:val="none"/>
                </w:rPr>
                <w:t>30</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48">
              <w:r>
                <w:rPr>
                  <w:rStyle w:val="InternetLink"/>
                  <w:rFonts w:ascii="Times New Roman;serif" w:hAnsi="Times New Roman;serif"/>
                  <w:b w:val="false"/>
                  <w:strike w:val="false"/>
                  <w:dstrike w:val="false"/>
                  <w:color w:val="000000"/>
                  <w:sz w:val="20"/>
                  <w:u w:val="none"/>
                  <w:effect w:val="none"/>
                </w:rPr>
                <w:t>Item 6.</w:t>
              </w:r>
            </w:hyperlink>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48">
              <w:r>
                <w:rPr>
                  <w:rStyle w:val="InternetLink"/>
                  <w:rFonts w:ascii="Times New Roman;serif" w:hAnsi="Times New Roman;serif"/>
                  <w:b w:val="false"/>
                  <w:color w:val="0000FF"/>
                  <w:sz w:val="20"/>
                  <w:u w:val="single"/>
                </w:rPr>
                <w:t>Exhibits</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48">
              <w:r>
                <w:rPr>
                  <w:rStyle w:val="InternetLink"/>
                  <w:rFonts w:ascii="Times New Roman;serif" w:hAnsi="Times New Roman;serif"/>
                  <w:b w:val="false"/>
                  <w:strike w:val="false"/>
                  <w:dstrike w:val="false"/>
                  <w:color w:val="000000"/>
                  <w:sz w:val="20"/>
                  <w:u w:val="none"/>
                  <w:effect w:val="none"/>
                </w:rPr>
                <w:t>31</w:t>
              </w:r>
            </w:hyperlink>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e3fa2d3559845bd932a74e45da6bc38_151">
              <w:r>
                <w:rPr>
                  <w:rStyle w:val="InternetLink"/>
                  <w:rFonts w:ascii="Times New Roman;serif" w:hAnsi="Times New Roman;serif"/>
                  <w:b w:val="false"/>
                  <w:color w:val="0000FF"/>
                  <w:sz w:val="20"/>
                  <w:u w:val="single"/>
                </w:rPr>
                <w:t>Signatures</w:t>
              </w:r>
            </w:hyperlink>
          </w:p>
        </w:tc>
        <w:tc>
          <w:tcPr>
            <w:tcW w:w="48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e3fa2d3559845bd932a74e45da6bc38_151">
              <w:r>
                <w:rPr>
                  <w:rStyle w:val="InternetLink"/>
                  <w:rFonts w:ascii="Times New Roman;serif" w:hAnsi="Times New Roman;serif"/>
                  <w:b w:val="false"/>
                  <w:strike w:val="false"/>
                  <w:dstrike w:val="false"/>
                  <w:color w:val="000000"/>
                  <w:sz w:val="20"/>
                  <w:u w:val="none"/>
                  <w:effect w:val="none"/>
                </w:rPr>
                <w:t>32</w:t>
              </w:r>
            </w:hyperlink>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60985"/>
                <wp:effectExtent l="0" t="0" r="0" b="0"/>
                <wp:wrapNone/>
                <wp:docPr id="3" name="Frame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882"/>
        <w:gridCol w:w="2462"/>
        <w:gridCol w:w="2463"/>
        <w:gridCol w:w="213"/>
        <w:gridCol w:w="624"/>
        <w:gridCol w:w="109"/>
        <w:gridCol w:w="109"/>
        <w:gridCol w:w="109"/>
        <w:gridCol w:w="109"/>
        <w:gridCol w:w="241"/>
        <w:gridCol w:w="705"/>
        <w:gridCol w:w="179"/>
      </w:tblGrid>
      <w:tr>
        <w:trPr/>
        <w:tc>
          <w:tcPr>
            <w:tcW w:w="288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 liabilities</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95.6 and 93.5 shares outstanding at June 30, 2026 and December 31, 2025, respectively</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60985"/>
                <wp:effectExtent l="0" t="0" r="0" b="0"/>
                <wp:wrapNone/>
                <wp:docPr id="4" name="Frame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(unaudited)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bl>
      <w:tblPr>
        <w:tblW w:w="9120" w:type="dxa"/>
        <w:jc w:val="left"/>
        <w:tblInd w:w="0" w:type="dxa"/>
        <w:tblLayout w:type="fixed"/>
        <w:tblCellMar>
          <w:top w:w="28" w:type="dxa"/>
          <w:left w:w="28" w:type="dxa"/>
          <w:bottom w:w="28" w:type="dxa"/>
          <w:right w:w="28" w:type="dxa"/>
        </w:tblCellMar>
      </w:tblPr>
      <w:tblGrid>
        <w:gridCol w:w="1518"/>
        <w:gridCol w:w="1339"/>
        <w:gridCol w:w="1343"/>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211"/>
        <w:gridCol w:w="691"/>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long-lived asset impairment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60985"/>
                <wp:effectExtent l="0" t="0" r="0" b="0"/>
                <wp:wrapNone/>
                <wp:docPr id="5" name="Frame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Loss (unaudited)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9914" w:type="dxa"/>
        <w:jc w:val="left"/>
        <w:tblInd w:w="0" w:type="dxa"/>
        <w:tblLayout w:type="fixed"/>
        <w:tblCellMar>
          <w:top w:w="28" w:type="dxa"/>
          <w:left w:w="28" w:type="dxa"/>
          <w:bottom w:w="28" w:type="dxa"/>
          <w:right w:w="28" w:type="dxa"/>
        </w:tblCellMar>
      </w:tblPr>
      <w:tblGrid>
        <w:gridCol w:w="1830"/>
        <w:gridCol w:w="1598"/>
        <w:gridCol w:w="1626"/>
        <w:gridCol w:w="211"/>
        <w:gridCol w:w="586"/>
        <w:gridCol w:w="109"/>
        <w:gridCol w:w="109"/>
        <w:gridCol w:w="109"/>
        <w:gridCol w:w="109"/>
        <w:gridCol w:w="211"/>
        <w:gridCol w:w="691"/>
        <w:gridCol w:w="109"/>
        <w:gridCol w:w="109"/>
        <w:gridCol w:w="109"/>
        <w:gridCol w:w="109"/>
        <w:gridCol w:w="211"/>
        <w:gridCol w:w="586"/>
        <w:gridCol w:w="109"/>
        <w:gridCol w:w="109"/>
        <w:gridCol w:w="109"/>
        <w:gridCol w:w="109"/>
        <w:gridCol w:w="211"/>
        <w:gridCol w:w="691"/>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 net of tax</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60985"/>
                <wp:effectExtent l="0" t="0" r="0" b="0"/>
                <wp:wrapNone/>
                <wp:docPr id="6" name="Frame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(unaudited)</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1362"/>
        <w:gridCol w:w="1190"/>
        <w:gridCol w:w="1192"/>
        <w:gridCol w:w="196"/>
        <w:gridCol w:w="376"/>
        <w:gridCol w:w="109"/>
        <w:gridCol w:w="109"/>
        <w:gridCol w:w="109"/>
        <w:gridCol w:w="109"/>
        <w:gridCol w:w="196"/>
        <w:gridCol w:w="691"/>
        <w:gridCol w:w="109"/>
        <w:gridCol w:w="109"/>
        <w:gridCol w:w="109"/>
        <w:gridCol w:w="109"/>
        <w:gridCol w:w="364"/>
        <w:gridCol w:w="727"/>
        <w:gridCol w:w="203"/>
        <w:gridCol w:w="109"/>
        <w:gridCol w:w="109"/>
        <w:gridCol w:w="109"/>
        <w:gridCol w:w="196"/>
        <w:gridCol w:w="728"/>
        <w:gridCol w:w="109"/>
        <w:gridCol w:w="109"/>
        <w:gridCol w:w="109"/>
        <w:gridCol w:w="109"/>
        <w:gridCol w:w="247"/>
        <w:gridCol w:w="701"/>
        <w:gridCol w:w="201"/>
      </w:tblGrid>
      <w:tr>
        <w:trPr/>
        <w:tc>
          <w:tcPr>
            <w:tcW w:w="136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other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Myriad Genetics, Inc.</w:t>
              <w:br/>
              <w:t>Stockholders’</w:t>
              <w:br/>
              <w:t>equity</w:t>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stock-based compensation plans, net of shares exchanged for withholding tax</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MARCH 31,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stock-based compensation plans, net of shares exchanged for withholding tax</w:t>
            </w:r>
          </w:p>
        </w:tc>
        <w:tc>
          <w:tcPr>
            <w:tcW w:w="5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JUNE 30,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stock-based compensation plans, net of shares exchanged for withholding tax</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MARCH 31, 2026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stock-based compensation plans, net of shares exchanged for withholding tax</w:t>
            </w:r>
          </w:p>
        </w:tc>
        <w:tc>
          <w:tcPr>
            <w:tcW w:w="5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374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60985"/>
                <wp:effectExtent l="0" t="0" r="0" b="0"/>
                <wp:wrapNone/>
                <wp:docPr id="7" name="Frame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MYRIAD GENETICS,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619" w:type="dxa"/>
        <w:jc w:val="center"/>
        <w:tblInd w:w="0" w:type="dxa"/>
        <w:tblLayout w:type="fixed"/>
        <w:tblCellMar>
          <w:top w:w="28" w:type="dxa"/>
          <w:left w:w="28" w:type="dxa"/>
          <w:bottom w:w="28" w:type="dxa"/>
          <w:right w:w="28" w:type="dxa"/>
        </w:tblCellMar>
      </w:tblPr>
      <w:tblGrid>
        <w:gridCol w:w="2334"/>
        <w:gridCol w:w="2053"/>
        <w:gridCol w:w="2063"/>
        <w:gridCol w:w="196"/>
        <w:gridCol w:w="556"/>
        <w:gridCol w:w="109"/>
        <w:gridCol w:w="109"/>
        <w:gridCol w:w="109"/>
        <w:gridCol w:w="109"/>
        <w:gridCol w:w="196"/>
        <w:gridCol w:w="631"/>
        <w:gridCol w:w="154"/>
      </w:tblGrid>
      <w:tr>
        <w:trPr/>
        <w:tc>
          <w:tcPr>
            <w:tcW w:w="2334"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Unrecognized tax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 and long-lived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common stock issued under stock-based compensation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withheld for common stock issued under stock-based compensation plans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revolving credit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on finance leases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rates on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the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the period</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60985"/>
                <wp:effectExtent l="0" t="0" r="0" b="0"/>
                <wp:wrapNone/>
                <wp:docPr id="8" name="Frame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1.BASIS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Myriad Genetics, Inc. (together with its subsidiaries, the “Company” or “Myriad”) is a leading molecular diagnostics and precision medicine company committed to advancing health and well-being for all. The Company develops and commercializes molecular tests that help patients and providers uncover genetic insights. Myriad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 The Company’s principal executive office is located in Salt Lake City, Utah.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for the Company have been prepared in accordance with United States ("U.S.") generally accepted accounting principles (“GAAP”) for interim financial information and pursuant to the applicable rules and regulations of the Securities and Exchange Commission (“SEC”). All intercompany accounts and transactions have been eliminated in consolidation. In the opinion of management, the accompanying financial statements contain all adjustments (consisting of normal and recurring accruals) necessary to present fairly all financial statements in accordance with GAAP. The accompanying Condensed Consolidated Financial Statements should be read in conjunction with the Company’s audited Consolidated Financial Statements and notes thereto included in the Company’s Annual Report on Form 10-K for the year ended December 31, 2025 (the “Form 10-K”).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accordance with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historically experienced some seasonality in its business, including due to factors such as the timing of deductibles resetting or being met. While the Company continues to experience periodic fluctuations in quarterly revenues, these variations are increasingly influenced by other factors such as the timing of customer activity, reimbursement dynamics, and broader market conditions. As a result, the Company believes that current operating results may not be indicative of results to be expected for any other interim period or for the full year.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Financial Accounting Standards Board ("FASB") issued Accounting Standards Update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color w:val="000000"/>
        </w:rPr>
        <w:t xml:space="preserve"> </w:t>
      </w:r>
      <w:r>
        <w:rPr>
          <w:rFonts w:ascii="Times New Roman;serif" w:hAnsi="Times New Roman;serif"/>
          <w:b w:val="false"/>
          <w:color w:val="000000"/>
          <w:sz w:val="20"/>
        </w:rPr>
        <w:t>The guidance in ASU 2025-07 refines the scope of derivative accounting under Accounting Standards Codification ("ASC") 815 by expanding an existing scope exception to exclude certain non-exchange traded contracts with underlyings based on the operations or activities of one of the contract parties from derivative classification. ASU 2025-07 also provides guidance under Topic 606 on the accounting for share-based noncash consideration received from a customer in a revenue contract, including measurement and timing considerations. ASU 2025-07 is effective for annual and interim periods beginning after December 15, 2026, with early adoption permitted. The Company is currently evaluating the impact of adopting ASU 2025-07.</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xml:space="preserve">, which amends certain aspects of the accounting for and disclosure of software costs under ASC 350-40, </w:t>
      </w:r>
      <w:r>
        <w:rPr>
          <w:rFonts w:ascii="Times New Roman;serif" w:hAnsi="Times New Roman;serif"/>
          <w:b w:val="false"/>
          <w:i/>
          <w:color w:val="000000"/>
          <w:sz w:val="20"/>
        </w:rPr>
        <w:t>Internal-Use Software Accounting &amp; Capitalization</w:t>
      </w:r>
      <w:r>
        <w:rPr>
          <w:rFonts w:ascii="Times New Roman;serif" w:hAnsi="Times New Roman;serif"/>
          <w:b w:val="false"/>
          <w:color w:val="000000"/>
          <w:sz w:val="20"/>
        </w:rPr>
        <w:t>. ASU 2025-06 makes targeted modifications to ASC 350-40 by changing the cost capitalization threshold, eliminating accounting consideration of software project development stages and enhancing the guidance around the "probable-to-complete" threshold as well as modifying website development costs guidance. ASU 2025-06 is effective for annual and interim periods beginning after December 15, 2027, with early adoption permitted. The Company is currently evaluating the impact of adopting ASU 2025-06.</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w:t>
      </w:r>
      <w:r>
        <w:rPr>
          <w:color w:val="000000"/>
        </w:rPr>
        <w:t xml:space="preserve"> </w:t>
      </w:r>
      <w:r>
        <w:rPr>
          <w:rFonts w:ascii="Times New Roman;serif" w:hAnsi="Times New Roman;serif"/>
          <w:b w:val="false"/>
          <w:i/>
          <w:color w:val="000000"/>
          <w:sz w:val="20"/>
        </w:rPr>
        <w:t>Income-Expense Disaggregation Disclosures (Subtopic 220-40): Disaggregation of Income Statement Expenses</w:t>
      </w:r>
      <w:r>
        <w:rPr>
          <w:rFonts w:ascii="Times New Roman;serif" w:hAnsi="Times New Roman;serif"/>
          <w:b w:val="false"/>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within annual reporting periods beginning after December 15, 2027, with early adoption permitted. The Company is currently evaluating the impact of adopting ASU 2024-03.</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with the current period presentation. The reclassifications have no impact on the Company's total assets, total liabilities, stockholders' equity, net loss, comprehensive loss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60985"/>
                <wp:effectExtent l="0" t="0" r="0" b="0"/>
                <wp:wrapNone/>
                <wp:docPr id="9" name="Frame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2.REVENUE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primarily generates revenue by performing molecular diagnostic testing, primarily derived from the following categories of products: Cancer Care Continuum (MyRisk, BRACAnalysis CDx, MyChoice CDx, Prolaris + AI, Precise Tumor, and Precise MRD), Prenatal Health (Foresight, Prequel, FirstGene and SneakPeek), and Mental Health (GeneSight). Certain products previously presented within separate Hereditary Cancer and Tumor Profiling categories during the prior year periods are now collectively reported within the Cancer Care Continuum category. Revenue is recorded at the estimated transaction price. Control is transferred and revenue is recognized once test results are released to the healthcare provider and/or patient.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details regarding the composition of the Company’s total revenue by product type and by geographical region, either U.S. or rest of world (“RoW”):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97" w:type="dxa"/>
        <w:jc w:val="left"/>
        <w:tblInd w:w="0" w:type="dxa"/>
        <w:tblLayout w:type="fixed"/>
        <w:tblCellMar>
          <w:top w:w="28" w:type="dxa"/>
          <w:left w:w="28" w:type="dxa"/>
          <w:bottom w:w="28" w:type="dxa"/>
          <w:right w:w="28" w:type="dxa"/>
        </w:tblCellMar>
      </w:tblPr>
      <w:tblGrid>
        <w:gridCol w:w="754"/>
        <w:gridCol w:w="660"/>
        <w:gridCol w:w="670"/>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3"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Cancer Care Continuum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Prenatal Health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Mental Health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97" w:type="dxa"/>
        <w:jc w:val="left"/>
        <w:tblInd w:w="0" w:type="dxa"/>
        <w:tblLayout w:type="fixed"/>
        <w:tblCellMar>
          <w:top w:w="28" w:type="dxa"/>
          <w:left w:w="28" w:type="dxa"/>
          <w:bottom w:w="28" w:type="dxa"/>
          <w:right w:w="28" w:type="dxa"/>
        </w:tblCellMar>
      </w:tblPr>
      <w:tblGrid>
        <w:gridCol w:w="754"/>
        <w:gridCol w:w="660"/>
        <w:gridCol w:w="670"/>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3"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Cancer Care Continuum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Prenatal Health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Mental Health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transaction price, the Company includes an estimate of the expected amount of consideration to be received. The estimate of revenue is affected by, among other factors, assumptions for changes in payor mix, payor collections, current customer contractual requirements, experience with collections from third-party payors, and changes in medical policies. When assessing the total consideration for insurance carriers and patients, revenue is further constrained for estimated refunds. The Company reserves certain amounts in Accrued liabilities in the Condensed Consolidated Balance Sheets in anticipation of requests for refunds of payments made previously by insurance carriers, which are accounted for as reductions in Revenue in the Condensed Consolidated Statements of Operations and Comprehensive Loss.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collections for certain tests delivered may differ from rates estimated due to changes in the estimated transaction price for contractual adjustments, obtaining updated information from payors and patients that was unknown at the time the performance obligation was met, settlements with third-party payors, or as a result of third-party payors disputing bills or denying payment for tests that the Company has performed, among other reasons. As a result of this new information, the Company updates its estimate of the amounts to be recognized for previously delivered tests. </w:t>
      </w:r>
      <w:bookmarkStart w:id="0" w:name="i75fe216c960947f3966bbbfb0738c6d7_3673"/>
      <w:bookmarkEnd w:id="0"/>
      <w:r>
        <w:rPr>
          <w:rFonts w:ascii="Times New Roman;serif" w:hAnsi="Times New Roman;serif"/>
          <w:b w:val="false"/>
          <w:color w:val="000000"/>
          <w:sz w:val="20"/>
        </w:rPr>
        <w:t xml:space="preserve">During the three and six months ended June 30, 2026, the Company recognized $11.0 million and $8.0 million in reductions to revenue, respectively, for tests in which the performance obligation of delivering the test results was met in prior periods. During the three and six months ended June 30, 2025, the impact of the amounts to be recognized for tests in which the performance obligation was met in a prior period was not material to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60985"/>
                <wp:effectExtent l="0" t="0" r="0" b="0"/>
                <wp:wrapNone/>
                <wp:docPr id="10" name="Frame1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1—quoted prices in active markets for identical assets and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2—observable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Some of the Company’s marketable securities primarily utilize broker quotes in a non-active market for valuation of these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3—unobservable inputs.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certain financial instruments—including cash and cash equivalents, accounts receivable, accounts payable, and accrued expenses—approximate their fair values due to their short-term maturities. Additionally, the carrying value of our long-term debt as of June 30, 2026, approximates its fair value due to the debt’s floating interest rate based on prevailing market rates. The Company's fair value measurements related to impairment testing for goodwill and certain intangible assets were determined using Level 3 unobservable inputs; see Note 5, "Goodwill and Intangible Assets"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4.PROPERTY, PLANT AND EQUIPMENT,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property, plant and equipment at June 30, 2026 and December 31, 2025 were as follows:</w:t>
      </w:r>
    </w:p>
    <w:tbl>
      <w:tblPr>
        <w:tblW w:w="5819" w:type="dxa"/>
        <w:jc w:val="left"/>
        <w:tblInd w:w="0" w:type="dxa"/>
        <w:tblLayout w:type="fixed"/>
        <w:tblCellMar>
          <w:top w:w="28" w:type="dxa"/>
          <w:left w:w="28" w:type="dxa"/>
          <w:bottom w:w="28" w:type="dxa"/>
          <w:right w:w="28" w:type="dxa"/>
        </w:tblCellMar>
      </w:tblPr>
      <w:tblGrid>
        <w:gridCol w:w="1116"/>
        <w:gridCol w:w="980"/>
        <w:gridCol w:w="993"/>
        <w:gridCol w:w="211"/>
        <w:gridCol w:w="616"/>
        <w:gridCol w:w="109"/>
        <w:gridCol w:w="109"/>
        <w:gridCol w:w="109"/>
        <w:gridCol w:w="109"/>
        <w:gridCol w:w="109"/>
        <w:gridCol w:w="109"/>
        <w:gridCol w:w="109"/>
        <w:gridCol w:w="245"/>
        <w:gridCol w:w="716"/>
        <w:gridCol w:w="179"/>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depreciation during the respective periods as follows:</w:t>
      </w:r>
    </w:p>
    <w:tbl>
      <w:tblPr>
        <w:tblW w:w="6563" w:type="dxa"/>
        <w:jc w:val="left"/>
        <w:tblInd w:w="0" w:type="dxa"/>
        <w:tblLayout w:type="fixed"/>
        <w:tblCellMar>
          <w:top w:w="28" w:type="dxa"/>
          <w:left w:w="28" w:type="dxa"/>
          <w:bottom w:w="28" w:type="dxa"/>
          <w:right w:w="28" w:type="dxa"/>
        </w:tblCellMar>
      </w:tblPr>
      <w:tblGrid>
        <w:gridCol w:w="677"/>
        <w:gridCol w:w="595"/>
        <w:gridCol w:w="602"/>
        <w:gridCol w:w="211"/>
        <w:gridCol w:w="406"/>
        <w:gridCol w:w="109"/>
        <w:gridCol w:w="109"/>
        <w:gridCol w:w="109"/>
        <w:gridCol w:w="109"/>
        <w:gridCol w:w="109"/>
        <w:gridCol w:w="109"/>
        <w:gridCol w:w="109"/>
        <w:gridCol w:w="211"/>
        <w:gridCol w:w="406"/>
        <w:gridCol w:w="109"/>
        <w:gridCol w:w="109"/>
        <w:gridCol w:w="109"/>
        <w:gridCol w:w="109"/>
        <w:gridCol w:w="211"/>
        <w:gridCol w:w="406"/>
        <w:gridCol w:w="109"/>
        <w:gridCol w:w="109"/>
        <w:gridCol w:w="109"/>
        <w:gridCol w:w="109"/>
        <w:gridCol w:w="109"/>
        <w:gridCol w:w="109"/>
        <w:gridCol w:w="109"/>
        <w:gridCol w:w="211"/>
        <w:gridCol w:w="511"/>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change in the carrying amount of goodwill for the six months ended June 30, 2026 is as follows:</w:t>
      </w:r>
    </w:p>
    <w:tbl>
      <w:tblPr>
        <w:tblW w:w="2736" w:type="dxa"/>
        <w:jc w:val="left"/>
        <w:tblInd w:w="0" w:type="dxa"/>
        <w:tblLayout w:type="fixed"/>
        <w:tblCellMar>
          <w:top w:w="28" w:type="dxa"/>
          <w:left w:w="28" w:type="dxa"/>
          <w:bottom w:w="28" w:type="dxa"/>
          <w:right w:w="28" w:type="dxa"/>
        </w:tblCellMar>
      </w:tblPr>
      <w:tblGrid>
        <w:gridCol w:w="672"/>
        <w:gridCol w:w="589"/>
        <w:gridCol w:w="599"/>
        <w:gridCol w:w="211"/>
        <w:gridCol w:w="511"/>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60985"/>
                <wp:effectExtent l="0" t="0" r="0" b="0"/>
                <wp:wrapNone/>
                <wp:docPr id="11" name="Frame1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sustained decline in the Company's share price and market capitalization during the first quarter of 2026 was identified as a triggering event requiring an interim goodwill impairment test. As a result, the fair value of each reporting unit was estimated as of March 31, 2026 using the market approach, based on observable revenue multiples of guideline public companies, and the income approach. The income approach considered projected revenue and profitability of each reporting unit and a discount rate reflective of the risk-adjusted cost of capital of 17% for the Women's Health reporting unit. The Company corroborated the reasonableness of the estimated reporting unit fair values by reconciling the values to the Company's enterprise value and market capitalization, including the consideration of a control premium. Accordingly, this fair value measurement is classified as Level 3 in the fair value hierarchy because it is based primarily upon unobservable inputs that reflect management's assumptions.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impairment test, during the three months ended March 31, 2026, the Company recognized a goodwill impairment charge of $4.5 million attributable to the Women's Health reporting unit, reducing the carrying value of goodwill for the reporting unit to its estimated fair value of zero. The goodwill impairment charge is reflected within Goodwill and long-lived asset impairment charges in the Condensed Consolidated Statements of Operations. The Company determined that the goodwill balances for the Mental Health and International reporting units were not impaired. The remaining goodwill value of $47.1 million consists of $29.8 million for the Mental Health reporting unit and $17.3 million for the International reporting unit. No goodwill impairment charges were recognized during the three months ended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will continue to monitor for any additional indicators of impairment in future periods. Goodwill is tested for impairment at least annually and more frequently if events or changes in circumstances indicate that it is more likely than not that the asset is impaired.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amounts reported as intangible assets:</w:t>
      </w:r>
    </w:p>
    <w:tbl>
      <w:tblPr>
        <w:tblW w:w="6439" w:type="dxa"/>
        <w:jc w:val="left"/>
        <w:tblInd w:w="0" w:type="dxa"/>
        <w:tblLayout w:type="fixed"/>
        <w:tblCellMar>
          <w:top w:w="28" w:type="dxa"/>
          <w:left w:w="28" w:type="dxa"/>
          <w:bottom w:w="28" w:type="dxa"/>
          <w:right w:w="28" w:type="dxa"/>
        </w:tblCellMar>
      </w:tblPr>
      <w:tblGrid>
        <w:gridCol w:w="517"/>
        <w:gridCol w:w="454"/>
        <w:gridCol w:w="454"/>
        <w:gridCol w:w="454"/>
        <w:gridCol w:w="454"/>
        <w:gridCol w:w="454"/>
        <w:gridCol w:w="211"/>
        <w:gridCol w:w="616"/>
        <w:gridCol w:w="109"/>
        <w:gridCol w:w="109"/>
        <w:gridCol w:w="109"/>
        <w:gridCol w:w="109"/>
        <w:gridCol w:w="239"/>
        <w:gridCol w:w="717"/>
        <w:gridCol w:w="125"/>
        <w:gridCol w:w="109"/>
        <w:gridCol w:w="109"/>
        <w:gridCol w:w="109"/>
        <w:gridCol w:w="211"/>
        <w:gridCol w:w="616"/>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78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June 30, 2026</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technologies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 (in-process)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652" w:type="dxa"/>
            <w:gridSpan w:val="15"/>
            <w:tcBorders/>
          </w:tcPr>
          <w:p>
            <w:pPr>
              <w:pStyle w:val="TableContents"/>
              <w:bidi w:val="0"/>
              <w:spacing w:before="0" w:after="283"/>
              <w:jc w:val="left"/>
              <w:rPr>
                <w:sz w:val="4"/>
                <w:szCs w:val="4"/>
              </w:rPr>
            </w:pPr>
            <w:r>
              <w:rPr>
                <w:sz w:val="4"/>
                <w:szCs w:val="4"/>
              </w:rPr>
            </w:r>
          </w:p>
        </w:tc>
      </w:tr>
    </w:tbl>
    <w:tbl>
      <w:tblPr>
        <w:tblW w:w="6441" w:type="dxa"/>
        <w:jc w:val="left"/>
        <w:tblInd w:w="0" w:type="dxa"/>
        <w:tblLayout w:type="fixed"/>
        <w:tblCellMar>
          <w:top w:w="28" w:type="dxa"/>
          <w:left w:w="28" w:type="dxa"/>
          <w:bottom w:w="28" w:type="dxa"/>
          <w:right w:w="28" w:type="dxa"/>
        </w:tblCellMar>
      </w:tblPr>
      <w:tblGrid>
        <w:gridCol w:w="1007"/>
        <w:gridCol w:w="886"/>
        <w:gridCol w:w="896"/>
        <w:gridCol w:w="211"/>
        <w:gridCol w:w="616"/>
        <w:gridCol w:w="109"/>
        <w:gridCol w:w="109"/>
        <w:gridCol w:w="109"/>
        <w:gridCol w:w="109"/>
        <w:gridCol w:w="239"/>
        <w:gridCol w:w="717"/>
        <w:gridCol w:w="125"/>
        <w:gridCol w:w="109"/>
        <w:gridCol w:w="109"/>
        <w:gridCol w:w="109"/>
        <w:gridCol w:w="211"/>
        <w:gridCol w:w="616"/>
        <w:gridCol w:w="154"/>
      </w:tblGrid>
      <w:tr>
        <w:trPr/>
        <w:tc>
          <w:tcPr>
            <w:tcW w:w="100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 (in-process)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expenses during the respective periods for these intangible assets as follows:</w:t>
      </w:r>
    </w:p>
    <w:tbl>
      <w:tblPr>
        <w:tblW w:w="7598" w:type="dxa"/>
        <w:jc w:val="left"/>
        <w:tblInd w:w="0" w:type="dxa"/>
        <w:tblLayout w:type="fixed"/>
        <w:tblCellMar>
          <w:top w:w="28" w:type="dxa"/>
          <w:left w:w="28" w:type="dxa"/>
          <w:bottom w:w="28" w:type="dxa"/>
          <w:right w:w="28" w:type="dxa"/>
        </w:tblCellMar>
      </w:tblPr>
      <w:tblGrid>
        <w:gridCol w:w="1013"/>
        <w:gridCol w:w="890"/>
        <w:gridCol w:w="901"/>
        <w:gridCol w:w="211"/>
        <w:gridCol w:w="406"/>
        <w:gridCol w:w="109"/>
        <w:gridCol w:w="109"/>
        <w:gridCol w:w="109"/>
        <w:gridCol w:w="109"/>
        <w:gridCol w:w="109"/>
        <w:gridCol w:w="109"/>
        <w:gridCol w:w="109"/>
        <w:gridCol w:w="211"/>
        <w:gridCol w:w="406"/>
        <w:gridCol w:w="109"/>
        <w:gridCol w:w="109"/>
        <w:gridCol w:w="109"/>
        <w:gridCol w:w="109"/>
        <w:gridCol w:w="211"/>
        <w:gridCol w:w="511"/>
        <w:gridCol w:w="109"/>
        <w:gridCol w:w="109"/>
        <w:gridCol w:w="109"/>
        <w:gridCol w:w="109"/>
        <w:gridCol w:w="109"/>
        <w:gridCol w:w="109"/>
        <w:gridCol w:w="109"/>
        <w:gridCol w:w="211"/>
        <w:gridCol w:w="511"/>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60985"/>
                <wp:effectExtent l="0" t="0" r="0" b="0"/>
                <wp:wrapNone/>
                <wp:docPr id="12" name="Frame1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6.ACCRUED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accrued liabilities at June 30, 2026 and December 31, 2025 were as follows:</w:t>
      </w:r>
    </w:p>
    <w:tbl>
      <w:tblPr>
        <w:tblW w:w="5789" w:type="dxa"/>
        <w:jc w:val="left"/>
        <w:tblInd w:w="0" w:type="dxa"/>
        <w:tblLayout w:type="fixed"/>
        <w:tblCellMar>
          <w:top w:w="28" w:type="dxa"/>
          <w:left w:w="28" w:type="dxa"/>
          <w:bottom w:w="28" w:type="dxa"/>
          <w:right w:w="28" w:type="dxa"/>
        </w:tblCellMar>
      </w:tblPr>
      <w:tblGrid>
        <w:gridCol w:w="1142"/>
        <w:gridCol w:w="1004"/>
        <w:gridCol w:w="1019"/>
        <w:gridCol w:w="211"/>
        <w:gridCol w:w="511"/>
        <w:gridCol w:w="109"/>
        <w:gridCol w:w="109"/>
        <w:gridCol w:w="109"/>
        <w:gridCol w:w="109"/>
        <w:gridCol w:w="109"/>
        <w:gridCol w:w="109"/>
        <w:gridCol w:w="109"/>
        <w:gridCol w:w="274"/>
        <w:gridCol w:w="665"/>
        <w:gridCol w:w="200"/>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 payable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Refunds payable and reserves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7.LONG-TERM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long-term debt at June 30, 2026 and December 31, 2025 consisted of the following amounts:</w:t>
      </w:r>
    </w:p>
    <w:tbl>
      <w:tblPr>
        <w:tblW w:w="6584" w:type="dxa"/>
        <w:jc w:val="left"/>
        <w:tblInd w:w="0" w:type="dxa"/>
        <w:tblLayout w:type="fixed"/>
        <w:tblCellMar>
          <w:top w:w="28" w:type="dxa"/>
          <w:left w:w="28" w:type="dxa"/>
          <w:bottom w:w="28" w:type="dxa"/>
          <w:right w:w="28" w:type="dxa"/>
        </w:tblCellMar>
      </w:tblPr>
      <w:tblGrid>
        <w:gridCol w:w="1392"/>
        <w:gridCol w:w="1223"/>
        <w:gridCol w:w="1239"/>
        <w:gridCol w:w="211"/>
        <w:gridCol w:w="616"/>
        <w:gridCol w:w="109"/>
        <w:gridCol w:w="109"/>
        <w:gridCol w:w="109"/>
        <w:gridCol w:w="109"/>
        <w:gridCol w:w="109"/>
        <w:gridCol w:w="109"/>
        <w:gridCol w:w="109"/>
        <w:gridCol w:w="245"/>
        <w:gridCol w:w="716"/>
        <w:gridCol w:w="179"/>
      </w:tblGrid>
      <w:tr>
        <w:trPr/>
        <w:tc>
          <w:tcPr>
            <w:tcW w:w="13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exit fee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July 31, 2025 (the "Closing Date"), the Company entered into a Credit Agreement (the "Credit Agreement") with the lenders from time to time party thereto, and OrbiMed Royalty &amp; Credit Opportunities IV, LP, as administrative agent (the "Administrative Agent") and as initial lender. The Credit Agreement consists of a $200.0 million term loan credit facility with an initial term loan of $125.0 million (the "Initial Loan"), which amount was funded on the Closing Date, and delayed draw term loans (the "Delayed Draw Loans" and together with the Initial Loan, the "Loans"), at the election of the Company, subject to the timing and terms specified in the Credit Agreement, on or prior to June 30, 2027, in a maximum principal amount of $75.0 million (collectively, the "Credit Facility"). The Company incurred debt discounts and issuance costs totaling $9.4 million. These costs are being amortized using the effective interest method. </w:t>
      </w:r>
      <w:r>
        <w:rPr>
          <w:rFonts w:ascii="Times New Roman;serif" w:hAnsi="Times New Roman;serif"/>
          <w:b w:val="false"/>
          <w:color w:val="000000"/>
          <w:sz w:val="20"/>
          <w:shd w:fill="FFFFFF" w:val="clear"/>
        </w:rPr>
        <w:t>The proceeds of the</w:t>
      </w:r>
      <w:r>
        <w:rPr>
          <w:color w:val="000000"/>
        </w:rPr>
        <w:t xml:space="preserve"> </w:t>
      </w:r>
      <w:r>
        <w:rPr>
          <w:rFonts w:ascii="Times New Roman;serif" w:hAnsi="Times New Roman;serif"/>
          <w:b w:val="false"/>
          <w:color w:val="000000"/>
          <w:sz w:val="20"/>
        </w:rPr>
        <w:t xml:space="preserve">Credit Facility were used to repay and terminate the Company's previous borrowing, with the remainder designated for working capital needs and general corporate purposes. On January 5, 2026, the Company and the Administrative Agent entered into the First Amendment to Credit Agreement for certain cash management matters.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Credit Facility matures on July 31, 2030 (the "Maturity Date"). All r</w:t>
      </w:r>
      <w:r>
        <w:rPr>
          <w:rFonts w:ascii="Times New Roman;serif" w:hAnsi="Times New Roman;serif"/>
          <w:b w:val="false"/>
          <w:color w:val="000000"/>
          <w:sz w:val="20"/>
        </w:rPr>
        <w:t>epayments are subject to an accrued exit fee. The Company may also elect to prepay all or any portion of the amounts owed prior to the Maturity Date subject to a repayment premium, in addition to the exit fee. Loans outstanding</w:t>
      </w:r>
      <w:r>
        <w:rPr>
          <w:color w:val="000000"/>
          <w:shd w:fill="FFFFFF" w:val="clear"/>
        </w:rPr>
        <w:t xml:space="preserve"> </w:t>
      </w:r>
      <w:r>
        <w:rPr>
          <w:rFonts w:ascii="Times New Roman;serif" w:hAnsi="Times New Roman;serif"/>
          <w:b w:val="false"/>
          <w:color w:val="000000"/>
          <w:sz w:val="20"/>
          <w:shd w:fill="FFFFFF" w:val="clear"/>
        </w:rPr>
        <w:t>under the Credit Facility bear interest at a rate per annum equal to (x) the greater of the one-month Secured Overnight Financing Rate ("S</w:t>
      </w:r>
      <w:r>
        <w:rPr>
          <w:rFonts w:ascii="Times New Roman;serif" w:hAnsi="Times New Roman;serif"/>
          <w:b w:val="false"/>
          <w:color w:val="000000"/>
          <w:sz w:val="20"/>
        </w:rPr>
        <w:t>OFR") Rate and 2.5% plus (y) an applicable margin of 6.5%. Commencing on September 30, 2029, and on the last business day of each fiscal quarter thereafter, the Company is required to make a scheduled principal payment equal to 2.5% of the unpaid principal amount of the Loans outstanding on the fourth anniversary of the Closing Date, together with any applicable exit fee and repayment premium. Any undrawn portion of the Delayed Draw Loans is subject to a fee of 0.5% per annum, payable each interest period based on the amou</w:t>
      </w:r>
      <w:r>
        <w:rPr>
          <w:rFonts w:ascii="Times New Roman;serif" w:hAnsi="Times New Roman;serif"/>
          <w:b w:val="false"/>
          <w:color w:val="000000"/>
          <w:sz w:val="20"/>
          <w:shd w:fill="FFFFFF" w:val="clear"/>
        </w:rPr>
        <w:t xml:space="preserve">nt that remains undrawn through June 30, 2027. </w:t>
      </w:r>
      <w:r>
        <w:rPr>
          <w:rFonts w:ascii="Times New Roman;serif" w:hAnsi="Times New Roman;serif"/>
          <w:b w:val="false"/>
          <w:color w:val="000000"/>
          <w:sz w:val="20"/>
        </w:rPr>
        <w:t xml:space="preserve">The interest rates for borrowings under the Credit Agreement as of June 30, 2026 and December 31, 2025 were 10.1% and 10.4%,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Facility is also subject to customary mandatory prepayments with the proceeds of indebtedness and certain asset sales and casualty events. In addition to the exit fee and repayment premium referenced above, voluntary and mandatory prepayments and all other payments of the Credit Facility must also be accompanied by payment of accrued interest on the principal amount repaid or prepaid. The Credit Facility is also subject to other customary fee arrangements.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obligations of the Company are guaranteed by certain of the Company’s material subsidiaries (the “Credit Facility Guarantors”) pursuant</w:t>
      </w:r>
      <w:r>
        <w:rPr>
          <w:color w:val="000000"/>
        </w:rPr>
        <w:t xml:space="preserve"> </w:t>
      </w:r>
      <w:r>
        <w:rPr>
          <w:rFonts w:ascii="Times New Roman;serif" w:hAnsi="Times New Roman;serif"/>
          <w:b w:val="false"/>
          <w:color w:val="000000"/>
          <w:sz w:val="20"/>
        </w:rPr>
        <w:t xml:space="preserve">to a Guarantee. The obligations of the Company and the Credit Facility Guarantors under the Credit Agreement and Guarantee are secured by substantially all of the assets of the Company and the Credit Facility Guarantors under a Pledge and Security Agreement entered into with the Administrative Agent.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60985"/>
                <wp:effectExtent l="0" t="0" r="0" b="0"/>
                <wp:wrapNone/>
                <wp:docPr id="13" name="Frame1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The Credit Facility requires the Company and its subsidiaries, on a consolidated basis, to comply with a minimum trailing twelve-month revenue test as of the end of each month, commencing with the month ending December 31, 2025 at $615.0 million and increasing quarterly to $974.0 million beginning on December 31, 2029 and thereafter. In addition, the </w:t>
      </w:r>
      <w:r>
        <w:rPr>
          <w:rFonts w:ascii="Times New Roman;serif" w:hAnsi="Times New Roman;serif"/>
          <w:b w:val="false"/>
          <w:color w:val="000000"/>
          <w:sz w:val="20"/>
          <w:shd w:fill="FFFFFF" w:val="clear"/>
        </w:rPr>
        <w:t>Credit Facility</w:t>
      </w:r>
      <w:r>
        <w:rPr>
          <w:color w:val="000000"/>
        </w:rPr>
        <w:t xml:space="preserve"> </w:t>
      </w:r>
      <w:r>
        <w:rPr>
          <w:rFonts w:ascii="Times New Roman;serif" w:hAnsi="Times New Roman;serif"/>
          <w:b w:val="false"/>
          <w:color w:val="000000"/>
          <w:sz w:val="20"/>
        </w:rPr>
        <w:t xml:space="preserve">contains customary representations and warranties and affirmative and negative covenants, including covenants that limit or restrict the Company and its subsidiaries’ ability to incur liens, incur indebtedness, dispose of assets, make investments, make certain restricted payments, merge or consolidate and enter into certain speculative hedging arrangements. The </w:t>
      </w:r>
      <w:r>
        <w:rPr>
          <w:rFonts w:ascii="Times New Roman;serif" w:hAnsi="Times New Roman;serif"/>
          <w:b w:val="false"/>
          <w:color w:val="000000"/>
          <w:sz w:val="20"/>
          <w:shd w:fill="FFFFFF" w:val="clear"/>
        </w:rPr>
        <w:t>Credit Facility</w:t>
      </w:r>
      <w:r>
        <w:rPr>
          <w:color w:val="000000"/>
        </w:rPr>
        <w:t xml:space="preserve"> </w:t>
      </w:r>
      <w:r>
        <w:rPr>
          <w:rFonts w:ascii="Times New Roman;serif" w:hAnsi="Times New Roman;serif"/>
          <w:b w:val="false"/>
          <w:color w:val="000000"/>
          <w:sz w:val="20"/>
        </w:rPr>
        <w:t xml:space="preserve">includes a number of customary events of default, including, among other things, nonpayment defaults, covenant defaults, cross-defaults to other material indebtedness, bankruptcy and insolvency defaults, material judgment defaults and the occurrence of a change of control. If any event of default occurs (subject, in certain instances, to specified grace periods), the principal, premium, if any, interest and any other monetary obligations on all of the then outstanding amounts under the </w:t>
      </w:r>
      <w:r>
        <w:rPr>
          <w:rFonts w:ascii="Times New Roman;serif" w:hAnsi="Times New Roman;serif"/>
          <w:b w:val="false"/>
          <w:color w:val="000000"/>
          <w:sz w:val="20"/>
          <w:shd w:fill="FFFFFF" w:val="clear"/>
        </w:rPr>
        <w:t xml:space="preserve">Credit Facility </w:t>
      </w:r>
      <w:r>
        <w:rPr>
          <w:rFonts w:ascii="Times New Roman;serif" w:hAnsi="Times New Roman;serif"/>
          <w:b w:val="false"/>
          <w:color w:val="000000"/>
          <w:sz w:val="20"/>
        </w:rPr>
        <w:t>may become due and payable immediately. The Company was in compliance with all applicable covenants under the Credit Agreement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8.PREFERRED AND COMMON STOCKHOLDERS' EQUITY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up to 5.0 million shares of preferred stock, par value $0.01 per share. There were no shares of preferred stock outstanding at June 30,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up to 150.0 million shares of common stock, par value $0.01 per share. There were 95.6 million shares of common stock issued and outstanding at June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Shares of Common Stock Issued and Outstanding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the issued and outstanding common stock for the six months ended June 30, 2026 and 2025 is as follows:</w:t>
      </w:r>
    </w:p>
    <w:tbl>
      <w:tblPr>
        <w:tblW w:w="10205" w:type="dxa"/>
        <w:jc w:val="left"/>
        <w:tblInd w:w="0" w:type="dxa"/>
        <w:tblLayout w:type="fixed"/>
        <w:tblCellMar>
          <w:top w:w="28" w:type="dxa"/>
          <w:left w:w="28" w:type="dxa"/>
          <w:bottom w:w="28" w:type="dxa"/>
          <w:right w:w="28" w:type="dxa"/>
        </w:tblCellMar>
      </w:tblPr>
      <w:tblGrid>
        <w:gridCol w:w="2953"/>
        <w:gridCol w:w="2582"/>
        <w:gridCol w:w="2611"/>
        <w:gridCol w:w="255"/>
        <w:gridCol w:w="256"/>
        <w:gridCol w:w="156"/>
        <w:gridCol w:w="111"/>
        <w:gridCol w:w="111"/>
        <w:gridCol w:w="111"/>
        <w:gridCol w:w="111"/>
        <w:gridCol w:w="111"/>
        <w:gridCol w:w="111"/>
        <w:gridCol w:w="255"/>
        <w:gridCol w:w="256"/>
        <w:gridCol w:w="215"/>
      </w:tblGrid>
      <w:tr>
        <w:trPr/>
        <w:tc>
          <w:tcPr>
            <w:tcW w:w="2953"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8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1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common stock issued and outstanding</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FF0F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exercise of options, vesting of restricted stock units, and purchases under employee stock purchase plan, net of shares exchanged for withholding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6"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8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and outstanding at end of period</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based on the weighted-average number of shares of common stock outstanding. Diluted earnings per share is computed based on the weighted-average number of shares of common stock, including the dilutive effect of common stock equivalents, outstanding. In periods when the Company has a net loss, stock awards are excluded from the calculation of diluted net loss per share as their inclusion would have an anti-dilutive effect.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denominators of the basic and diluted earnings per share (“EPS”) computations:</w:t>
      </w:r>
    </w:p>
    <w:tbl>
      <w:tblPr>
        <w:tblW w:w="10205" w:type="dxa"/>
        <w:jc w:val="left"/>
        <w:tblInd w:w="0" w:type="dxa"/>
        <w:tblLayout w:type="fixed"/>
        <w:tblCellMar>
          <w:top w:w="28" w:type="dxa"/>
          <w:left w:w="28" w:type="dxa"/>
          <w:bottom w:w="28" w:type="dxa"/>
          <w:right w:w="28" w:type="dxa"/>
        </w:tblCellMar>
      </w:tblPr>
      <w:tblGrid>
        <w:gridCol w:w="2068"/>
        <w:gridCol w:w="1818"/>
        <w:gridCol w:w="1850"/>
        <w:gridCol w:w="255"/>
        <w:gridCol w:w="256"/>
        <w:gridCol w:w="156"/>
        <w:gridCol w:w="123"/>
        <w:gridCol w:w="123"/>
        <w:gridCol w:w="123"/>
        <w:gridCol w:w="123"/>
        <w:gridCol w:w="123"/>
        <w:gridCol w:w="123"/>
        <w:gridCol w:w="255"/>
        <w:gridCol w:w="256"/>
        <w:gridCol w:w="156"/>
        <w:gridCol w:w="109"/>
        <w:gridCol w:w="109"/>
        <w:gridCol w:w="109"/>
        <w:gridCol w:w="255"/>
        <w:gridCol w:w="256"/>
        <w:gridCol w:w="156"/>
        <w:gridCol w:w="111"/>
        <w:gridCol w:w="111"/>
        <w:gridCol w:w="111"/>
        <w:gridCol w:w="111"/>
        <w:gridCol w:w="111"/>
        <w:gridCol w:w="111"/>
        <w:gridCol w:w="255"/>
        <w:gridCol w:w="256"/>
        <w:gridCol w:w="226"/>
      </w:tblGrid>
      <w:tr>
        <w:trPr/>
        <w:tc>
          <w:tcPr>
            <w:tcW w:w="206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8" w:space="0" w:color="000000"/>
            </w:tcBorders>
            <w:shd w:fill="CFF0F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FF0F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to compute basic EPS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shares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FF0F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and dilutive securities used to compute diluted EPS</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60985"/>
                <wp:effectExtent l="0" t="0" r="0" b="0"/>
                <wp:wrapNone/>
                <wp:docPr id="14" name="Frame1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Certain outstanding options and restricted stock units (“RSUs”) were excluded from the computation of diluted earnings per share because the effect would have been anti-dilutive. These potential dilutive shares of common stock, which may be dilutive to future diluted earnings per share, are as follows:</w:t>
      </w:r>
    </w:p>
    <w:tbl>
      <w:tblPr>
        <w:tblW w:w="9655" w:type="dxa"/>
        <w:jc w:val="left"/>
        <w:tblInd w:w="0" w:type="dxa"/>
        <w:tblLayout w:type="fixed"/>
        <w:tblCellMar>
          <w:top w:w="28" w:type="dxa"/>
          <w:left w:w="28" w:type="dxa"/>
          <w:bottom w:w="28" w:type="dxa"/>
          <w:right w:w="28" w:type="dxa"/>
        </w:tblCellMar>
      </w:tblPr>
      <w:tblGrid>
        <w:gridCol w:w="1932"/>
        <w:gridCol w:w="1698"/>
        <w:gridCol w:w="1725"/>
        <w:gridCol w:w="255"/>
        <w:gridCol w:w="256"/>
        <w:gridCol w:w="156"/>
        <w:gridCol w:w="130"/>
        <w:gridCol w:w="130"/>
        <w:gridCol w:w="130"/>
        <w:gridCol w:w="130"/>
        <w:gridCol w:w="130"/>
        <w:gridCol w:w="130"/>
        <w:gridCol w:w="203"/>
        <w:gridCol w:w="203"/>
        <w:gridCol w:w="156"/>
        <w:gridCol w:w="109"/>
        <w:gridCol w:w="109"/>
        <w:gridCol w:w="109"/>
        <w:gridCol w:w="255"/>
        <w:gridCol w:w="256"/>
        <w:gridCol w:w="156"/>
        <w:gridCol w:w="113"/>
        <w:gridCol w:w="113"/>
        <w:gridCol w:w="113"/>
        <w:gridCol w:w="113"/>
        <w:gridCol w:w="113"/>
        <w:gridCol w:w="113"/>
        <w:gridCol w:w="203"/>
        <w:gridCol w:w="203"/>
        <w:gridCol w:w="213"/>
      </w:tblGrid>
      <w:tr>
        <w:trPr/>
        <w:tc>
          <w:tcPr>
            <w:tcW w:w="193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options and RSUs excluded from EPS computation</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9.STOCK-BASED COMPENSATION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4, 2026, the Company's stockholders approved the adoption of the 2026 Employee, Director and Consultant Equity Incentive Plan (the "2026 Plan") which replaced the 2017 Employee, Director and Consultant Equity Incentive Plan (the "2017 Plan") as the Company's equity incentive plan for future awards. The 2026 Plan allows the Company, under the direction of the Compensation and Human Capital Committee (the "CHCC") of the Company's Board of Directors, to make grants of stock options, stock grants, and stock-based awards, including restricted stock unit awards and stock appreciation rights, to employees, consultants and directors. The 2026 Plan provides for the issuance of up to approximately 8.5 million shares of common stock, which includes shares of common stock that were available for future grants under the 2017 Plan as of June 4, 2026. In addition, any shares subject to awards granted under the 2017 Plan that are forfeited, expire, or are cancelled without the delivery of shares on or after June 4, 2026, up to an aggregate maximum of approximately 8.7 million shares of common stock, will become available for issuance under the 2026 Plan. Following stockholder approval of the 2026 Plan, no further awards will be granted under the 2017 Plan, although outstanding awards under the 2017 Plan remain in effect subject to the terms of the 2017 Plan and the individual awards. As of June 30, 2026, the Company had 5.8 million shares of common stock available for grant under the 2026 Plan. Shares subject to RSUs granted under the 2026 Plan that are cancelled or forfeited without the issuance of shares will again become available for issuance under the 2026 Plan.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shares, terms, and vesting periods are generally determined by the Company’s Board of Directors or the CHCC on an award-by-award basis. RSUs granted to employees generally vest either ratably over three or four years or cliff vest after three years, either on the anniversary of the date on which the RSUs were granted or during the month in which such anniversary dates occur. The number of performance RSUs ("PSUs") awarded to certain employees may be increased or reduced based on certain additional performance and market metrics. RSUs granted to non-employee directors generally vest in full upon the earlier of the completion of one year of service following the date of the grant or the date of the next annual meeting of stockholders following such grant.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performance and market conditions associated with PSU awards granted as part of the Company's compensation program during the three months ended June 30, 2026 include vesting that is based on revenue targets (34% weighting), adjusted earnings per share targets (33% weighting), and relative total stockholder return (33% weighting) measured against the Nasdaq Health Care Index (IXHC) using the 20-trading day averages at the beginning and end of the measurement period. The measurement period for revenue, adjusted earnings per share, and relative total stockholder return is January 1, 2026 through December 31, 2028. The Company estimates the likelihood of achievement of performance conditions for all PSU awards at the end of each period. To the extent the performance conditions for those awards or portions thereof are considered probable of being achieved, such awards or portions thereof are expensed over the performance period. The portion of the awards pertaining to relative total stockholder return represents market conditions and, accordingly, the estimated fair value of such awards is recognized over the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60985"/>
                <wp:effectExtent l="0" t="0" r="0" b="0"/>
                <wp:wrapNone/>
                <wp:docPr id="15" name="Frame1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stock option activity for the six months ended June 30, 2026 is as follows:</w:t>
      </w:r>
    </w:p>
    <w:tbl>
      <w:tblPr>
        <w:tblW w:w="5618" w:type="dxa"/>
        <w:jc w:val="left"/>
        <w:tblInd w:w="0" w:type="dxa"/>
        <w:tblLayout w:type="fixed"/>
        <w:tblCellMar>
          <w:top w:w="28" w:type="dxa"/>
          <w:left w:w="28" w:type="dxa"/>
          <w:bottom w:w="28" w:type="dxa"/>
          <w:right w:w="28" w:type="dxa"/>
        </w:tblCellMar>
      </w:tblPr>
      <w:tblGrid>
        <w:gridCol w:w="1300"/>
        <w:gridCol w:w="1147"/>
        <w:gridCol w:w="1152"/>
        <w:gridCol w:w="240"/>
        <w:gridCol w:w="240"/>
        <w:gridCol w:w="231"/>
        <w:gridCol w:w="109"/>
        <w:gridCol w:w="109"/>
        <w:gridCol w:w="109"/>
        <w:gridCol w:w="211"/>
        <w:gridCol w:w="616"/>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(number of shares in millions)</w:t>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December 31, 2025</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canceled or expired</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June 30, 2026</w:t>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June 30, 2026</w:t>
            </w:r>
          </w:p>
        </w:tc>
        <w:tc>
          <w:tcPr>
            <w:tcW w:w="4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no unrecognized stock-based compensation expense associated with the Company's outstanding stock options. There were no options granted during the six months ended June 30, 2026.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RSU awards activity under the Company’s equity plans and inducement awards, including PSU awards, for the six months ended June 30, 2026 is as follows:</w:t>
      </w:r>
    </w:p>
    <w:tbl>
      <w:tblPr>
        <w:tblW w:w="6589" w:type="dxa"/>
        <w:jc w:val="left"/>
        <w:tblInd w:w="0" w:type="dxa"/>
        <w:tblLayout w:type="fixed"/>
        <w:tblCellMar>
          <w:top w:w="28" w:type="dxa"/>
          <w:left w:w="28" w:type="dxa"/>
          <w:bottom w:w="28" w:type="dxa"/>
          <w:right w:w="28" w:type="dxa"/>
        </w:tblCellMar>
      </w:tblPr>
      <w:tblGrid>
        <w:gridCol w:w="1636"/>
        <w:gridCol w:w="1444"/>
        <w:gridCol w:w="1450"/>
        <w:gridCol w:w="255"/>
        <w:gridCol w:w="256"/>
        <w:gridCol w:w="231"/>
        <w:gridCol w:w="109"/>
        <w:gridCol w:w="109"/>
        <w:gridCol w:w="109"/>
        <w:gridCol w:w="213"/>
        <w:gridCol w:w="622"/>
        <w:gridCol w:w="155"/>
      </w:tblGrid>
      <w:tr>
        <w:trPr/>
        <w:tc>
          <w:tcPr>
            <w:tcW w:w="163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(number of shares in millions)</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45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unvested and outstanding at December 31, 2025</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canceled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unvested and outstanding at June 30, 2026</w:t>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has an Employee Stock Purchase Plan that was initially approved by stockholders in 2012. Stockholders have subsequently approved amendments to the plan, including most recently at the Company's annual meeting of stockholders held on June 4, 2026, where stockholders approved an amendment to the plan to increase the aggregate number of authorized shares of common stock for issuance under the plan by 4.0 million shares (as amended, the "Amended and Restated 2012 Purchase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Shares are issued under the Amended and Restated 2012 Purchase Plan twice yearly at the end of each offering period and the number of shares that may be purchased by any participant during an offering period is limited to 5,000 shares. The first offering period of 2026 started on December 1, 2025 and ended on June 11, 2026. The second offering period of 2026 began on June 12, 2026 and will end on November 30, 2026. As of June 30, 2026, 3.3 million shares of common stock were available for issuance under the Amended and Restated 2012 Purchase Plan. Shares purchased under, and compensation associated with, the Amended and Restated 2012 Purchase Plan for the three and six months ended June 30, 2026 and 2025 are as follows: </w:t>
      </w:r>
    </w:p>
    <w:tbl>
      <w:tblPr>
        <w:tblW w:w="7314" w:type="dxa"/>
        <w:jc w:val="left"/>
        <w:tblInd w:w="0" w:type="dxa"/>
        <w:tblLayout w:type="fixed"/>
        <w:tblCellMar>
          <w:top w:w="28" w:type="dxa"/>
          <w:left w:w="28" w:type="dxa"/>
          <w:bottom w:w="28" w:type="dxa"/>
          <w:right w:w="28" w:type="dxa"/>
        </w:tblCellMar>
      </w:tblPr>
      <w:tblGrid>
        <w:gridCol w:w="987"/>
        <w:gridCol w:w="867"/>
        <w:gridCol w:w="876"/>
        <w:gridCol w:w="211"/>
        <w:gridCol w:w="406"/>
        <w:gridCol w:w="109"/>
        <w:gridCol w:w="109"/>
        <w:gridCol w:w="109"/>
        <w:gridCol w:w="109"/>
        <w:gridCol w:w="109"/>
        <w:gridCol w:w="109"/>
        <w:gridCol w:w="109"/>
        <w:gridCol w:w="211"/>
        <w:gridCol w:w="406"/>
        <w:gridCol w:w="109"/>
        <w:gridCol w:w="109"/>
        <w:gridCol w:w="109"/>
        <w:gridCol w:w="109"/>
        <w:gridCol w:w="211"/>
        <w:gridCol w:w="406"/>
        <w:gridCol w:w="109"/>
        <w:gridCol w:w="109"/>
        <w:gridCol w:w="109"/>
        <w:gridCol w:w="109"/>
        <w:gridCol w:w="109"/>
        <w:gridCol w:w="109"/>
        <w:gridCol w:w="109"/>
        <w:gridCol w:w="211"/>
        <w:gridCol w:w="406"/>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215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purchased under the plan</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60985"/>
                <wp:effectExtent l="0" t="0" r="0" b="0"/>
                <wp:wrapNone/>
                <wp:docPr id="16" name="Frame1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and included in the Condensed Consolidated Statements of Operations and Comprehensive Loss was allocated as follows:</w:t>
      </w:r>
    </w:p>
    <w:tbl>
      <w:tblPr>
        <w:tblW w:w="8348" w:type="dxa"/>
        <w:jc w:val="left"/>
        <w:tblInd w:w="0" w:type="dxa"/>
        <w:tblLayout w:type="fixed"/>
        <w:tblCellMar>
          <w:top w:w="28" w:type="dxa"/>
          <w:left w:w="28" w:type="dxa"/>
          <w:bottom w:w="28" w:type="dxa"/>
          <w:right w:w="28" w:type="dxa"/>
        </w:tblCellMar>
      </w:tblPr>
      <w:tblGrid>
        <w:gridCol w:w="1247"/>
        <w:gridCol w:w="1096"/>
        <w:gridCol w:w="1106"/>
        <w:gridCol w:w="211"/>
        <w:gridCol w:w="406"/>
        <w:gridCol w:w="109"/>
        <w:gridCol w:w="109"/>
        <w:gridCol w:w="109"/>
        <w:gridCol w:w="109"/>
        <w:gridCol w:w="109"/>
        <w:gridCol w:w="109"/>
        <w:gridCol w:w="109"/>
        <w:gridCol w:w="211"/>
        <w:gridCol w:w="511"/>
        <w:gridCol w:w="109"/>
        <w:gridCol w:w="109"/>
        <w:gridCol w:w="109"/>
        <w:gridCol w:w="109"/>
        <w:gridCol w:w="211"/>
        <w:gridCol w:w="511"/>
        <w:gridCol w:w="109"/>
        <w:gridCol w:w="109"/>
        <w:gridCol w:w="109"/>
        <w:gridCol w:w="109"/>
        <w:gridCol w:w="109"/>
        <w:gridCol w:w="109"/>
        <w:gridCol w:w="109"/>
        <w:gridCol w:w="211"/>
        <w:gridCol w:w="51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$54.7 million of total unrecognized stock-based compensation expense related to RSUs that is expected to be recognized over a weighted-average period of 2.3 years. The Company recognizes forfeitures as they occur. In the event that a PSU is determined to be improbable of vesting, the Company records an adjustment to reverse all previously recognized expense associated with the equity award in the current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10.INCOME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order to determine the Company’s quarterly provision for income taxes, the Company used an estimated annual effective tax rate that is based on expected annual income and statutory tax rates in the various jurisdictions in which the Company operates. Certain significant or unusual items are separately recognized in the quarter during which they occur and can be a source of variability in the effective tax rate from quarter to quarter. For the three months ended June 30, 2026, income tax expense was $0.6 million, or approximately (1.4)% of pre-tax loss, compared to $0.1 million income tax benefit, or approximately 0.0% of pre-tax loss, for the three months ended June 30, 2025. For the six months ended June 30, 2026, income tax expense was $0.6 million, or approximately (0.78)% of pre-tax loss, compared to an income tax benefit of $29.4 million, or approximately 8.2% of pre-tax loss, for the six months ended June 30,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Company’s effective tax rate differs from the U.S. federal statutory rate primarily due to the recognition of valuation allowances. Due to the Company's cumulative loss and the exhaustion of future taxable income from the reversal of taxable temporary differences, the Company's estimated annual effective tax rate for the current year includes a valuation allowance against the current year increase in deferred tax assets. For the three months ended June 30, 2025, the Company’s effective tax rate differs from the U.S. federal statutory rate primarily due to the recognition of valuation allowances.  For the six months ended June 30, 2025, the Company’s effective tax rate differs from the U.S. federal statutory rate primarily due to the recognition of valuation allowances and unrecognized tax benefits. The valuation allowances include any tax-deductible loss from the $316.7 million of long-lived impairment charges recorded for the three months ended June 30, 2025. The unrecognized tax benefits released were primarily related to tax refund claims following the Coronavirus Aid, Relief, and Economic Security Act. Following the success of these claims, the Company remeasured or released the unrecognized benefits resulting in a discrete tax benefit of $29.6 million in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11.LEASES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office spaces, research and development laboratory facilities, and office equipment with remaining lease terms ranging from approximately one to twelve years. Operating leases are included in Operating lease right-of-use assets, Noncurrent operating lease liabilities, and Current maturities of operating lease liabilities in the Condensed Consolidated Balance Sheets. Finance leases are included in Other assets, Accrued liabilities, and Other long-term liabilities in the Condensed Consolidated Balance Sheets.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previously amended the lease for its west Salt Lake City headquarters in 2024 to expand the facility in anticipation of future operating needs. During the six months ended June 30, 2026, the Company took possession of the remaining square footage of the west Salt Lake City facility and recognized an additional $2.7 million right-of-use asset and corresponding lease liability, net of a tenant improvement allowance not yet received of approximately $6.5 million. Future rent payments associated with the expanded space are approximately $18.2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60985"/>
                <wp:effectExtent l="0" t="0" r="0" b="0"/>
                <wp:wrapNone/>
                <wp:docPr id="17" name="Frame1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12.COMMITMENTS AND CONTINGENCIES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from time to time in various disputes, claims, and legal actions, including class actions and other litigation, including the matters described below, arising in the ordinary course of business. Such actions may include allegations of negligence, product or professional liability or other legal claims, and could involve claims for substantial compensatory and punitive damages or claims for indeterminate amounts of damages. The Company is also involved, from time to time, in investigations by governmental agencies regarding its business which may result in adverse judgments, settlements, fines, penalties, injunctions, or other relief.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certain federal and state statutes, including the qui tam provisions of the federal False Claims Act, allow private individuals to bring lawsuits against healthcare companies on behalf of the government or private payors. The Company has received subpoenas from time to time related to billing or other practices based on the False Claims Act or other federal and state statutes, regulations, or other laws.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intends to defend its current litigation matters but cannot provide any assurance as to the ultimate outcome or that an adverse resolution would not have a material adverse effect on its financial condition, results of operations or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legal contingencies to determine the degree of probability and range of possible loss for potential accrual and disclosure in its financial statements. When evaluating legal contingencies, the Company may be unable to provide a meaningful estimate due to a number of factors, including that the proceedings may be in early stages, there may be uncertainty as to the outcome of pending appeals or motions, there may be significant factual issues to be resolved, and there may be complex or novel legal theories to be presented. In addition, damages may not be specified or the damage amounts claimed may be unsupported, exaggerated or unrelated to possible outcomes, and therefore, such amounts are not a reliable indicator of potential liability.</w:t>
      </w:r>
    </w:p>
    <w:p>
      <w:pPr>
        <w:pStyle w:val="TextBody"/>
        <w:bidi w:val="0"/>
        <w:spacing w:lineRule="auto" w:line="288" w:before="180" w:after="283"/>
        <w:jc w:val="both"/>
        <w:rPr/>
      </w:pPr>
      <w:r>
        <w:rPr>
          <w:rFonts w:ascii="Times New Roman;serif" w:hAnsi="Times New Roman;serif"/>
          <w:b w:val="false"/>
          <w:color w:val="000000"/>
          <w:sz w:val="20"/>
        </w:rPr>
        <w:t xml:space="preserve">As of June 30, 2026, the Company has not recorded any material accrual for loss contingencies associated with legal proceedings or other matters or determined that an unfavorable outcome is probable and reasonably estimable in accordance with ASC 450, </w:t>
      </w:r>
      <w:r>
        <w:rPr>
          <w:rFonts w:ascii="Times New Roman;serif" w:hAnsi="Times New Roman;serif"/>
          <w:b w:val="false"/>
          <w:i/>
          <w:color w:val="000000"/>
          <w:sz w:val="20"/>
        </w:rPr>
        <w:t>Contingencies</w:t>
      </w:r>
      <w:r>
        <w:rPr>
          <w:rFonts w:ascii="Times New Roman;serif" w:hAnsi="Times New Roman;serif"/>
          <w:b w:val="false"/>
          <w:color w:val="000000"/>
          <w:sz w:val="20"/>
        </w:rPr>
        <w:t>. However, it is possible that the ultimate resolution of legal proceedings or other matters, if unfavorable, may be material to the Company's results of operations, financial condition or cash flows. Further, in the event that damages from an unfavorable resolution of one or more of these proceedings exceed the aggregate amount of the coverage limits of the Company’s insurance, or if the Company’s insurance carriers disclaim coverage, the amounts payable by the Company could also have a material adverse impact on the Company’s results of operations, financial condition or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receives recoupment requests from third-party payors for alleged overpayments. The Company disagrees with the contentions of the pending requests or has recorded an estimated reserve for the alleged overpayments.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Qui Tam Lawsuit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June 2023, the Company received a civil investigative demand pursuant to the False Claims Act from the U.S. Department of Justice concerning whether the Company offered or paid remuneration to physicians at Carolina Urology Partners, PLLC, in exchange for referrals. The Department of Justice subsequently requested additional documentation and information during its investigation. The Company cooperated with the Department of Justice investigation, providing the documents and information requested. On January 22, 2025, the U.S. District Court for the Western District of North Carolina unsealed a qui tam complaint, filed on November 3, 2022, against Carolina Urology Partners, PLLC, and certain of its current or former physician partners, and the Company and certain of its former employees, alleging violations of the False Claims Act. The government declined to intervene in the case. The Company was not aware of the complaint until after it was unsealed. On April 16, 2025, the Company was served with the complaint. In June 2025, the Company filed a motion to dismiss the complaint. The Company's motion to dismiss challenges the constitutionality of the qui tam provisions of the False Claims Act. Following the filing of the Company's motion to dismiss, the United States government elected to intervene in this case for the limited purpose of defending the constitutionality of the qui tam provisions of the False Claims Act. On July 9, 2026, the Court denied the Company's motion to dismiss except with respect to one count alleging violation of 31 U.S.C. § 3729(a)(1)(G), on which count the Company's motion to dismiss was granted. The litigation remains ongoing.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60985"/>
                <wp:effectExtent l="0" t="0" r="0" b="0"/>
                <wp:wrapNone/>
                <wp:docPr id="18" name="Frame1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13.SEGMENT REPORTING AND RELATED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identified its President and Chief Executive Officer as its Chief Operating Decision Maker (the "CODM"). The CODM regularly reviews consolidated financial information for the purposes of evaluating performance, allocating resources, setting incentive compensation targets, and planning and forecasting for future periods. In alignment with how the CODM reviews performance and makes decisions in managing the Company, the Company has determined that it operates as a single operating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consolidated net income (loss) as the measure of segment profitability. The significant expenses and other segment expenses presented to the CODM are at the same level as presented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14.SUPPLEMENTAL CASH FLOW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supplemental cash flow information for the six months ended June 30, 2026 and 2025 is as follows:</w:t>
      </w:r>
    </w:p>
    <w:tbl>
      <w:tblPr>
        <w:tblW w:w="10205" w:type="dxa"/>
        <w:jc w:val="left"/>
        <w:tblInd w:w="0" w:type="dxa"/>
        <w:tblLayout w:type="fixed"/>
        <w:tblCellMar>
          <w:top w:w="28" w:type="dxa"/>
          <w:left w:w="28" w:type="dxa"/>
          <w:bottom w:w="28" w:type="dxa"/>
          <w:right w:w="28" w:type="dxa"/>
        </w:tblCellMar>
      </w:tblPr>
      <w:tblGrid>
        <w:gridCol w:w="2938"/>
        <w:gridCol w:w="2468"/>
        <w:gridCol w:w="2482"/>
        <w:gridCol w:w="211"/>
        <w:gridCol w:w="570"/>
        <w:gridCol w:w="109"/>
        <w:gridCol w:w="109"/>
        <w:gridCol w:w="109"/>
        <w:gridCol w:w="109"/>
        <w:gridCol w:w="109"/>
        <w:gridCol w:w="109"/>
        <w:gridCol w:w="109"/>
        <w:gridCol w:w="211"/>
        <w:gridCol w:w="406"/>
        <w:gridCol w:w="156"/>
      </w:tblGrid>
      <w:tr>
        <w:trPr/>
        <w:tc>
          <w:tcPr>
            <w:tcW w:w="293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investing and financing activities: </w:t>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lease right-of-use assets and lease liabilities</w:t>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Tenant improvement allowance not yet received </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and capitalization of intangible assets in accounts payable and accrued liabilities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net of refunds received, includes $11.7 million in income tax refunds received during the three months ended March 31, 2026, related to the receipt of a prior-year refund claim.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on the Condensed Consolidated Balance Sheets that agrees to the amounts included in the Condensed Consolidated Statements of Cash Flows.</w:t>
      </w:r>
    </w:p>
    <w:tbl>
      <w:tblPr>
        <w:tblW w:w="6892" w:type="dxa"/>
        <w:jc w:val="left"/>
        <w:tblInd w:w="0" w:type="dxa"/>
        <w:tblLayout w:type="fixed"/>
        <w:tblCellMar>
          <w:top w:w="28" w:type="dxa"/>
          <w:left w:w="28" w:type="dxa"/>
          <w:bottom w:w="28" w:type="dxa"/>
          <w:right w:w="28" w:type="dxa"/>
        </w:tblCellMar>
      </w:tblPr>
      <w:tblGrid>
        <w:gridCol w:w="1441"/>
        <w:gridCol w:w="1265"/>
        <w:gridCol w:w="1284"/>
        <w:gridCol w:w="211"/>
        <w:gridCol w:w="616"/>
        <w:gridCol w:w="109"/>
        <w:gridCol w:w="109"/>
        <w:gridCol w:w="109"/>
        <w:gridCol w:w="109"/>
        <w:gridCol w:w="109"/>
        <w:gridCol w:w="109"/>
        <w:gridCol w:w="109"/>
        <w:gridCol w:w="211"/>
        <w:gridCol w:w="511"/>
        <w:gridCol w:w="109"/>
        <w:gridCol w:w="109"/>
        <w:gridCol w:w="109"/>
        <w:gridCol w:w="109"/>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60985"/>
                <wp:effectExtent l="0" t="0" r="0" b="0"/>
                <wp:wrapNone/>
                <wp:docPr id="19" name="Frame1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Management’s Discussion and Analysis of Financial Condition and Results of Operations should be read in conjunction with the unaudited Condensed Consolidated Financial Statements and the related notes thereto included in this Quarterly Report on Form 10-Q and the audited Consolidated Financial Statements and related notes thereto and Management’s Discussion and Analysis of Financial Condition and Results of Operations for the year ended December 31, 2025 included in our Annual Report on Form 10-K filed with the Securities and Exchange Commission, or SEC, on February 24, 2026. </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0"/>
        </w:rPr>
        <w:t>We,” “us,” “our,” “Myriad” and the “Company” as used in this Quarterly Report on Form 10</w:t>
        <w:noBreakHyphen/>
        <w:t>Q refer to Myriad Genetics, Inc., a Delaware corporation, and its subsidiaries.</w:t>
      </w:r>
    </w:p>
    <w:p>
      <w:pPr>
        <w:pStyle w:val="TextBody"/>
        <w:bidi w:val="0"/>
        <w:spacing w:lineRule="auto" w:line="288" w:before="180" w:after="283"/>
        <w:jc w:val="both"/>
        <w:rPr/>
      </w:pPr>
      <w:r>
        <w:rPr>
          <w:rFonts w:ascii="Times New Roman;serif" w:hAnsi="Times New Roman;serif"/>
          <w:b w:val="false"/>
          <w:color w:val="000000"/>
          <w:sz w:val="20"/>
        </w:rPr>
        <w:t xml:space="preserve">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Prolaris + AI, and GeneSight are registered trademarks or trademarks of Myriad. Solely for convenience, trademarks, trade names and service marks referred to in this Quarterly Report on Form 10-Q may appear without the </w:t>
      </w:r>
      <w:r>
        <w:rPr>
          <w:rFonts w:ascii="Times New Roman;serif" w:hAnsi="Times New Roman;serif"/>
          <w:b w:val="false"/>
          <w:color w:val="000000"/>
          <w:sz w:val="13"/>
        </w:rPr>
        <w:t>®</w:t>
      </w:r>
      <w:r>
        <w:rPr>
          <w:rFonts w:ascii="Times New Roman;serif" w:hAnsi="Times New Roman;serif"/>
          <w:b w:val="false"/>
          <w:color w:val="000000"/>
          <w:sz w:val="20"/>
        </w:rPr>
        <w:t xml:space="preserve">, ™ or </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symbols, but such references are not intended to indicate, in any way, that we will not assert, to the fullest extent under applicable law, our rights or the right of the applicable licensor to these trademarks, trade names and service marks.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SEC encourages companies to disclose forward-looking information so that investors can better understand a company’s future prospects and make informed investment decisions. This Quarterly Report on Form 10</w:t>
        <w:noBreakHyphen/>
        <w:t>Q contains such “forward-looking statements” within the meaning of the Private Securities Litigation Reform Act of 1995.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These risks include, but are not limited to: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risk that sales and profit margins of our existing tests may decline;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risk that we may not be able to operate our business on a profitable basis;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our ability to achieve certain revenue growth targets and generate sufficient revenue from our existing product portfolio or in launching and commercializing new tests to be profitable;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recent changes in our senior management team and the successful implementation of our strategic plan;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changes in governmental or private insurers’ coverage and reimbursement levels for our tests or our ability to obtain reimbursement for our new tests at comparable levels to our existing tests;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increased competition and the development of new competing tests;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risk that we may be unable to develop or achieve commercial success for additional tests in a timely manner, or at all;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risk that we may not successfully develop new markets or channels for our tests;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risk that licenses to the technology underlying our tests and any future tests are terminated or cannot be maintained on satisfactory terms;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delays or other problems with operating our laboratory testing facilities;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public concern over genetic testing in general or our tests in particular;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regulatory requirements or enforcement in the United States and foreign countries and changes in the structure of the healthcare system or healthcare payment systems;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our ability to obtain new corporate partnerships and collaborations or licenses and acquire or develop new technologies or businesses on satisfactory terms, if at all;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our ability to successfully integrate and derive benefits from any technologies or businesses that we license, acquire, or develop;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risk that we are not able to secure additional financing to fund our business, if needed, in a timely manner or on favorable terms, if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60985"/>
                <wp:effectExtent l="0" t="0" r="0" b="0"/>
                <wp:wrapNone/>
                <wp:docPr id="20" name="Frame2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our projections or estimates about the potential market opportunity for our current and future products;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risk that we or our licensors may be unable to protect or that third parties will infringe the proprietary technologies underlying our tests;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risk of patent-infringement claims or challenges to the validity of our patents;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related to changes in intellectual property laws covering our tests, or patents or enforcement, in the United States and foreign countries;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security breaches, loss of data and other disruptions, including from cyberattacks and other cybersecurity incidents;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risk that we may be unable to comply with financial or operating covenants under our credit or lending agreements;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risk that we may not be able to maintain effective disclosure controls and procedures and internal control over financial reporting;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other factors discussed under the heading "Risk Factors" contained in Part I, Item 1A of our Annual Report on Form 10-K filed with the SEC on February 24, 2026, as updated under the heading "Risk Factors" in Part II, Item 1A of this Quarterly Report on Form 10-Q, and subsequent filings we make with the SEC.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light of these assumptions, risks and uncertainties, the results and events discussed in the forward-looking statements contained in this Quarterly Report on Form 10-Q, or in any document incorporated by reference might not occur. Stockholders are cautioned not to place undue reliance on the forward-looking statements, which speak only as of the date of this Quarterly Report on Form 10-Q. We are not under any obligation, and we expressly disclaim any obligation, to update or alter any forward-looking statements, whether as a result of new information, future events or otherwise except as required by applicable law. All forward-looking statements in this Quarterly Report on Form 10-Q attributable to us or to any person acting on our behalf are expressly qualified in their entirety by the cautionary statements contained or referred to in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Myriad Genetics is a leading molecular diagnostics and precision medicine company committed to advancing health and well-being for all. We develop and commercialize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there are significant growth opportunities in addressing the pressing healthcare needs of patient populations through innovative molecular diagnostic testing and precision medicine solutions and services. Our long-term growth strategy is built on leveraging our differentiated strengths, including our reputation for trusted high-quality tests and customer service, and our established, extensive commercial reach in community medicine. Our strategy also leverages investments in science and innovation, technology-enabled operations, an enhanced customer experience, strong commercial execution, and scalable operations. Our strategic intent is to accelerate profitable growth by focusing on (i) providing a comprehensive testing menu for the Cancer Care Continuum market with a priority for high growth applications; (ii) growing our Prenatal Health and Mental Health revenues at or above market growth; and (iii) delivering sustained profitable growth through financial and operational discipline and leveraging our operating model. Under this strategy, we plan to leverage our strong scientific foundation, deep clinical partnerships, and technology-enabled capabilities to expand adoption of our testing portfolio and integrate our precision medicine solutions more deeply into clinical workflows across the Cancer Care Continuum, Prenatal Health, and Mental Health. We are committed to making molecular testing accessible and actionable for patients and providers while driving long-term growth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60985"/>
                <wp:effectExtent l="0" t="0" r="0" b="0"/>
                <wp:wrapNone/>
                <wp:docPr id="21" name="Frame2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Updates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recent significant business updates include the following: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July 2026, we engaged a leading professional services firm to support initiatives intended to increase efficiency and scalability to accelerate profitable growth.</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 July 2026, we announced results from a new large-scale meta-analysis demonstrating the strong prognostic performance of our Prolaris biopsy test in localized prostate cancer.</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In June 2026, we announced the appointment of Raj Jampa as our </w:t>
      </w:r>
      <w:r>
        <w:rPr>
          <w:rFonts w:ascii="Times New Roman;serif" w:hAnsi="Times New Roman;serif"/>
          <w:b w:val="false"/>
          <w:color w:val="000000"/>
          <w:sz w:val="20"/>
        </w:rPr>
        <w:t>new Chief Technology Officer, effective June 1,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June 2026, we announced expanded availability of Precise MRD for colorectal, renal, and breast cancers, supported by new published data further supporting the assay's performance and clinical utility.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May 2026, we launched Prolaris + AI, the first prostate cancer test to combine genomics and digital pathology artificial intelligence, or AI, which we believe further enhances personalized treatment insights for prostate cancer patients and their physicians.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April 2026, we announced the presentation of six abstracts, including two podium presentations, at the American Association for Cancer Research (AACR) 2026 Annual Meeting, highlighting continued clinical evidence supporting our oncology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Results of Operations for the 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for the three months ended June 30, 2026 and 2025 are discussed below.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year-over-year revenue changes in our core product categories:</w:t>
      </w:r>
    </w:p>
    <w:tbl>
      <w:tblPr>
        <w:tblW w:w="8157" w:type="dxa"/>
        <w:jc w:val="left"/>
        <w:tblInd w:w="0" w:type="dxa"/>
        <w:tblLayout w:type="fixed"/>
        <w:tblCellMar>
          <w:top w:w="28" w:type="dxa"/>
          <w:left w:w="28" w:type="dxa"/>
          <w:bottom w:w="28" w:type="dxa"/>
          <w:right w:w="28" w:type="dxa"/>
        </w:tblCellMar>
      </w:tblPr>
      <w:tblGrid>
        <w:gridCol w:w="754"/>
        <w:gridCol w:w="660"/>
        <w:gridCol w:w="670"/>
        <w:gridCol w:w="211"/>
        <w:gridCol w:w="616"/>
        <w:gridCol w:w="109"/>
        <w:gridCol w:w="109"/>
        <w:gridCol w:w="109"/>
        <w:gridCol w:w="109"/>
        <w:gridCol w:w="109"/>
        <w:gridCol w:w="109"/>
        <w:gridCol w:w="109"/>
        <w:gridCol w:w="211"/>
        <w:gridCol w:w="616"/>
        <w:gridCol w:w="109"/>
        <w:gridCol w:w="109"/>
        <w:gridCol w:w="109"/>
        <w:gridCol w:w="109"/>
        <w:gridCol w:w="211"/>
        <w:gridCol w:w="586"/>
        <w:gridCol w:w="109"/>
        <w:gridCol w:w="109"/>
        <w:gridCol w:w="109"/>
        <w:gridCol w:w="109"/>
        <w:gridCol w:w="194"/>
        <w:gridCol w:w="194"/>
        <w:gridCol w:w="196"/>
        <w:gridCol w:w="129"/>
        <w:gridCol w:w="129"/>
        <w:gridCol w:w="129"/>
        <w:gridCol w:w="129"/>
        <w:gridCol w:w="129"/>
        <w:gridCol w:w="129"/>
        <w:gridCol w:w="183"/>
        <w:gridCol w:w="183"/>
        <w:gridCol w:w="263"/>
      </w:tblGrid>
      <w:tr>
        <w:trPr/>
        <w:tc>
          <w:tcPr>
            <w:tcW w:w="7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Total Revenue</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Cancer Care Continuum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Prenatal Health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Mental Health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volume changes in our core product categories:</w:t>
      </w:r>
    </w:p>
    <w:tbl>
      <w:tblPr>
        <w:tblW w:w="5740" w:type="dxa"/>
        <w:jc w:val="left"/>
        <w:tblInd w:w="0" w:type="dxa"/>
        <w:tblLayout w:type="fixed"/>
        <w:tblCellMar>
          <w:top w:w="28" w:type="dxa"/>
          <w:left w:w="28" w:type="dxa"/>
          <w:bottom w:w="28" w:type="dxa"/>
          <w:right w:w="28" w:type="dxa"/>
        </w:tblCellMar>
      </w:tblPr>
      <w:tblGrid>
        <w:gridCol w:w="755"/>
        <w:gridCol w:w="664"/>
        <w:gridCol w:w="666"/>
        <w:gridCol w:w="238"/>
        <w:gridCol w:w="228"/>
        <w:gridCol w:w="185"/>
        <w:gridCol w:w="185"/>
        <w:gridCol w:w="185"/>
        <w:gridCol w:w="185"/>
        <w:gridCol w:w="185"/>
        <w:gridCol w:w="185"/>
        <w:gridCol w:w="185"/>
        <w:gridCol w:w="238"/>
        <w:gridCol w:w="228"/>
        <w:gridCol w:w="185"/>
        <w:gridCol w:w="109"/>
        <w:gridCol w:w="109"/>
        <w:gridCol w:w="109"/>
        <w:gridCol w:w="186"/>
        <w:gridCol w:w="186"/>
        <w:gridCol w:w="54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Cancer Care Continuum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4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Prenatal Health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4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Mental Health</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decreased $22.4 million for the three months ended June 30, 2026 compared to the same period in the prior year. The decrease was due in part to an </w:t>
      </w:r>
      <w:bookmarkStart w:id="1" w:name="i6a75b9a4bd3d4a208e10312dcd6953f7_23387"/>
      <w:bookmarkEnd w:id="1"/>
      <w:r>
        <w:rPr>
          <w:rFonts w:ascii="Times New Roman;serif" w:hAnsi="Times New Roman;serif"/>
          <w:b w:val="false"/>
          <w:color w:val="000000"/>
          <w:sz w:val="20"/>
        </w:rPr>
        <w:t>$11.0 million reduction to revenue resulting from changes in estimates of cash collections for tests for which the performance obligation had been satisfied in prior periods. Cancer Care Continuum revenue decreased $13.6 million due to a 15% decrease in revenue per test due to declines in reimbursement and due to unfavorable changes in estimates associated primarily with orders from the first quarter of 2026, partially offset by a 6% increase in volume. Prenatal Health revenue decreased $7.8 million due to a 9% decrease in volume and an 8% decrease in revenue per test due to declines in reimbursement. Mental Health revenue decreased $1.0 million due to a 6% decrease in revenue per test primarily due to unfavorable changes in estimates associated with aged orders, partially offset by a 4% increase in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60985"/>
                <wp:effectExtent l="0" t="0" r="0" b="0"/>
                <wp:wrapNone/>
                <wp:docPr id="22" name="Frame2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tbl>
      <w:tblPr>
        <w:tblW w:w="8165" w:type="dxa"/>
        <w:jc w:val="left"/>
        <w:tblInd w:w="0" w:type="dxa"/>
        <w:tblLayout w:type="fixed"/>
        <w:tblCellMar>
          <w:top w:w="28" w:type="dxa"/>
          <w:left w:w="28" w:type="dxa"/>
          <w:bottom w:w="28" w:type="dxa"/>
          <w:right w:w="28" w:type="dxa"/>
        </w:tblCellMar>
      </w:tblPr>
      <w:tblGrid>
        <w:gridCol w:w="1182"/>
        <w:gridCol w:w="1039"/>
        <w:gridCol w:w="1048"/>
        <w:gridCol w:w="211"/>
        <w:gridCol w:w="511"/>
        <w:gridCol w:w="271"/>
        <w:gridCol w:w="109"/>
        <w:gridCol w:w="109"/>
        <w:gridCol w:w="109"/>
        <w:gridCol w:w="109"/>
        <w:gridCol w:w="109"/>
        <w:gridCol w:w="109"/>
        <w:gridCol w:w="211"/>
        <w:gridCol w:w="511"/>
        <w:gridCol w:w="271"/>
        <w:gridCol w:w="109"/>
        <w:gridCol w:w="109"/>
        <w:gridCol w:w="109"/>
        <w:gridCol w:w="325"/>
        <w:gridCol w:w="179"/>
        <w:gridCol w:w="182"/>
        <w:gridCol w:w="109"/>
        <w:gridCol w:w="109"/>
        <w:gridCol w:w="109"/>
        <w:gridCol w:w="186"/>
        <w:gridCol w:w="186"/>
        <w:gridCol w:w="544"/>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as a % of total revenue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revenue for the three months ended June 30, 2026 increased $2.4 million compared to the same period in the prior year primarily due to increased fulfillment costs and increased personnel-related costs.</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tbl>
      <w:tblPr>
        <w:tblW w:w="9900" w:type="dxa"/>
        <w:jc w:val="left"/>
        <w:tblInd w:w="0" w:type="dxa"/>
        <w:tblLayout w:type="fixed"/>
        <w:tblCellMar>
          <w:top w:w="28" w:type="dxa"/>
          <w:left w:w="28" w:type="dxa"/>
          <w:bottom w:w="28" w:type="dxa"/>
          <w:right w:w="28" w:type="dxa"/>
        </w:tblCellMar>
      </w:tblPr>
      <w:tblGrid>
        <w:gridCol w:w="1764"/>
        <w:gridCol w:w="1550"/>
        <w:gridCol w:w="1575"/>
        <w:gridCol w:w="211"/>
        <w:gridCol w:w="511"/>
        <w:gridCol w:w="271"/>
        <w:gridCol w:w="109"/>
        <w:gridCol w:w="109"/>
        <w:gridCol w:w="109"/>
        <w:gridCol w:w="109"/>
        <w:gridCol w:w="109"/>
        <w:gridCol w:w="109"/>
        <w:gridCol w:w="211"/>
        <w:gridCol w:w="511"/>
        <w:gridCol w:w="271"/>
        <w:gridCol w:w="109"/>
        <w:gridCol w:w="109"/>
        <w:gridCol w:w="109"/>
        <w:gridCol w:w="211"/>
        <w:gridCol w:w="481"/>
        <w:gridCol w:w="109"/>
        <w:gridCol w:w="109"/>
        <w:gridCol w:w="109"/>
        <w:gridCol w:w="109"/>
        <w:gridCol w:w="186"/>
        <w:gridCol w:w="186"/>
        <w:gridCol w:w="54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as a % of total revenue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for the three months ended June 30, 2026 was relatively consistent with research and development expenses incurred in the same period of the prior year.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tbl>
      <w:tblPr>
        <w:tblW w:w="9376" w:type="dxa"/>
        <w:jc w:val="left"/>
        <w:tblInd w:w="0" w:type="dxa"/>
        <w:tblLayout w:type="fixed"/>
        <w:tblCellMar>
          <w:top w:w="28" w:type="dxa"/>
          <w:left w:w="28" w:type="dxa"/>
          <w:bottom w:w="28" w:type="dxa"/>
          <w:right w:w="28" w:type="dxa"/>
        </w:tblCellMar>
      </w:tblPr>
      <w:tblGrid>
        <w:gridCol w:w="1567"/>
        <w:gridCol w:w="1377"/>
        <w:gridCol w:w="1391"/>
        <w:gridCol w:w="211"/>
        <w:gridCol w:w="511"/>
        <w:gridCol w:w="271"/>
        <w:gridCol w:w="109"/>
        <w:gridCol w:w="109"/>
        <w:gridCol w:w="109"/>
        <w:gridCol w:w="109"/>
        <w:gridCol w:w="109"/>
        <w:gridCol w:w="109"/>
        <w:gridCol w:w="211"/>
        <w:gridCol w:w="511"/>
        <w:gridCol w:w="271"/>
        <w:gridCol w:w="109"/>
        <w:gridCol w:w="109"/>
        <w:gridCol w:w="109"/>
        <w:gridCol w:w="211"/>
        <w:gridCol w:w="511"/>
        <w:gridCol w:w="109"/>
        <w:gridCol w:w="109"/>
        <w:gridCol w:w="109"/>
        <w:gridCol w:w="109"/>
        <w:gridCol w:w="186"/>
        <w:gridCol w:w="186"/>
        <w:gridCol w:w="544"/>
      </w:tblGrid>
      <w:tr>
        <w:trPr/>
        <w:tc>
          <w:tcPr>
            <w:tcW w:w="156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as a % of total revenue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increased by $11.2 million for the three months ended June 30, 2026 compared to the prior year period primarily due to a $5.0 million increase in personnel-related costs as we strategically invest in our sales and marketing organization and a $4.2 million increase in marketing and sales expenses.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tbl>
      <w:tblPr>
        <w:tblW w:w="9964" w:type="dxa"/>
        <w:jc w:val="left"/>
        <w:tblInd w:w="0" w:type="dxa"/>
        <w:tblLayout w:type="fixed"/>
        <w:tblCellMar>
          <w:top w:w="28" w:type="dxa"/>
          <w:left w:w="28" w:type="dxa"/>
          <w:bottom w:w="28" w:type="dxa"/>
          <w:right w:w="28" w:type="dxa"/>
        </w:tblCellMar>
      </w:tblPr>
      <w:tblGrid>
        <w:gridCol w:w="1765"/>
        <w:gridCol w:w="1552"/>
        <w:gridCol w:w="1572"/>
        <w:gridCol w:w="211"/>
        <w:gridCol w:w="511"/>
        <w:gridCol w:w="271"/>
        <w:gridCol w:w="109"/>
        <w:gridCol w:w="109"/>
        <w:gridCol w:w="109"/>
        <w:gridCol w:w="109"/>
        <w:gridCol w:w="109"/>
        <w:gridCol w:w="109"/>
        <w:gridCol w:w="211"/>
        <w:gridCol w:w="511"/>
        <w:gridCol w:w="271"/>
        <w:gridCol w:w="109"/>
        <w:gridCol w:w="109"/>
        <w:gridCol w:w="109"/>
        <w:gridCol w:w="211"/>
        <w:gridCol w:w="481"/>
        <w:gridCol w:w="109"/>
        <w:gridCol w:w="109"/>
        <w:gridCol w:w="109"/>
        <w:gridCol w:w="109"/>
        <w:gridCol w:w="218"/>
        <w:gridCol w:w="218"/>
        <w:gridCol w:w="544"/>
      </w:tblGrid>
      <w:tr>
        <w:trPr/>
        <w:tc>
          <w:tcPr>
            <w:tcW w:w="1765"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as a % of total revenue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by $9.0 million for the three months ended June 30, 2026 compared to the prior year period primarily due to a decrease in personnel-related costs of $5.4 million, a decrease of $2.0 million in rent expense, and a $1.6 million decrease in amortization for previously impaired intangible assets.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Goodwill and Long-lived Asset Impairment Charges</w:t>
      </w:r>
    </w:p>
    <w:tbl>
      <w:tblPr>
        <w:tblW w:w="10205" w:type="dxa"/>
        <w:jc w:val="left"/>
        <w:tblInd w:w="0" w:type="dxa"/>
        <w:tblLayout w:type="fixed"/>
        <w:tblCellMar>
          <w:top w:w="28" w:type="dxa"/>
          <w:left w:w="28" w:type="dxa"/>
          <w:bottom w:w="28" w:type="dxa"/>
          <w:right w:w="28" w:type="dxa"/>
        </w:tblCellMar>
      </w:tblPr>
      <w:tblGrid>
        <w:gridCol w:w="1674"/>
        <w:gridCol w:w="1467"/>
        <w:gridCol w:w="1489"/>
        <w:gridCol w:w="211"/>
        <w:gridCol w:w="406"/>
        <w:gridCol w:w="271"/>
        <w:gridCol w:w="109"/>
        <w:gridCol w:w="109"/>
        <w:gridCol w:w="109"/>
        <w:gridCol w:w="109"/>
        <w:gridCol w:w="109"/>
        <w:gridCol w:w="109"/>
        <w:gridCol w:w="211"/>
        <w:gridCol w:w="616"/>
        <w:gridCol w:w="271"/>
        <w:gridCol w:w="109"/>
        <w:gridCol w:w="109"/>
        <w:gridCol w:w="109"/>
        <w:gridCol w:w="109"/>
        <w:gridCol w:w="109"/>
        <w:gridCol w:w="211"/>
        <w:gridCol w:w="673"/>
        <w:gridCol w:w="109"/>
        <w:gridCol w:w="109"/>
        <w:gridCol w:w="109"/>
        <w:gridCol w:w="109"/>
        <w:gridCol w:w="260"/>
        <w:gridCol w:w="262"/>
        <w:gridCol w:w="548"/>
      </w:tblGrid>
      <w:tr>
        <w:trPr/>
        <w:tc>
          <w:tcPr>
            <w:tcW w:w="16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30" w:type="dxa"/>
            <w:gridSpan w:val="3"/>
            <w:tcBorders>
              <w:top w:val="single" w:sz="8" w:space="0" w:color="CFF0FC"/>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long-lived asset impairment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FF0FC"/>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long-lived asset impairment charges as a % of total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and long-lived asset impairment charges for the prior year period included goodwill impairment charges of $234.7 million and intangible asset impairment charges of $82.0 million related to our Women's Health and Mental Health reporting units. There were no impairment charges in the current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60985"/>
                <wp:effectExtent l="0" t="0" r="0" b="0"/>
                <wp:wrapNone/>
                <wp:docPr id="23" name="Frame2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 Net</w:t>
      </w:r>
    </w:p>
    <w:tbl>
      <w:tblPr>
        <w:tblW w:w="6495" w:type="dxa"/>
        <w:jc w:val="left"/>
        <w:tblInd w:w="0" w:type="dxa"/>
        <w:tblLayout w:type="fixed"/>
        <w:tblCellMar>
          <w:top w:w="28" w:type="dxa"/>
          <w:left w:w="28" w:type="dxa"/>
          <w:bottom w:w="28" w:type="dxa"/>
          <w:right w:w="28" w:type="dxa"/>
        </w:tblCellMar>
      </w:tblPr>
      <w:tblGrid>
        <w:gridCol w:w="585"/>
        <w:gridCol w:w="515"/>
        <w:gridCol w:w="520"/>
        <w:gridCol w:w="211"/>
        <w:gridCol w:w="481"/>
        <w:gridCol w:w="109"/>
        <w:gridCol w:w="109"/>
        <w:gridCol w:w="109"/>
        <w:gridCol w:w="109"/>
        <w:gridCol w:w="109"/>
        <w:gridCol w:w="109"/>
        <w:gridCol w:w="109"/>
        <w:gridCol w:w="211"/>
        <w:gridCol w:w="481"/>
        <w:gridCol w:w="109"/>
        <w:gridCol w:w="109"/>
        <w:gridCol w:w="109"/>
        <w:gridCol w:w="109"/>
        <w:gridCol w:w="325"/>
        <w:gridCol w:w="238"/>
        <w:gridCol w:w="242"/>
        <w:gridCol w:w="109"/>
        <w:gridCol w:w="109"/>
        <w:gridCol w:w="109"/>
        <w:gridCol w:w="308"/>
        <w:gridCol w:w="308"/>
        <w:gridCol w:w="544"/>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for the three months ended June 30, 2026 increased $2.3 million as compared to the same period in the prior year primarily due to an increase in interest expense related to our term loan secured in July 2025.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tbl>
      <w:tblPr>
        <w:tblW w:w="7538" w:type="dxa"/>
        <w:jc w:val="left"/>
        <w:tblInd w:w="0" w:type="dxa"/>
        <w:tblLayout w:type="fixed"/>
        <w:tblCellMar>
          <w:top w:w="28" w:type="dxa"/>
          <w:left w:w="28" w:type="dxa"/>
          <w:bottom w:w="28" w:type="dxa"/>
          <w:right w:w="28" w:type="dxa"/>
        </w:tblCellMar>
      </w:tblPr>
      <w:tblGrid>
        <w:gridCol w:w="889"/>
        <w:gridCol w:w="781"/>
        <w:gridCol w:w="789"/>
        <w:gridCol w:w="211"/>
        <w:gridCol w:w="406"/>
        <w:gridCol w:w="271"/>
        <w:gridCol w:w="109"/>
        <w:gridCol w:w="109"/>
        <w:gridCol w:w="109"/>
        <w:gridCol w:w="109"/>
        <w:gridCol w:w="109"/>
        <w:gridCol w:w="109"/>
        <w:gridCol w:w="211"/>
        <w:gridCol w:w="481"/>
        <w:gridCol w:w="271"/>
        <w:gridCol w:w="109"/>
        <w:gridCol w:w="109"/>
        <w:gridCol w:w="109"/>
        <w:gridCol w:w="325"/>
        <w:gridCol w:w="179"/>
        <w:gridCol w:w="182"/>
        <w:gridCol w:w="109"/>
        <w:gridCol w:w="109"/>
        <w:gridCol w:w="109"/>
        <w:gridCol w:w="344"/>
        <w:gridCol w:w="346"/>
        <w:gridCol w:w="544"/>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tax rate is the product of a U.S. federal effective rate of 21.0% and a blended state income tax rate of approximately 3.3%. Certain significant or unusual items are separately recognized during the period in which they occur and can be a source of variability in the effective tax rates from period to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there was income tax expense of $0.6 million and our effective tax rate was (1.4)%. For the three months ended June 30, 2025, there was income tax benefit of $0.1 million and our effective tax rate was approximately 0.0%. For the three months ended June 30, 2026 and 2025, our effective tax rate differs from the U.S. federal statutory rate primarily due to the recognition of valuation allowances. Due to our cumulative loss and the exhaustion of future taxable income from the reversal of taxable temporary differences, our estimated annual effective tax rate for the current year period includes a valuation allowance against the majority of the current year increase in deferred tax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for the Six Months Ended June 30, 2026 and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for the six months ended June 30, 2026 and 2025 are discussed below.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revenue changes in our core product categories:</w:t>
      </w:r>
    </w:p>
    <w:tbl>
      <w:tblPr>
        <w:tblW w:w="8157" w:type="dxa"/>
        <w:jc w:val="left"/>
        <w:tblInd w:w="0" w:type="dxa"/>
        <w:tblLayout w:type="fixed"/>
        <w:tblCellMar>
          <w:top w:w="28" w:type="dxa"/>
          <w:left w:w="28" w:type="dxa"/>
          <w:bottom w:w="28" w:type="dxa"/>
          <w:right w:w="28" w:type="dxa"/>
        </w:tblCellMar>
      </w:tblPr>
      <w:tblGrid>
        <w:gridCol w:w="754"/>
        <w:gridCol w:w="660"/>
        <w:gridCol w:w="670"/>
        <w:gridCol w:w="211"/>
        <w:gridCol w:w="616"/>
        <w:gridCol w:w="109"/>
        <w:gridCol w:w="109"/>
        <w:gridCol w:w="109"/>
        <w:gridCol w:w="109"/>
        <w:gridCol w:w="109"/>
        <w:gridCol w:w="109"/>
        <w:gridCol w:w="109"/>
        <w:gridCol w:w="211"/>
        <w:gridCol w:w="616"/>
        <w:gridCol w:w="109"/>
        <w:gridCol w:w="109"/>
        <w:gridCol w:w="109"/>
        <w:gridCol w:w="109"/>
        <w:gridCol w:w="211"/>
        <w:gridCol w:w="586"/>
        <w:gridCol w:w="109"/>
        <w:gridCol w:w="109"/>
        <w:gridCol w:w="109"/>
        <w:gridCol w:w="109"/>
        <w:gridCol w:w="194"/>
        <w:gridCol w:w="194"/>
        <w:gridCol w:w="196"/>
        <w:gridCol w:w="129"/>
        <w:gridCol w:w="129"/>
        <w:gridCol w:w="129"/>
        <w:gridCol w:w="129"/>
        <w:gridCol w:w="129"/>
        <w:gridCol w:w="129"/>
        <w:gridCol w:w="183"/>
        <w:gridCol w:w="183"/>
        <w:gridCol w:w="263"/>
      </w:tblGrid>
      <w:tr>
        <w:trPr/>
        <w:tc>
          <w:tcPr>
            <w:tcW w:w="7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Total Revenue</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Cancer Care Continuum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Prenatal Health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Mental Health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volume changes in our core product categories:</w:t>
      </w:r>
    </w:p>
    <w:tbl>
      <w:tblPr>
        <w:tblW w:w="5604" w:type="dxa"/>
        <w:jc w:val="left"/>
        <w:tblInd w:w="0" w:type="dxa"/>
        <w:tblLayout w:type="fixed"/>
        <w:tblCellMar>
          <w:top w:w="28" w:type="dxa"/>
          <w:left w:w="28" w:type="dxa"/>
          <w:bottom w:w="28" w:type="dxa"/>
          <w:right w:w="28" w:type="dxa"/>
        </w:tblCellMar>
      </w:tblPr>
      <w:tblGrid>
        <w:gridCol w:w="755"/>
        <w:gridCol w:w="664"/>
        <w:gridCol w:w="666"/>
        <w:gridCol w:w="233"/>
        <w:gridCol w:w="233"/>
        <w:gridCol w:w="168"/>
        <w:gridCol w:w="168"/>
        <w:gridCol w:w="168"/>
        <w:gridCol w:w="168"/>
        <w:gridCol w:w="168"/>
        <w:gridCol w:w="168"/>
        <w:gridCol w:w="168"/>
        <w:gridCol w:w="233"/>
        <w:gridCol w:w="233"/>
        <w:gridCol w:w="168"/>
        <w:gridCol w:w="109"/>
        <w:gridCol w:w="109"/>
        <w:gridCol w:w="109"/>
        <w:gridCol w:w="268"/>
        <w:gridCol w:w="268"/>
        <w:gridCol w:w="380"/>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Cancer Care Continuum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Prenatal Health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Mental Health</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60985"/>
                <wp:effectExtent l="0" t="0" r="0" b="0"/>
                <wp:wrapNone/>
                <wp:docPr id="24" name="Frame2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decreased $17.9 million for the six months ended June 30, 2026 compared to the same period in the prior year. The decrease was due in part to an </w:t>
      </w:r>
      <w:bookmarkStart w:id="2" w:name="i5a8349c30b0a4331ac63d4fe1e174d42_17501"/>
      <w:bookmarkEnd w:id="2"/>
      <w:r>
        <w:rPr>
          <w:rFonts w:ascii="Times New Roman;serif" w:hAnsi="Times New Roman;serif"/>
          <w:b w:val="false"/>
          <w:color w:val="000000"/>
          <w:sz w:val="20"/>
        </w:rPr>
        <w:t xml:space="preserve">$8.0 million reduction to revenue resulting from changes in estimates of cash collections for tests for which the performance obligation had been satisfied in prior periods. Prenatal Health revenue decreased $15.2 million due to an 11% decrease in volume and a 6% decrease in revenue per test due to declines in reimbursement. Cancer Care Continuum revenue decreased $9.0 million due to a 12% decrease in revenue per test due to declines in reimbursement and unfavorable changes in estimates associated with prior period orders, partially offset by a 9% increase in volume. Mental Health revenue increased $6.3 million due to a 5% increase in volume and a 4% increase in revenue per test. The increase in Mental Health revenue per test was due to increased reimbursement, which offset the unfavorable changes in estimates associated with aged orders recognized during the period.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tbl>
      <w:tblPr>
        <w:tblW w:w="8375" w:type="dxa"/>
        <w:jc w:val="left"/>
        <w:tblInd w:w="0" w:type="dxa"/>
        <w:tblLayout w:type="fixed"/>
        <w:tblCellMar>
          <w:top w:w="28" w:type="dxa"/>
          <w:left w:w="28" w:type="dxa"/>
          <w:bottom w:w="28" w:type="dxa"/>
          <w:right w:w="28" w:type="dxa"/>
        </w:tblCellMar>
      </w:tblPr>
      <w:tblGrid>
        <w:gridCol w:w="1182"/>
        <w:gridCol w:w="1039"/>
        <w:gridCol w:w="1048"/>
        <w:gridCol w:w="211"/>
        <w:gridCol w:w="616"/>
        <w:gridCol w:w="271"/>
        <w:gridCol w:w="109"/>
        <w:gridCol w:w="109"/>
        <w:gridCol w:w="109"/>
        <w:gridCol w:w="109"/>
        <w:gridCol w:w="109"/>
        <w:gridCol w:w="109"/>
        <w:gridCol w:w="211"/>
        <w:gridCol w:w="616"/>
        <w:gridCol w:w="271"/>
        <w:gridCol w:w="109"/>
        <w:gridCol w:w="109"/>
        <w:gridCol w:w="109"/>
        <w:gridCol w:w="325"/>
        <w:gridCol w:w="179"/>
        <w:gridCol w:w="182"/>
        <w:gridCol w:w="109"/>
        <w:gridCol w:w="109"/>
        <w:gridCol w:w="109"/>
        <w:gridCol w:w="186"/>
        <w:gridCol w:w="186"/>
        <w:gridCol w:w="544"/>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26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as a %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revenue for the six months ended June 30, 2026 increased $3.5 million compared to the same period in the prior year primarily due to increased fulfillment costs and personnel-related expenses.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tbl>
      <w:tblPr>
        <w:tblW w:w="9900" w:type="dxa"/>
        <w:jc w:val="left"/>
        <w:tblInd w:w="0" w:type="dxa"/>
        <w:tblLayout w:type="fixed"/>
        <w:tblCellMar>
          <w:top w:w="28" w:type="dxa"/>
          <w:left w:w="28" w:type="dxa"/>
          <w:bottom w:w="28" w:type="dxa"/>
          <w:right w:w="28" w:type="dxa"/>
        </w:tblCellMar>
      </w:tblPr>
      <w:tblGrid>
        <w:gridCol w:w="1764"/>
        <w:gridCol w:w="1550"/>
        <w:gridCol w:w="1575"/>
        <w:gridCol w:w="211"/>
        <w:gridCol w:w="511"/>
        <w:gridCol w:w="271"/>
        <w:gridCol w:w="109"/>
        <w:gridCol w:w="109"/>
        <w:gridCol w:w="109"/>
        <w:gridCol w:w="109"/>
        <w:gridCol w:w="109"/>
        <w:gridCol w:w="109"/>
        <w:gridCol w:w="211"/>
        <w:gridCol w:w="511"/>
        <w:gridCol w:w="271"/>
        <w:gridCol w:w="109"/>
        <w:gridCol w:w="109"/>
        <w:gridCol w:w="109"/>
        <w:gridCol w:w="211"/>
        <w:gridCol w:w="481"/>
        <w:gridCol w:w="109"/>
        <w:gridCol w:w="109"/>
        <w:gridCol w:w="109"/>
        <w:gridCol w:w="109"/>
        <w:gridCol w:w="186"/>
        <w:gridCol w:w="186"/>
        <w:gridCol w:w="54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as a % of total revenue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for the six months ended June 30, 2026 was relatively consistent with research and development expenses incurred in the same period of the prior year.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tbl>
      <w:tblPr>
        <w:tblW w:w="9586" w:type="dxa"/>
        <w:jc w:val="left"/>
        <w:tblInd w:w="0" w:type="dxa"/>
        <w:tblLayout w:type="fixed"/>
        <w:tblCellMar>
          <w:top w:w="28" w:type="dxa"/>
          <w:left w:w="28" w:type="dxa"/>
          <w:bottom w:w="28" w:type="dxa"/>
          <w:right w:w="28" w:type="dxa"/>
        </w:tblCellMar>
      </w:tblPr>
      <w:tblGrid>
        <w:gridCol w:w="1567"/>
        <w:gridCol w:w="1377"/>
        <w:gridCol w:w="1391"/>
        <w:gridCol w:w="211"/>
        <w:gridCol w:w="616"/>
        <w:gridCol w:w="271"/>
        <w:gridCol w:w="109"/>
        <w:gridCol w:w="109"/>
        <w:gridCol w:w="109"/>
        <w:gridCol w:w="109"/>
        <w:gridCol w:w="109"/>
        <w:gridCol w:w="109"/>
        <w:gridCol w:w="211"/>
        <w:gridCol w:w="616"/>
        <w:gridCol w:w="271"/>
        <w:gridCol w:w="109"/>
        <w:gridCol w:w="109"/>
        <w:gridCol w:w="109"/>
        <w:gridCol w:w="211"/>
        <w:gridCol w:w="511"/>
        <w:gridCol w:w="109"/>
        <w:gridCol w:w="109"/>
        <w:gridCol w:w="109"/>
        <w:gridCol w:w="109"/>
        <w:gridCol w:w="186"/>
        <w:gridCol w:w="186"/>
        <w:gridCol w:w="544"/>
      </w:tblGrid>
      <w:tr>
        <w:trPr/>
        <w:tc>
          <w:tcPr>
            <w:tcW w:w="156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as a %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increased by $15.6 million for the six months ended June 30, 2026 compared to the prior year period primarily due to a $7.9 million increase in marketing and sales expenses and a $5.3 million increase in personnel-related expenses as we strategically invest in our sales and marketing team.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tbl>
      <w:tblPr>
        <w:tblW w:w="10205" w:type="dxa"/>
        <w:jc w:val="left"/>
        <w:tblInd w:w="0" w:type="dxa"/>
        <w:tblLayout w:type="fixed"/>
        <w:tblCellMar>
          <w:top w:w="28" w:type="dxa"/>
          <w:left w:w="28" w:type="dxa"/>
          <w:bottom w:w="28" w:type="dxa"/>
          <w:right w:w="28" w:type="dxa"/>
        </w:tblCellMar>
      </w:tblPr>
      <w:tblGrid>
        <w:gridCol w:w="1739"/>
        <w:gridCol w:w="1529"/>
        <w:gridCol w:w="1548"/>
        <w:gridCol w:w="211"/>
        <w:gridCol w:w="616"/>
        <w:gridCol w:w="271"/>
        <w:gridCol w:w="109"/>
        <w:gridCol w:w="109"/>
        <w:gridCol w:w="109"/>
        <w:gridCol w:w="109"/>
        <w:gridCol w:w="109"/>
        <w:gridCol w:w="109"/>
        <w:gridCol w:w="211"/>
        <w:gridCol w:w="616"/>
        <w:gridCol w:w="271"/>
        <w:gridCol w:w="109"/>
        <w:gridCol w:w="109"/>
        <w:gridCol w:w="109"/>
        <w:gridCol w:w="211"/>
        <w:gridCol w:w="584"/>
        <w:gridCol w:w="109"/>
        <w:gridCol w:w="109"/>
        <w:gridCol w:w="109"/>
        <w:gridCol w:w="109"/>
        <w:gridCol w:w="217"/>
        <w:gridCol w:w="217"/>
        <w:gridCol w:w="547"/>
      </w:tblGrid>
      <w:tr>
        <w:trPr/>
        <w:tc>
          <w:tcPr>
            <w:tcW w:w="173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as a %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decreased by $13.3 million for the six months ended June 30, 2026 compared to the prior year period primarily due to a $6.6 million decrease in personnel-related costs, a $3.9 million decrease in amortization for previously impaired intangible assets, and a decrease of $3.8 million in rent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60985"/>
                <wp:effectExtent l="0" t="0" r="0" b="0"/>
                <wp:wrapNone/>
                <wp:docPr id="25" name="Frame2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Goodwill and Long-lived Asset Impairment Charges</w:t>
      </w:r>
    </w:p>
    <w:tbl>
      <w:tblPr>
        <w:tblW w:w="10205" w:type="dxa"/>
        <w:jc w:val="left"/>
        <w:tblInd w:w="0" w:type="dxa"/>
        <w:tblLayout w:type="fixed"/>
        <w:tblCellMar>
          <w:top w:w="28" w:type="dxa"/>
          <w:left w:w="28" w:type="dxa"/>
          <w:bottom w:w="28" w:type="dxa"/>
          <w:right w:w="28" w:type="dxa"/>
        </w:tblCellMar>
      </w:tblPr>
      <w:tblGrid>
        <w:gridCol w:w="1788"/>
        <w:gridCol w:w="1567"/>
        <w:gridCol w:w="1591"/>
        <w:gridCol w:w="211"/>
        <w:gridCol w:w="406"/>
        <w:gridCol w:w="271"/>
        <w:gridCol w:w="109"/>
        <w:gridCol w:w="109"/>
        <w:gridCol w:w="109"/>
        <w:gridCol w:w="109"/>
        <w:gridCol w:w="109"/>
        <w:gridCol w:w="109"/>
        <w:gridCol w:w="211"/>
        <w:gridCol w:w="616"/>
        <w:gridCol w:w="271"/>
        <w:gridCol w:w="109"/>
        <w:gridCol w:w="109"/>
        <w:gridCol w:w="109"/>
        <w:gridCol w:w="211"/>
        <w:gridCol w:w="677"/>
        <w:gridCol w:w="109"/>
        <w:gridCol w:w="109"/>
        <w:gridCol w:w="109"/>
        <w:gridCol w:w="109"/>
        <w:gridCol w:w="211"/>
        <w:gridCol w:w="211"/>
        <w:gridCol w:w="546"/>
      </w:tblGrid>
      <w:tr>
        <w:trPr/>
        <w:tc>
          <w:tcPr>
            <w:tcW w:w="178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946" w:type="dxa"/>
            <w:gridSpan w:val="3"/>
            <w:tcBorders>
              <w:top w:val="single" w:sz="8" w:space="0" w:color="CFF0FC"/>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long-lived asset impairment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long-lived asset impairment charges as a % of total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and long-lived asset impairment charges in the six months ended June 30, 2026 included impairment charges of $5.4 million related to our Women's Health reporting unit and certain intangible assets. In the prior year period, impairment charges included goodwill impairment charges of $234.7 million and intangible asset impairment charges of $82.0 million related to our Women's Health and Mental Health reporting units.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Expense, Net</w:t>
      </w:r>
    </w:p>
    <w:tbl>
      <w:tblPr>
        <w:tblW w:w="6251" w:type="dxa"/>
        <w:jc w:val="left"/>
        <w:tblInd w:w="0" w:type="dxa"/>
        <w:tblLayout w:type="fixed"/>
        <w:tblCellMar>
          <w:top w:w="28" w:type="dxa"/>
          <w:left w:w="28" w:type="dxa"/>
          <w:bottom w:w="28" w:type="dxa"/>
          <w:right w:w="28" w:type="dxa"/>
        </w:tblCellMar>
      </w:tblPr>
      <w:tblGrid>
        <w:gridCol w:w="585"/>
        <w:gridCol w:w="515"/>
        <w:gridCol w:w="520"/>
        <w:gridCol w:w="211"/>
        <w:gridCol w:w="481"/>
        <w:gridCol w:w="109"/>
        <w:gridCol w:w="109"/>
        <w:gridCol w:w="109"/>
        <w:gridCol w:w="109"/>
        <w:gridCol w:w="109"/>
        <w:gridCol w:w="109"/>
        <w:gridCol w:w="109"/>
        <w:gridCol w:w="211"/>
        <w:gridCol w:w="481"/>
        <w:gridCol w:w="109"/>
        <w:gridCol w:w="109"/>
        <w:gridCol w:w="109"/>
        <w:gridCol w:w="109"/>
        <w:gridCol w:w="325"/>
        <w:gridCol w:w="238"/>
        <w:gridCol w:w="242"/>
        <w:gridCol w:w="109"/>
        <w:gridCol w:w="109"/>
        <w:gridCol w:w="109"/>
        <w:gridCol w:w="268"/>
        <w:gridCol w:w="268"/>
        <w:gridCol w:w="380"/>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for the six months ended June 30, 2026 increased $5.3 million as compared to the same period in the prior year primarily due to an increase in interest expense for the current period related to our term loan secured in July 2025.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tbl>
      <w:tblPr>
        <w:tblW w:w="7430" w:type="dxa"/>
        <w:jc w:val="left"/>
        <w:tblInd w:w="0" w:type="dxa"/>
        <w:tblLayout w:type="fixed"/>
        <w:tblCellMar>
          <w:top w:w="28" w:type="dxa"/>
          <w:left w:w="28" w:type="dxa"/>
          <w:bottom w:w="28" w:type="dxa"/>
          <w:right w:w="28" w:type="dxa"/>
        </w:tblCellMar>
      </w:tblPr>
      <w:tblGrid>
        <w:gridCol w:w="889"/>
        <w:gridCol w:w="781"/>
        <w:gridCol w:w="789"/>
        <w:gridCol w:w="211"/>
        <w:gridCol w:w="406"/>
        <w:gridCol w:w="271"/>
        <w:gridCol w:w="109"/>
        <w:gridCol w:w="109"/>
        <w:gridCol w:w="109"/>
        <w:gridCol w:w="109"/>
        <w:gridCol w:w="109"/>
        <w:gridCol w:w="109"/>
        <w:gridCol w:w="211"/>
        <w:gridCol w:w="586"/>
        <w:gridCol w:w="271"/>
        <w:gridCol w:w="109"/>
        <w:gridCol w:w="109"/>
        <w:gridCol w:w="109"/>
        <w:gridCol w:w="325"/>
        <w:gridCol w:w="231"/>
        <w:gridCol w:w="235"/>
        <w:gridCol w:w="109"/>
        <w:gridCol w:w="109"/>
        <w:gridCol w:w="109"/>
        <w:gridCol w:w="268"/>
        <w:gridCol w:w="268"/>
        <w:gridCol w:w="380"/>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tax rate is the product of a blended U.S. statutory federal income tax rate of 21.0% and a blended state income tax rate of approximately 3.3%. Certain significant or unusual items are separately recognized during the period in which they occur and can be a source of variability in the effective tax rates from period to period.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for the six months ended June 30, 2026 was $0.6 million, resulting in our effective tax rate of approximately (0.8)%. Income tax benefit for the six months ended June 30, 2025 was $29.4 million and our effective tax rate was 8.2%. For the six months ended June 30, 2026, our recognized effective tax rate differs from the U.S. federal statutory rate primarily due to the recognition of valuation allowances. For the six months ended June 30, 2025, our recognized effective tax rate differs from the U.S. federal statutory rate primarily due to the release of unrecognized tax benefits and the recognition of valuation allowances. The unrecognized tax benefits released were primarily related to tax refund claims following the Coronavirus Aid, Relief, and Economic Security Act, or the CARES Act. Following the success of these claims, we remeasured or released the unrecognized benefits resulting in a discrete tax benefit of $29.6 million during the six months ended June 30, 2025. Due to our cumulative loss and the exhaustion of future taxable income from the reversal of taxable temporary differences, our estimated annual effective tax rate for the current year includes a valuation allowance against the current year increase in deferred tax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our cash and cash equivalents, our expected cash flows from operations, and, in certain circumstances, amounts available for borrowing under our credit facility discussed below. Our capital deployment strategy focuses on the use of resources in the key areas of research and development, technology, and investments in partnerships and collaborations. We believe that investing organically through research and development and new product development to support our business strategy provides the best return on invested capital.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60985"/>
                <wp:effectExtent l="0" t="0" r="0" b="0"/>
                <wp:wrapNone/>
                <wp:docPr id="26" name="Frame2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shd w:fill="FFFFFF" w:val="clear"/>
        </w:rPr>
        <w:t>On July 31, 2025 (the "Closing Date"), we entered into a Credit Agreement (the "Credit Agreement") with the lenders from time to time party thereto, and Or</w:t>
      </w:r>
      <w:r>
        <w:rPr>
          <w:rFonts w:ascii="Times New Roman;serif" w:hAnsi="Times New Roman;serif"/>
          <w:b w:val="false"/>
          <w:color w:val="000000"/>
          <w:sz w:val="20"/>
        </w:rPr>
        <w:t>biMed Royalty &amp; Credit Opportunities IV, LP., as administrative agent (the "Administrative Agent") and as initial lender. The Credit Agreement consists of a $200.0 million term loan credit facility with an initial term loan of $125.0 million (the "Initial Loan"), which amount was funded on the Closing Date, and delayed draw term loans (the "Delayed Draw Loans" and together with the Initial Loan, the "Loans"), at our election, subject to the timing and terms specified in the Credit Agreement, on or prior to June 30, 2027, in a maximum principal amount of $75.0 million (collectively, the "Credit Facility"). We incurred debt discounts and issuance costs totaling $9.4 million. These costs are being amortized using the effective interest m</w:t>
      </w:r>
      <w:r>
        <w:rPr>
          <w:rFonts w:ascii="Times New Roman;serif" w:hAnsi="Times New Roman;serif"/>
          <w:b w:val="false"/>
          <w:color w:val="000000"/>
          <w:sz w:val="20"/>
          <w:shd w:fill="FFFFFF" w:val="clear"/>
        </w:rPr>
        <w:t>ethod. The proceeds of the</w:t>
      </w:r>
      <w:r>
        <w:rPr>
          <w:color w:val="000000"/>
        </w:rPr>
        <w:t xml:space="preserve"> </w:t>
      </w:r>
      <w:r>
        <w:rPr>
          <w:rFonts w:ascii="Times New Roman;serif" w:hAnsi="Times New Roman;serif"/>
          <w:b w:val="false"/>
          <w:color w:val="000000"/>
          <w:sz w:val="20"/>
        </w:rPr>
        <w:t xml:space="preserve">Credit Facility were used to repay and terminate the Company's previous borrowing, with the remainder designated for working capital needs and general corporate purposes. On January 5, 2026, we and the Administrative Agent entered into the First Amendment to Credit Agreement for certain cash management matters.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Credit Facility matur</w:t>
      </w:r>
      <w:r>
        <w:rPr>
          <w:rFonts w:ascii="Times New Roman;serif" w:hAnsi="Times New Roman;serif"/>
          <w:b w:val="false"/>
          <w:color w:val="000000"/>
          <w:sz w:val="20"/>
        </w:rPr>
        <w:t>es on July 31, 2030 (the "Maturity Date"). Loans outstanding under the Credit Facility bear interest at a rate per annum equal to (x) the greater of the one-month Secured Overnight Financing Rate ("SOFR") and 2.5% plus (y) an applicable margin of 6.5%. All repayments are subject to an accrued exit fee. Commencing on September 30, 2029, and on the last business day of each fiscal quarter thereafter, we are required to make a scheduled principal payment equal to 2.5% of the unpaid principal amount of the Loans outstanding on the fourth anniversary of the Closing Date, together with any applicable exit fee. We may elect to prepay all or a portion of the amounts owed prior to the Maturity Date subject to a repayment premium, in addition to the exit fee. Any undrawn portion of the Delayed Draw Loans is subject to a fee of 0.5% per annum, payable each interest period based on the amount that remains undrawn through June 30, 2027.</w:t>
      </w:r>
      <w:r>
        <w:rPr>
          <w:color w:val="000000"/>
          <w:shd w:fill="FFFFFF" w:val="clear"/>
        </w:rPr>
        <w:t xml:space="preserve"> </w:t>
      </w:r>
      <w:r>
        <w:rPr>
          <w:rFonts w:ascii="Times New Roman;serif" w:hAnsi="Times New Roman;serif"/>
          <w:b w:val="false"/>
          <w:color w:val="000000"/>
          <w:sz w:val="20"/>
        </w:rPr>
        <w:t xml:space="preserve">The interest rate for borrowings under the Credit Agreement as of June 30, 2026 was 10.1%.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Facility is also subject to customary mandatory prepayments with the proceeds of indebtedness and certain asset sales and casualty events. In addition to the exit fee and repayment premium referenced above, voluntary and mandatory prepayments and all other payments of the Credit Facility must also be accompanied by payment of accrued interest on the principal amount repaid or prepaid. The Credit Facility is also subject to other customary fee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obligations are guaranteed by certain of our material subsidiaries (the “Credit Facility Guarantors”) pursuant to a Guarantee. Our obligations and the obligations of the Credit Facility Guarantors under the Credit Agreement and Guarantee are secured by substantially all of our assets and the assets of the Credit Facility Guarantors under a Pledge and Security Agreement entered into with the Administrative Agent.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Credit Facility </w:t>
      </w:r>
      <w:r>
        <w:rPr>
          <w:rFonts w:ascii="Times New Roman;serif" w:hAnsi="Times New Roman;serif"/>
          <w:b w:val="false"/>
          <w:color w:val="000000"/>
          <w:sz w:val="20"/>
        </w:rPr>
        <w:t xml:space="preserve">requires us and our subsidiaries, on a consolidated basis, to comply with a minimum trailing twelve-month revenue test as of the end of each month, commencing with the month ending December 31, 2025 at $615.0 million and increasing quarterly to $974.0 million beginning on December 31, 2029 and thereafter. In addition, the Credit Facility contains customary representations and warranties and affirmative and negative covenants, including covenants that limit or restrict us and our subsidiaries’ ability to incur liens, incur indebtedness, dispose of assets, make investments, make certain restricted payments, merge or consolidate and enter into certain speculative hedging arrangements. The </w:t>
      </w:r>
      <w:r>
        <w:rPr>
          <w:rFonts w:ascii="Times New Roman;serif" w:hAnsi="Times New Roman;serif"/>
          <w:b w:val="false"/>
          <w:color w:val="000000"/>
          <w:sz w:val="20"/>
          <w:shd w:fill="FFFFFF" w:val="clear"/>
        </w:rPr>
        <w:t>Credit Facility</w:t>
      </w:r>
      <w:r>
        <w:rPr>
          <w:color w:val="000000"/>
        </w:rPr>
        <w:t xml:space="preserve"> </w:t>
      </w:r>
      <w:r>
        <w:rPr>
          <w:rFonts w:ascii="Times New Roman;serif" w:hAnsi="Times New Roman;serif"/>
          <w:b w:val="false"/>
          <w:color w:val="000000"/>
          <w:sz w:val="20"/>
        </w:rPr>
        <w:t xml:space="preserve">includes a number of customary events of default, including, among other things, nonpayment defaults, covenant defaults, cross-defaults to other material indebtedness, bankruptcy and insolvency defaults, material judgment defaults and the occurrence of a change of control. If any event of default occurs (subject, in certain instances, to specified grace periods), the principal, premium, if any, interest and any other monetary obligations on all the then outstanding amounts under the Credit Facility may become due and payable immediately. As of June 30, 2026, we were in compliance with all applicable covenants under the Credit Agreement.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believe that our existing capital resources will be sufficient to meet our projected operating requirements for at least the next 12 months. Our available capital resources, however, may be consumed more rapidly than currently expected, or may be insufficient for our business needs for many reasons, including as a result of our operational cash needs or capital expenditures. In addition, we are subject to covenants under our </w:t>
      </w:r>
      <w:r>
        <w:rPr>
          <w:rFonts w:ascii="Times New Roman;serif" w:hAnsi="Times New Roman;serif"/>
          <w:b w:val="false"/>
          <w:color w:val="000000"/>
          <w:sz w:val="20"/>
          <w:shd w:fill="FFFFFF" w:val="clear"/>
        </w:rPr>
        <w:t>Credit Facility</w:t>
      </w:r>
      <w:r>
        <w:rPr>
          <w:color w:val="000000"/>
        </w:rPr>
        <w:t xml:space="preserve"> </w:t>
      </w:r>
      <w:r>
        <w:rPr>
          <w:rFonts w:ascii="Times New Roman;serif" w:hAnsi="Times New Roman;serif"/>
          <w:b w:val="false"/>
          <w:color w:val="000000"/>
          <w:sz w:val="20"/>
        </w:rPr>
        <w:t xml:space="preserve">which could limit our ability to incur additional indebtedness or impact our ability to pursue other financing. If we do not generate sufficient cash from operations, if our capital resources are consumed more rapidly than expected, or if we no longer have access to additional funds under our </w:t>
      </w:r>
      <w:r>
        <w:rPr>
          <w:rFonts w:ascii="Times New Roman;serif" w:hAnsi="Times New Roman;serif"/>
          <w:b w:val="false"/>
          <w:color w:val="000000"/>
          <w:sz w:val="20"/>
          <w:shd w:fill="FFFFFF" w:val="clear"/>
        </w:rPr>
        <w:t>Credit Facility</w:t>
      </w:r>
      <w:r>
        <w:rPr>
          <w:color w:val="000000"/>
        </w:rPr>
        <w:t xml:space="preserve"> </w:t>
      </w:r>
      <w:r>
        <w:rPr>
          <w:rFonts w:ascii="Times New Roman;serif" w:hAnsi="Times New Roman;serif"/>
          <w:b w:val="false"/>
          <w:color w:val="000000"/>
          <w:sz w:val="20"/>
        </w:rPr>
        <w:t>and we are unable to secure additional funds on acceptable terms, or at all, we may be forced to delay, scale back or eliminate some of our sales and marketing efforts, research and development activities, or other operations or delay development of our tests in an effort to provide sufficient funds to continue our operations. If any of these events occur, our ability to achieve our development and commercialization goals could be adversely affected.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enter into purchase commitments or other agreements that may materially impact our liquidity position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60985"/>
                <wp:effectExtent l="0" t="0" r="0" b="0"/>
                <wp:wrapNone/>
                <wp:docPr id="27" name="Frame2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Third-party payors, including state and federal health-care programs such as Medicare, managed care organizations, and other private health insurers, are increasingly attempting to contain health-care costs by limiting or denying coverage for certain tests and reducing reimbursement rates for both new and existing tests. We have experienced and may continue to experience coverage limitations or denials for many of our products.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balances of cash and cash equivalents as of the dates set forth in the table below: </w:t>
      </w:r>
    </w:p>
    <w:tbl>
      <w:tblPr>
        <w:tblW w:w="6228" w:type="dxa"/>
        <w:jc w:val="left"/>
        <w:tblInd w:w="0" w:type="dxa"/>
        <w:tblLayout w:type="fixed"/>
        <w:tblCellMar>
          <w:top w:w="28" w:type="dxa"/>
          <w:left w:w="28" w:type="dxa"/>
          <w:bottom w:w="28" w:type="dxa"/>
          <w:right w:w="28" w:type="dxa"/>
        </w:tblCellMar>
      </w:tblPr>
      <w:tblGrid>
        <w:gridCol w:w="818"/>
        <w:gridCol w:w="718"/>
        <w:gridCol w:w="729"/>
        <w:gridCol w:w="211"/>
        <w:gridCol w:w="616"/>
        <w:gridCol w:w="109"/>
        <w:gridCol w:w="109"/>
        <w:gridCol w:w="109"/>
        <w:gridCol w:w="109"/>
        <w:gridCol w:w="109"/>
        <w:gridCol w:w="109"/>
        <w:gridCol w:w="109"/>
        <w:gridCol w:w="247"/>
        <w:gridCol w:w="721"/>
        <w:gridCol w:w="127"/>
        <w:gridCol w:w="109"/>
        <w:gridCol w:w="109"/>
        <w:gridCol w:w="109"/>
        <w:gridCol w:w="211"/>
        <w:gridCol w:w="58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cash and cash equivalents as of June 30, 2026 as compared to December 31, 2025 was primarily driven by $24.0 million in cash used in operations, reflecting our operating loss, offset by non-cash items and changes in working capital, as well as $9.7 million in cash used for capital expenditures and capitalized intangible assets.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Condensed Consolidated Statement of Cash Flows:</w:t>
      </w:r>
    </w:p>
    <w:tbl>
      <w:tblPr>
        <w:tblW w:w="10073" w:type="dxa"/>
        <w:jc w:val="left"/>
        <w:tblInd w:w="0" w:type="dxa"/>
        <w:tblLayout w:type="fixed"/>
        <w:tblCellMar>
          <w:top w:w="28" w:type="dxa"/>
          <w:left w:w="28" w:type="dxa"/>
          <w:bottom w:w="28" w:type="dxa"/>
          <w:right w:w="28" w:type="dxa"/>
        </w:tblCellMar>
      </w:tblPr>
      <w:tblGrid>
        <w:gridCol w:w="2304"/>
        <w:gridCol w:w="2025"/>
        <w:gridCol w:w="2045"/>
        <w:gridCol w:w="211"/>
        <w:gridCol w:w="616"/>
        <w:gridCol w:w="109"/>
        <w:gridCol w:w="109"/>
        <w:gridCol w:w="109"/>
        <w:gridCol w:w="109"/>
        <w:gridCol w:w="109"/>
        <w:gridCol w:w="109"/>
        <w:gridCol w:w="109"/>
        <w:gridCol w:w="211"/>
        <w:gridCol w:w="586"/>
        <w:gridCol w:w="109"/>
        <w:gridCol w:w="109"/>
        <w:gridCol w:w="109"/>
        <w:gridCol w:w="109"/>
        <w:gridCol w:w="211"/>
        <w:gridCol w:w="511"/>
        <w:gridCol w:w="154"/>
      </w:tblGrid>
      <w:tr>
        <w:trPr/>
        <w:tc>
          <w:tcPr>
            <w:tcW w:w="230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(used in) provided by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used $5.9 million less cash for operating activities for the six months ended June 30, 2026 compared to the same period in the prior year. The decrease in cash used for operating activities was primarily driven by changes in working capital, partially offset by the change in net loss, excluding non-cash items.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used $5.5 million less cash for investing activities for the six months ended June 30, 2026 compared to the same period in the prior year. The decrease in cash used in investing activities was primarily due to a decrease in the capitalization of intangible asset expenditures for software developed for internal use.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flows from financing activities decreased $17.0 million for the six months ended June 30, 2026 compared to the same period in the prior year, primarily due to incremental borrowings of $19.5 million under our previous revolving credit facility in the prior year, partially offset by $2.5 million lower tax withholding payments on stock-based compensation plans in the current year.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Effects of Inflation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Inflation has not had a material impact on our results of operations or financial position for the periods presented. While we have experienced general cost increases consistent with broader inflationary trends, these increases have not significantly affected our operating results. If inflation were to increase, it may negatively impact our profitability and may adversely affect our business, financial condition and results of operations. In addition, higher inflationary pressures may contribute to higher interest rates, which could increase our borrowing costs or affect the terms and availability of future financing. Furthermore, to the extent tariffs imposed by the United States affect our costs, we may not be able to pass on any portion of the cost increase to our customers.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60985"/>
                <wp:effectExtent l="0" t="0" r="0" b="0"/>
                <wp:wrapNone/>
                <wp:docPr id="28" name="Frame2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Critical accounting estimates are those estimates made in accordance with generally accepted accounting principles that involve a significant level of estimation uncertainty and have had or are reasonably likely to have a material impact on a company's financial condition or results of operations. For a further discussion of our critical accounting estimates, see our Annual Report on Form 10-K filed with the SEC on February 24, 2026 and our Quarterly Report on Form 10-Q filed with the SEC on May 6, 2026. No significant changes to our critical accounting estimates took place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relate to foreign currency exchange rates and interest rates.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been and may continue to be exposed to fluctuations in foreign currencies with regard to certain agreements with service providers. While our expenses are predominantly denominated in U.S. dollars, approximately 6% of our revenue for the six months ended June 30, 2026 is denominated in other currencies, primarily in Japanese yen. A hypothetical 10% change in the value of the Japanese yen relative to the U.S. dollar would result in less than a 1% change in our revenue. We do not currently utilize hedging strategies to mitigate foreign currency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interest rate risk primarily through borrowings under our Credit Facility. Our Credit Facility has a variable interest rate based on the SOFR. An incremental change in the borrowing rate of 100 basis points would increase or decrease our annual interest expense by $1.3 million based on the Credit Facility balance of $125.0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pPr>
      <w:r>
        <w:rPr>
          <w:rFonts w:ascii="Times New Roman;serif" w:hAnsi="Times New Roman;serif"/>
          <w:b/>
          <w:color w:val="000000"/>
          <w:sz w:val="20"/>
        </w:rPr>
        <w:t>Evaluation of Disclosure Controls and Procedures</w:t>
      </w: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or Disclosure Controls, within the meaning of Rules 13a-15(e) and 15d-15(e) of the Securities Exchange Act of 1934, as amended, or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SEC’s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we evaluated the effectiveness of the design and operation of our Disclosure Controls, under the supervision and with the participation of our management, including our Chief Executive Officer and Chief Financial Officer. Based on the evaluation of our Disclosure Controls, our Chief Executive Officer and Chief Financial Officer have concluded that, as of June 30, 2026, our Disclosure Controls were effective to provide reasonable assurance that information required to be disclosed by us in the reports we file or submit under the Exchange Act is recorded, processed, summarized and reported within the time period specified in the SEC's rules and forms and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both"/>
        <w:rPr/>
      </w:pPr>
      <w:r>
        <w:rPr>
          <w:rFonts w:ascii="Times New Roman;serif" w:hAnsi="Times New Roman;serif"/>
          <w:b/>
          <w:color w:val="000000"/>
          <w:sz w:val="20"/>
        </w:rPr>
        <w:t>Changes in Internal Controls </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certain current legal proceedings, see Note 12, "Commitments and Contingencies" in the Notes to Condensed Consolidated Financial Statements included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60985"/>
                <wp:effectExtent l="0" t="0" r="0" b="0"/>
                <wp:wrapNone/>
                <wp:docPr id="29" name="Frame2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risk factors and other cautionary statements described under the heading “Risk Factors” included in Part I, Item 1A of our Annual Report on Form 10-K filed with the SEC on February 24, 2026,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our Annual Report on Form 10-K filed with the SEC on February 24, 2026. We may disclose changes to risk factors or additional risk factors from time to time in our future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both"/>
        <w:rPr/>
      </w:pPr>
      <w:r>
        <w:rPr>
          <w:rFonts w:ascii="Times New Roman;serif" w:hAnsi="Times New Roman;serif"/>
          <w:b w:val="false"/>
          <w:color w:val="000000"/>
          <w:sz w:val="20"/>
        </w:rPr>
        <w:t>We did not repurchase any of our equity securities during the q</w:t>
      </w:r>
      <w:r>
        <w:rPr>
          <w:rFonts w:ascii="Times New Roman;serif" w:hAnsi="Times New Roman;serif"/>
          <w:b w:val="false"/>
          <w:color w:val="000000"/>
          <w:sz w:val="20"/>
          <w:shd w:fill="FFFFFF" w:val="clear"/>
        </w:rPr>
        <w:t>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quarter ended June 30,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60985"/>
                <wp:effectExtent l="0" t="0" r="0" b="0"/>
                <wp:wrapNone/>
                <wp:docPr id="30" name="Frame3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3"/>
        <w:gridCol w:w="197"/>
        <w:gridCol w:w="199"/>
        <w:gridCol w:w="2882"/>
        <w:gridCol w:w="2767"/>
        <w:gridCol w:w="3917"/>
      </w:tblGrid>
      <w:tr>
        <w:trPr/>
        <w:tc>
          <w:tcPr>
            <w:tcW w:w="2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vAlign w:val="center"/>
          </w:tcPr>
          <w:p>
            <w:pPr>
              <w:pStyle w:val="TableContents"/>
              <w:bidi w:val="0"/>
              <w:spacing w:before="0" w:after="283"/>
              <w:jc w:val="left"/>
              <w:rPr>
                <w:sz w:val="4"/>
                <w:szCs w:val="4"/>
              </w:rPr>
            </w:pPr>
            <w:r>
              <w:rPr>
                <w:sz w:val="4"/>
                <w:szCs w:val="4"/>
              </w:rPr>
            </w:r>
          </w:p>
        </w:tc>
        <w:tc>
          <w:tcPr>
            <w:tcW w:w="9566" w:type="dxa"/>
            <w:gridSpan w:val="3"/>
            <w:tcBorders/>
            <w:vAlign w:val="center"/>
          </w:tcPr>
          <w:p>
            <w:pPr>
              <w:pStyle w:val="TableContents"/>
              <w:bidi w:val="0"/>
              <w:spacing w:before="0" w:after="283"/>
              <w:jc w:val="left"/>
              <w:rPr>
                <w:sz w:val="4"/>
                <w:szCs w:val="4"/>
              </w:rPr>
            </w:pPr>
            <w:r>
              <w:rPr>
                <w:sz w:val="4"/>
                <w:szCs w:val="4"/>
              </w:rPr>
            </w:r>
          </w:p>
        </w:tc>
      </w:tr>
      <w:tr>
        <w:trPr/>
        <w:tc>
          <w:tcPr>
            <w:tcW w:w="639" w:type="dxa"/>
            <w:gridSpan w:val="3"/>
            <w:tcBorders/>
            <w:vAlign w:val="center"/>
          </w:tcPr>
          <w:p>
            <w:pPr>
              <w:pStyle w:val="TableContents"/>
              <w:bidi w:val="0"/>
              <w:spacing w:before="0" w:after="283"/>
              <w:jc w:val="left"/>
              <w:rPr>
                <w:sz w:val="4"/>
                <w:szCs w:val="4"/>
              </w:rPr>
            </w:pPr>
            <w:r>
              <w:rPr>
                <w:sz w:val="4"/>
                <w:szCs w:val="4"/>
              </w:rPr>
            </w:r>
          </w:p>
        </w:tc>
        <w:tc>
          <w:tcPr>
            <w:tcW w:w="9566" w:type="dxa"/>
            <w:gridSpan w:val="3"/>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80"/>
                  <w:sz w:val="20"/>
                  <w:u w:val="single"/>
                </w:rPr>
                <w:t>Amended and Restated 2012 Employee Stock Purchase Plan, as amended</w:t>
              </w:r>
            </w:hyperlink>
            <w:hyperlink r:id="rId3">
              <w:r>
                <w:rPr>
                  <w:rStyle w:val="InternetLink"/>
                  <w:rFonts w:ascii="Times New Roman;serif" w:hAnsi="Times New Roman;serif"/>
                  <w:b w:val="false"/>
                  <w:color w:val="000080"/>
                  <w:sz w:val="20"/>
                  <w:u w:val="single"/>
                </w:rPr>
                <w:t xml:space="preserve"> </w:t>
              </w:r>
            </w:hyperlink>
            <w:hyperlink r:id="rId4">
              <w:r>
                <w:rPr>
                  <w:rStyle w:val="InternetLink"/>
                  <w:rFonts w:ascii="Times New Roman;serif" w:hAnsi="Times New Roman;serif"/>
                  <w:b w:val="false"/>
                  <w:color w:val="000080"/>
                  <w:sz w:val="20"/>
                  <w:u w:val="single"/>
                </w:rPr>
                <w:t xml:space="preserve">(incorporated by reference to Exhibit 10.1 to the Company's Current Report on Form 8-K, File No. 000-26642, filed with the SEC on June </w:t>
              </w:r>
            </w:hyperlink>
            <w:hyperlink r:id="rId5">
              <w:r>
                <w:rPr>
                  <w:rStyle w:val="InternetLink"/>
                  <w:rFonts w:ascii="Times New Roman;serif" w:hAnsi="Times New Roman;serif"/>
                  <w:b w:val="false"/>
                  <w:color w:val="000080"/>
                  <w:sz w:val="20"/>
                  <w:u w:val="single"/>
                </w:rPr>
                <w:t>4</w:t>
              </w:r>
            </w:hyperlink>
            <w:hyperlink r:id="rId6">
              <w:r>
                <w:rPr>
                  <w:rStyle w:val="InternetLink"/>
                  <w:rFonts w:ascii="Times New Roman;serif" w:hAnsi="Times New Roman;serif"/>
                  <w:b w:val="false"/>
                  <w:color w:val="000080"/>
                  <w:sz w:val="20"/>
                  <w:u w:val="single"/>
                </w:rPr>
                <w:t>, 202</w:t>
              </w:r>
            </w:hyperlink>
            <w:hyperlink r:id="rId7">
              <w:r>
                <w:rPr>
                  <w:rStyle w:val="InternetLink"/>
                  <w:rFonts w:ascii="Times New Roman;serif" w:hAnsi="Times New Roman;serif"/>
                  <w:b w:val="false"/>
                  <w:color w:val="000080"/>
                  <w:sz w:val="20"/>
                  <w:u w:val="single"/>
                </w:rPr>
                <w:t>6</w:t>
              </w:r>
            </w:hyperlink>
            <w:hyperlink r:id="rId8">
              <w:r>
                <w:rPr>
                  <w:rStyle w:val="InternetLink"/>
                  <w:rFonts w:ascii="Times New Roman;serif" w:hAnsi="Times New Roman;serif"/>
                  <w:b w:val="false"/>
                  <w:color w:val="000080"/>
                  <w:sz w:val="20"/>
                  <w:u w:val="single"/>
                </w:rPr>
                <w:t>)</w:t>
              </w:r>
            </w:hyperlink>
            <w:hyperlink r:id="rId9">
              <w:r>
                <w:rPr>
                  <w:rStyle w:val="InternetLink"/>
                  <w:rFonts w:ascii="Times New Roman;serif" w:hAnsi="Times New Roman;serif"/>
                  <w:b w:val="false"/>
                  <w:color w:val="000080"/>
                  <w:sz w:val="20"/>
                  <w:u w:val="single"/>
                </w:rPr>
                <w:t>+</w:t>
              </w:r>
            </w:hyperlink>
            <w:hyperlink r:id="rId10">
              <w:r>
                <w:rPr>
                  <w:rStyle w:val="InternetLink"/>
                  <w:rFonts w:ascii="Times New Roman;serif" w:hAnsi="Times New Roman;serif"/>
                  <w:b w:val="false"/>
                  <w:color w:val="000080"/>
                  <w:sz w:val="20"/>
                  <w:u w:val="single"/>
                </w:rPr>
                <w:t xml:space="preserve"> </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80"/>
                  <w:sz w:val="20"/>
                  <w:u w:val="single"/>
                </w:rPr>
                <w:t>2026 Employee, Director and Consultant Equity Incentive Plan</w:t>
              </w:r>
            </w:hyperlink>
            <w:hyperlink r:id="rId12">
              <w:r>
                <w:rPr>
                  <w:rStyle w:val="InternetLink"/>
                  <w:rFonts w:ascii="Times New Roman;serif" w:hAnsi="Times New Roman;serif"/>
                  <w:b w:val="false"/>
                  <w:color w:val="000080"/>
                  <w:sz w:val="20"/>
                  <w:u w:val="single"/>
                </w:rPr>
                <w:t xml:space="preserve"> </w:t>
              </w:r>
            </w:hyperlink>
            <w:hyperlink r:id="rId13">
              <w:r>
                <w:rPr>
                  <w:rStyle w:val="InternetLink"/>
                  <w:rFonts w:ascii="Times New Roman;serif" w:hAnsi="Times New Roman;serif"/>
                  <w:b w:val="false"/>
                  <w:color w:val="000080"/>
                  <w:sz w:val="20"/>
                  <w:u w:val="single"/>
                </w:rPr>
                <w:t>(incorporated by reference to Exhibit 10.</w:t>
              </w:r>
            </w:hyperlink>
            <w:hyperlink r:id="rId14">
              <w:r>
                <w:rPr>
                  <w:rStyle w:val="InternetLink"/>
                  <w:rFonts w:ascii="Times New Roman;serif" w:hAnsi="Times New Roman;serif"/>
                  <w:b w:val="false"/>
                  <w:color w:val="000080"/>
                  <w:sz w:val="20"/>
                  <w:u w:val="single"/>
                </w:rPr>
                <w:t>2</w:t>
              </w:r>
            </w:hyperlink>
            <w:hyperlink r:id="rId15">
              <w:r>
                <w:rPr>
                  <w:rStyle w:val="InternetLink"/>
                  <w:rFonts w:ascii="Times New Roman;serif" w:hAnsi="Times New Roman;serif"/>
                  <w:b w:val="false"/>
                  <w:color w:val="000080"/>
                  <w:sz w:val="20"/>
                  <w:u w:val="single"/>
                </w:rPr>
                <w:t xml:space="preserve"> to the Company's Current Report on Form 8-K, File No. 000-26642, filed with the SEC on June 4, 202</w:t>
              </w:r>
            </w:hyperlink>
            <w:hyperlink r:id="rId16">
              <w:r>
                <w:rPr>
                  <w:rStyle w:val="InternetLink"/>
                  <w:rFonts w:ascii="Times New Roman;serif" w:hAnsi="Times New Roman;serif"/>
                  <w:b w:val="false"/>
                  <w:color w:val="000080"/>
                  <w:sz w:val="20"/>
                  <w:u w:val="single"/>
                </w:rPr>
                <w:t>6</w:t>
              </w:r>
            </w:hyperlink>
            <w:hyperlink r:id="rId17">
              <w:r>
                <w:rPr>
                  <w:rStyle w:val="InternetLink"/>
                  <w:rFonts w:ascii="Times New Roman;serif" w:hAnsi="Times New Roman;serif"/>
                  <w:b w:val="false"/>
                  <w:color w:val="000080"/>
                  <w:sz w:val="20"/>
                  <w:u w:val="single"/>
                </w:rPr>
                <w:t>)</w:t>
              </w:r>
            </w:hyperlink>
            <w:r>
              <w:rPr>
                <w:rFonts w:ascii="Times New Roman;serif" w:hAnsi="Times New Roman;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80"/>
                  <w:sz w:val="20"/>
                  <w:u w:val="single"/>
                </w:rPr>
                <w:t>F</w:t>
              </w:r>
            </w:hyperlink>
            <w:hyperlink r:id="rId19">
              <w:r>
                <w:rPr>
                  <w:rStyle w:val="InternetLink"/>
                  <w:rFonts w:ascii="Times New Roman;serif" w:hAnsi="Times New Roman;serif"/>
                  <w:b w:val="false"/>
                  <w:color w:val="000080"/>
                  <w:sz w:val="20"/>
                  <w:u w:val="single"/>
                </w:rPr>
                <w:t xml:space="preserve">orm of Restricted Stock Unit Agreement under the </w:t>
              </w:r>
            </w:hyperlink>
            <w:hyperlink r:id="rId20">
              <w:r>
                <w:rPr>
                  <w:rStyle w:val="InternetLink"/>
                  <w:rFonts w:ascii="Times New Roman;serif" w:hAnsi="Times New Roman;serif"/>
                  <w:b w:val="false"/>
                  <w:color w:val="000080"/>
                  <w:sz w:val="20"/>
                  <w:u w:val="single"/>
                </w:rPr>
                <w:t>2026 Employee, Director and Consultant Equity Incentive Plan (Director)</w:t>
              </w:r>
            </w:hyperlink>
            <w:hyperlink r:id="rId21">
              <w:r>
                <w:rPr>
                  <w:rStyle w:val="InternetLink"/>
                  <w:rFonts w:ascii="Times New Roman;serif" w:hAnsi="Times New Roman;serif"/>
                  <w:b w:val="false"/>
                  <w:color w:val="000080"/>
                  <w:sz w:val="20"/>
                  <w:u w:val="single"/>
                </w:rPr>
                <w:t xml:space="preserve"> (incorporated by reference to Exhibit 99.2 to the Company's Registration Statement on Form S-8, Registration No. 333-296486, filed with the SEC on June 4, 2026).</w:t>
              </w:r>
            </w:hyperlink>
            <w:r>
              <w:rPr>
                <w:rFonts w:ascii="Times New Roman;serif" w:hAnsi="Times New Roman;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80"/>
                  <w:sz w:val="20"/>
                  <w:u w:val="single"/>
                </w:rPr>
                <w:t>Form of Restricted Stock Unit Agreement under the 2026 Employee, Director and Consultant Equity Incentive Plan (</w:t>
              </w:r>
            </w:hyperlink>
            <w:hyperlink r:id="rId23">
              <w:r>
                <w:rPr>
                  <w:rStyle w:val="InternetLink"/>
                  <w:rFonts w:ascii="Times New Roman;serif" w:hAnsi="Times New Roman;serif"/>
                  <w:b w:val="false"/>
                  <w:color w:val="000080"/>
                  <w:sz w:val="20"/>
                  <w:u w:val="single"/>
                </w:rPr>
                <w:t>Employee</w:t>
              </w:r>
            </w:hyperlink>
            <w:hyperlink r:id="rId24">
              <w:r>
                <w:rPr>
                  <w:rStyle w:val="InternetLink"/>
                  <w:rFonts w:ascii="Times New Roman;serif" w:hAnsi="Times New Roman;serif"/>
                  <w:b w:val="false"/>
                  <w:color w:val="000080"/>
                  <w:sz w:val="20"/>
                  <w:u w:val="single"/>
                </w:rPr>
                <w:t>)</w:t>
              </w:r>
            </w:hyperlink>
            <w:hyperlink r:id="rId25">
              <w:r>
                <w:rPr>
                  <w:rStyle w:val="InternetLink"/>
                  <w:rFonts w:ascii="Times New Roman;serif" w:hAnsi="Times New Roman;serif"/>
                  <w:b w:val="false"/>
                  <w:color w:val="000080"/>
                  <w:sz w:val="20"/>
                  <w:u w:val="single"/>
                </w:rPr>
                <w:t xml:space="preserve"> (incorporated by reference to Exhibit 99.</w:t>
              </w:r>
            </w:hyperlink>
            <w:hyperlink r:id="rId26">
              <w:r>
                <w:rPr>
                  <w:rStyle w:val="InternetLink"/>
                  <w:rFonts w:ascii="Times New Roman;serif" w:hAnsi="Times New Roman;serif"/>
                  <w:b w:val="false"/>
                  <w:color w:val="000080"/>
                  <w:sz w:val="20"/>
                  <w:u w:val="single"/>
                </w:rPr>
                <w:t>3</w:t>
              </w:r>
            </w:hyperlink>
            <w:hyperlink r:id="rId27">
              <w:r>
                <w:rPr>
                  <w:rStyle w:val="InternetLink"/>
                  <w:rFonts w:ascii="Times New Roman;serif" w:hAnsi="Times New Roman;serif"/>
                  <w:b w:val="false"/>
                  <w:color w:val="000080"/>
                  <w:sz w:val="20"/>
                  <w:u w:val="single"/>
                </w:rPr>
                <w:t xml:space="preserve"> to the Company's Registration Statement on form S-8, Registration No. 333-296486, filed with the SEC on June 4, 2026)</w:t>
              </w:r>
            </w:hyperlink>
            <w:r>
              <w:rPr>
                <w:rFonts w:ascii="Times New Roman;serif" w:hAnsi="Times New Roman;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5directorcompensationp.htm">
              <w:r>
                <w:rPr>
                  <w:rStyle w:val="InternetLink"/>
                  <w:rFonts w:ascii="Times New Roman;serif" w:hAnsi="Times New Roman;serif"/>
                  <w:b w:val="false"/>
                  <w:color w:val="000080"/>
                  <w:sz w:val="20"/>
                  <w:u w:val="single"/>
                </w:rPr>
                <w:t>N</w:t>
              </w:r>
            </w:hyperlink>
            <w:hyperlink w:anchor="ex105directorcompensationp.htm">
              <w:r>
                <w:rPr>
                  <w:rStyle w:val="InternetLink"/>
                  <w:rFonts w:ascii="Times New Roman;serif" w:hAnsi="Times New Roman;serif"/>
                  <w:b w:val="false"/>
                  <w:color w:val="000080"/>
                  <w:sz w:val="20"/>
                  <w:u w:val="single"/>
                </w:rPr>
                <w:t>on-Employee Director Compensation Policy (effective June 2026)</w:t>
              </w:r>
            </w:hyperlink>
            <w:hyperlink w:anchor="ex105directorcompensationp.htm">
              <w:r>
                <w:rPr>
                  <w:rStyle w:val="InternetLink"/>
                  <w:rFonts w:ascii="Times New Roman;serif" w:hAnsi="Times New Roman;serif"/>
                  <w:b w:val="false"/>
                  <w:color w:val="000080"/>
                  <w:sz w:val="20"/>
                  <w:u w:val="single"/>
                </w:rPr>
                <w:t>.</w:t>
              </w:r>
            </w:hyperlink>
            <w:hyperlink w:anchor="ex105directorcompensationp.htm">
              <w:r>
                <w:rPr>
                  <w:rStyle w:val="InternetLink"/>
                  <w:rFonts w:ascii="Times New Roman;serif" w:hAnsi="Times New Roman;serif"/>
                  <w:b w:val="false"/>
                  <w:color w:val="000080"/>
                  <w:sz w:val="20"/>
                  <w:u w:val="single"/>
                </w:rPr>
                <w:t>+</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rtificationof.htm">
              <w:r>
                <w:rPr>
                  <w:rStyle w:val="InternetLink"/>
                  <w:rFonts w:ascii="Times New Roman;serif" w:hAnsi="Times New Roman;serif"/>
                  <w:b w:val="false"/>
                  <w:color w:val="0000FF"/>
                  <w:sz w:val="20"/>
                  <w:u w:val="single"/>
                </w:rPr>
                <w:t>Certification of Principal Executive Officer pursuant to Section 302(a) of the Sarbanes-Oxley Act of 2002.</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ertificationof.htm">
              <w:r>
                <w:rPr>
                  <w:rStyle w:val="InternetLink"/>
                  <w:rFonts w:ascii="Times New Roman;serif" w:hAnsi="Times New Roman;serif"/>
                  <w:b w:val="false"/>
                  <w:color w:val="0000FF"/>
                  <w:sz w:val="20"/>
                  <w:u w:val="single"/>
                </w:rPr>
                <w:t>Certification of Principal Financial Officer pursuant to Section 302(a) of the Sarbanes-Oxley Act of 2002.</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rtificationpu.htm">
              <w:r>
                <w:rPr>
                  <w:rStyle w:val="InternetLink"/>
                  <w:rFonts w:ascii="Times New Roman;serif" w:hAnsi="Times New Roman;serif"/>
                  <w:b w:val="false"/>
                  <w:color w:val="0000FF"/>
                  <w:sz w:val="20"/>
                  <w:u w:val="single"/>
                </w:rPr>
                <w:t>Certification pursuant to Section 906 of the Sarbanes-Oxley Act of 2002.</w:t>
              </w:r>
            </w:hyperlink>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6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2026 has been formatted in Inline XBRL.</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arrangement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The Certification attached as Exhibit 32.1 that accompanies this Quarterly Report on Form 10-Q is not deemed filed with the Securities and Exchange Commission and is not to be incorporated by reference into any filing of Myriad Genetics,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80" w:after="283"/>
        <w:jc w:val="both"/>
        <w:rPr/>
      </w:pPr>
      <w:hyperlink w:anchor="i2e3fa2d3559845bd932a74e45da6bc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807" w:type="dxa"/>
        <w:jc w:val="left"/>
        <w:tblInd w:w="0" w:type="dxa"/>
        <w:tblLayout w:type="fixed"/>
        <w:tblCellMar>
          <w:top w:w="28" w:type="dxa"/>
          <w:left w:w="28" w:type="dxa"/>
          <w:bottom w:w="28" w:type="dxa"/>
          <w:right w:w="28" w:type="dxa"/>
        </w:tblCellMar>
      </w:tblPr>
      <w:tblGrid>
        <w:gridCol w:w="618"/>
        <w:gridCol w:w="544"/>
        <w:gridCol w:w="547"/>
        <w:gridCol w:w="368"/>
        <w:gridCol w:w="368"/>
        <w:gridCol w:w="368"/>
        <w:gridCol w:w="1453"/>
        <w:gridCol w:w="1453"/>
        <w:gridCol w:w="208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MYRIAD GENETICS,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Samraat S. Raha</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Samraat S. Raha</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60985"/>
                <wp:effectExtent l="0" t="0" r="0" b="0"/>
                <wp:wrapNone/>
                <wp:docPr id="32" name="Frame3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MYRIAD GENETICS, INC.</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NON-EMPLOYEE DIRECTOR COMPENSATION POLICY</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(Effective: June 2026)</w:t>
      </w:r>
    </w:p>
    <w:p>
      <w:pPr>
        <w:pStyle w:val="TextBody"/>
        <w:bidi w:val="0"/>
        <w:spacing w:before="0" w:after="0"/>
        <w:jc w:val="center"/>
        <w:rPr/>
      </w:pPr>
      <w:r>
        <w:rPr/>
      </w:r>
    </w:p>
    <w:p>
      <w:pPr>
        <w:pStyle w:val="TextBody"/>
        <w:bidi w:val="0"/>
        <w:spacing w:lineRule="auto" w:line="288" w:before="0" w:after="0"/>
        <w:jc w:val="both"/>
        <w:rPr/>
      </w:pPr>
      <w:r>
        <w:rPr>
          <w:rFonts w:ascii="sans-serif" w:hAnsi="sans-serif"/>
          <w:b w:val="false"/>
          <w:color w:val="000000"/>
          <w:sz w:val="24"/>
        </w:rPr>
        <w:t>The following is a description of the standard compensation arrangements under which the non-employee directors of Myriad Genetics, Inc. (the “</w:t>
      </w:r>
      <w:r>
        <w:rPr>
          <w:rFonts w:ascii="sans-serif" w:hAnsi="sans-serif"/>
          <w:b w:val="false"/>
          <w:color w:val="000000"/>
          <w:sz w:val="24"/>
          <w:u w:val="single"/>
        </w:rPr>
        <w:t>Company</w:t>
      </w:r>
      <w:r>
        <w:rPr>
          <w:rFonts w:ascii="sans-serif" w:hAnsi="sans-serif"/>
          <w:b w:val="false"/>
          <w:color w:val="000000"/>
          <w:sz w:val="24"/>
        </w:rPr>
        <w:t>,” “</w:t>
      </w:r>
      <w:r>
        <w:rPr>
          <w:rFonts w:ascii="sans-serif" w:hAnsi="sans-serif"/>
          <w:b w:val="false"/>
          <w:color w:val="000000"/>
          <w:sz w:val="24"/>
          <w:u w:val="single"/>
        </w:rPr>
        <w:t>our</w:t>
      </w:r>
      <w:r>
        <w:rPr>
          <w:color w:val="000000"/>
        </w:rPr>
        <w:t xml:space="preserve">” </w:t>
      </w:r>
      <w:r>
        <w:rPr>
          <w:rFonts w:ascii="sans-serif" w:hAnsi="sans-serif"/>
          <w:b w:val="false"/>
          <w:color w:val="000000"/>
          <w:sz w:val="24"/>
        </w:rPr>
        <w:t>or “</w:t>
      </w:r>
      <w:r>
        <w:rPr>
          <w:rFonts w:ascii="sans-serif" w:hAnsi="sans-serif"/>
          <w:b w:val="false"/>
          <w:color w:val="000000"/>
          <w:sz w:val="24"/>
          <w:u w:val="single"/>
        </w:rPr>
        <w:t>we</w:t>
      </w:r>
      <w:r>
        <w:rPr>
          <w:color w:val="000000"/>
        </w:rPr>
        <w:t>”</w:t>
      </w:r>
      <w:r>
        <w:rPr>
          <w:rFonts w:ascii="sans-serif" w:hAnsi="sans-serif"/>
          <w:b w:val="false"/>
          <w:color w:val="000000"/>
          <w:sz w:val="24"/>
        </w:rPr>
        <w:t>) are compensated for their service as directors of the Company, including as members of the various committees of our Board of Directors (the “</w:t>
      </w:r>
      <w:r>
        <w:rPr>
          <w:rFonts w:ascii="sans-serif" w:hAnsi="sans-serif"/>
          <w:b w:val="false"/>
          <w:color w:val="000000"/>
          <w:sz w:val="24"/>
          <w:u w:val="single"/>
        </w:rPr>
        <w:t>Board</w:t>
      </w:r>
      <w:r>
        <w:rPr>
          <w:color w:val="000000"/>
        </w:rPr>
        <w:t>”</w:t>
      </w:r>
      <w:r>
        <w:rPr>
          <w:rFonts w:ascii="sans-serif" w:hAnsi="sans-serif"/>
          <w:b w:val="false"/>
          <w:color w:val="000000"/>
          <w:sz w:val="24"/>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82"/>
        <w:gridCol w:w="2178"/>
        <w:gridCol w:w="2188"/>
        <w:gridCol w:w="948"/>
        <w:gridCol w:w="948"/>
        <w:gridCol w:w="1361"/>
      </w:tblGrid>
      <w:tr>
        <w:trPr/>
        <w:tc>
          <w:tcPr>
            <w:tcW w:w="2582"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4"/>
              </w:rPr>
              <w:t>Annual Retainer</w:t>
            </w:r>
            <w:r>
              <w:rPr>
                <w:color w:val="000000"/>
              </w:rPr>
              <w:t xml:space="preserve"> </w:t>
            </w:r>
            <w:r>
              <w:rPr>
                <w:rFonts w:ascii="sans-serif" w:hAnsi="sans-serif"/>
                <w:b w:val="false"/>
                <w:color w:val="000000"/>
                <w:sz w:val="24"/>
              </w:rPr>
              <w:t>(all members)</w:t>
            </w:r>
          </w:p>
        </w:tc>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$60,000</w:t>
            </w:r>
          </w:p>
        </w:tc>
      </w:tr>
      <w:tr>
        <w:trPr/>
        <w:tc>
          <w:tcPr>
            <w:tcW w:w="6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 xml:space="preserve">Chair of the Board </w:t>
            </w:r>
          </w:p>
        </w:tc>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$120,000 additional retainer</w:t>
            </w:r>
          </w:p>
        </w:tc>
      </w:tr>
      <w:tr>
        <w:trPr/>
        <w:tc>
          <w:tcPr>
            <w:tcW w:w="6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Committee Chair Compensation</w:t>
            </w:r>
          </w:p>
        </w:tc>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Audit and Finance Committee</w:t>
            </w:r>
          </w:p>
        </w:tc>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$28,000 additional retainer</w:t>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Compensation and Human Capital Committee</w:t>
            </w:r>
          </w:p>
        </w:tc>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$20,000 additional retainer</w:t>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Nominating, Environmental, Social and Governance Committee</w:t>
            </w:r>
          </w:p>
        </w:tc>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$20,000 additional retainer</w:t>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Research and Product Innovation Committee</w:t>
            </w:r>
          </w:p>
        </w:tc>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$28,000 additional retainer</w:t>
            </w:r>
          </w:p>
        </w:tc>
      </w:tr>
      <w:tr>
        <w:trPr/>
        <w:tc>
          <w:tcPr>
            <w:tcW w:w="6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4"/>
              </w:rPr>
              <w:t>Committee Member Compensation</w:t>
            </w:r>
            <w:r>
              <w:rPr>
                <w:color w:val="000000"/>
              </w:rPr>
              <w:t xml:space="preserve"> </w:t>
            </w:r>
            <w:r>
              <w:rPr>
                <w:rFonts w:ascii="sans-serif" w:hAnsi="sans-serif"/>
                <w:b w:val="false"/>
                <w:color w:val="000000"/>
                <w:sz w:val="16"/>
              </w:rPr>
              <w:t>(1)</w:t>
            </w:r>
          </w:p>
        </w:tc>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Audit and Finance Committee</w:t>
            </w:r>
          </w:p>
        </w:tc>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$13,500 additional retainer</w:t>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Compensation and Human Capital Committee</w:t>
            </w:r>
          </w:p>
        </w:tc>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$10,000 additional retainer</w:t>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Nominating, Environmental, Social and Governance Committee</w:t>
            </w:r>
          </w:p>
        </w:tc>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$10,000 additional retainer</w:t>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Research and Product Innovation Committee</w:t>
            </w:r>
          </w:p>
        </w:tc>
        <w:tc>
          <w:tcPr>
            <w:tcW w:w="3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$13,500 additional retainer</w:t>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(1) Other than each Committee Chair</w:t>
            </w:r>
          </w:p>
        </w:tc>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rPr>
      </w:pPr>
      <w:r>
        <w:rPr>
          <w:rFonts w:ascii="sans-serif" w:hAnsi="sans-serif"/>
          <w:b/>
          <w:color w:val="000000"/>
          <w:sz w:val="24"/>
        </w:rPr>
        <w:t>Attendance</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Non-employee directors do not receive any fees (other than the retainers outlined above) for attending Board or committee meetings. However, directors are reimbursed for any out-of-pocket costs and expenses incurred in attending Board and committee meetings.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4"/>
        </w:rPr>
      </w:pPr>
      <w:r>
        <w:rPr>
          <w:rFonts w:ascii="sans-serif" w:hAnsi="sans-serif"/>
          <w:b/>
          <w:color w:val="000000"/>
          <w:sz w:val="24"/>
        </w:rPr>
        <w:t xml:space="preserve">Equity Awards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4"/>
        </w:rPr>
        <w:t>Under our 2026 Employee, Director and Consultant Equity Incentive Plan (as amended, the “</w:t>
      </w:r>
      <w:r>
        <w:rPr>
          <w:rFonts w:ascii="sans-serif" w:hAnsi="sans-serif"/>
          <w:b w:val="false"/>
          <w:color w:val="000000"/>
          <w:sz w:val="24"/>
          <w:u w:val="single"/>
        </w:rPr>
        <w:t>2026 Plan</w:t>
      </w:r>
      <w:r>
        <w:rPr>
          <w:color w:val="000000"/>
        </w:rPr>
        <w:t>”</w:t>
      </w:r>
      <w:r>
        <w:rPr>
          <w:rFonts w:ascii="sans-serif" w:hAnsi="sans-serif"/>
          <w:b w:val="false"/>
          <w:color w:val="000000"/>
          <w:sz w:val="24"/>
        </w:rPr>
        <w:t>), non-employee directors may receive an award of equity in the Company. As recommended and determined by our Compensation and Human Capital Committee, and approved by our Board, we may grant to each non-employee director equity awards under the 2026 Plan (a) upon his or her initial appointment to the Board and/or (b) on the date of each annual meeting of stockholders; provided, however, that if a newly appointed director receives an equity award upon his or her initial appointment to the Board, such director will receive a prorated equity award on the date of the next annual meeting of stockholders. The prorated equity award will be calculated by dividing the number of days that such director has served as a director of the Company prior to the date of the next annual meeting of stockholders by 365, as illustrated below. Except in the case of a prorated equity award for a newly appointed director or as otherwise determined by the Board, the number of shares of restricted stock, restricted stock units and/or other equity awards granted will be determined by dividing $350,000 by the NASDAQ closing trading price of our common stock on the date of the applicable annual meeting of stockholders or the date that such new non-employee director is appointed to the Board, as applicable. In the case of a prorated equity award, the number of shares of restricted stock, restricted stock units and/or other equity awards granted will be determined by dividing the value of the prorated award by the NASDAQ closing trading price of our common stock on the date of the applicable annual meeting of stockholders. By way of illustration, the value of a prorated equity award will be calculated as follows: (y) if a director were appointed to the Board 90 days prior to the date of the next annual meeting of stockholders, such director would receive an equity award equal to approximately $86,301 (</w:t>
      </w:r>
      <w:r>
        <w:rPr>
          <w:rFonts w:ascii="sans-serif" w:hAnsi="sans-serif"/>
          <w:b w:val="false"/>
          <w:i/>
          <w:color w:val="000000"/>
          <w:sz w:val="24"/>
        </w:rPr>
        <w:t>i.e.</w:t>
      </w:r>
      <w:r>
        <w:rPr>
          <w:rFonts w:ascii="sans-serif" w:hAnsi="sans-serif"/>
          <w:b w:val="false"/>
          <w:color w:val="000000"/>
          <w:sz w:val="24"/>
        </w:rPr>
        <w:t>, (90/365) * $350,000); and (z) if a director were appointed to the Board 270 days prior to the date of the next annual meeting of stockholders, such director would receive an equity award equal to approximately $258,904 (</w:t>
      </w:r>
      <w:r>
        <w:rPr>
          <w:rFonts w:ascii="sans-serif" w:hAnsi="sans-serif"/>
          <w:b w:val="false"/>
          <w:i/>
          <w:color w:val="000000"/>
          <w:sz w:val="24"/>
        </w:rPr>
        <w:t>i.e.</w:t>
      </w:r>
      <w:r>
        <w:rPr>
          <w:rFonts w:ascii="sans-serif" w:hAnsi="sans-serif"/>
          <w:b w:val="false"/>
          <w:color w:val="000000"/>
          <w:sz w:val="24"/>
        </w:rPr>
        <w:t xml:space="preserve">, (270/365) * $350,000). Notwithstanding the foregoing, in no event will a non-employee director receive equity awards under the 2026 Plan with an aggregate grant date fair value in excess of $500,000 during any calendar year.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Restricted stock, restricted stock units and other equity awards granted to our non-employee directors may vest, in the discretion of the Board and/or Compensation and Human Capital Committee, (1) in the case of awards granted on the date of our annual meeting of stockholders, upon the earlier of (i) one year of service on the Board following the date of grant or (ii) the date of the next annual meeting of stockholders following such grant and (2) in the case of awards granted on the date that a new non-employee director is appointed to the Board, on the date that is one year following the date of such grant. All restricted stock units granted to our non-employee directors will become vested upon a change of control of Myriad or upon their death as provided for under the forms of award agreement for directors under our 2026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SARBANES-OXLEY SECTION 302(a) 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Samraat S. Raha, certify that: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Myriad Genetics, Inc.;</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10" w:type="dxa"/>
        <w:jc w:val="left"/>
        <w:tblInd w:w="0" w:type="dxa"/>
        <w:tblLayout w:type="fixed"/>
        <w:tblCellMar>
          <w:top w:w="28" w:type="dxa"/>
          <w:left w:w="28" w:type="dxa"/>
          <w:bottom w:w="28" w:type="dxa"/>
          <w:right w:w="28" w:type="dxa"/>
        </w:tblCellMar>
      </w:tblPr>
      <w:tblGrid>
        <w:gridCol w:w="317"/>
        <w:gridCol w:w="278"/>
        <w:gridCol w:w="278"/>
        <w:gridCol w:w="1055"/>
        <w:gridCol w:w="1055"/>
        <w:gridCol w:w="1055"/>
        <w:gridCol w:w="109"/>
        <w:gridCol w:w="109"/>
        <w:gridCol w:w="154"/>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Samraat S. Raha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Samraat S. Raha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SARBANES-OXLEY SECTION 302(a) 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Benjamin R. Wheeler, certify that: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Myriad Genetics, Inc.;</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40" w:type="dxa"/>
        <w:jc w:val="left"/>
        <w:tblInd w:w="0" w:type="dxa"/>
        <w:tblLayout w:type="fixed"/>
        <w:tblCellMar>
          <w:top w:w="28" w:type="dxa"/>
          <w:left w:w="28" w:type="dxa"/>
          <w:bottom w:w="28" w:type="dxa"/>
          <w:right w:w="28" w:type="dxa"/>
        </w:tblCellMar>
      </w:tblPr>
      <w:tblGrid>
        <w:gridCol w:w="317"/>
        <w:gridCol w:w="278"/>
        <w:gridCol w:w="278"/>
        <w:gridCol w:w="765"/>
        <w:gridCol w:w="765"/>
        <w:gridCol w:w="765"/>
        <w:gridCol w:w="109"/>
        <w:gridCol w:w="109"/>
        <w:gridCol w:w="154"/>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Myriad Genetics, Inc., a Delaware corporation (the “Company”), does hereby certify, to such officer’s knowledge,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6448" w:type="dxa"/>
        <w:jc w:val="left"/>
        <w:tblInd w:w="0" w:type="dxa"/>
        <w:tblLayout w:type="fixed"/>
        <w:tblCellMar>
          <w:top w:w="28" w:type="dxa"/>
          <w:left w:w="28" w:type="dxa"/>
          <w:bottom w:w="28" w:type="dxa"/>
          <w:right w:w="28" w:type="dxa"/>
        </w:tblCellMar>
      </w:tblPr>
      <w:tblGrid>
        <w:gridCol w:w="399"/>
        <w:gridCol w:w="350"/>
        <w:gridCol w:w="350"/>
        <w:gridCol w:w="693"/>
        <w:gridCol w:w="693"/>
        <w:gridCol w:w="693"/>
        <w:gridCol w:w="109"/>
        <w:gridCol w:w="109"/>
        <w:gridCol w:w="109"/>
        <w:gridCol w:w="271"/>
        <w:gridCol w:w="271"/>
        <w:gridCol w:w="271"/>
        <w:gridCol w:w="624"/>
        <w:gridCol w:w="624"/>
        <w:gridCol w:w="882"/>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1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Samraat S. Raha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rPr/>
        <w:tc>
          <w:tcPr>
            <w:tcW w:w="31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Samraat S. Raha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rPr/>
        <w:tc>
          <w:tcPr>
            <w:tcW w:w="31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1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99923/000089992326000059/ex1012012esppasamendedjune.htm" TargetMode="External"/><Relationship Id="rId3" Type="http://schemas.openxmlformats.org/officeDocument/2006/relationships/hyperlink" Target="https://www.sec.gov/Archives/edgar/data/899923/000089992326000059/ex1012012esppasamendedjune.htm" TargetMode="External"/><Relationship Id="rId4" Type="http://schemas.openxmlformats.org/officeDocument/2006/relationships/hyperlink" Target="https://www.sec.gov/Archives/edgar/data/899923/000089992326000059/ex1012012esppasamendedjune.htm" TargetMode="External"/><Relationship Id="rId5" Type="http://schemas.openxmlformats.org/officeDocument/2006/relationships/hyperlink" Target="https://www.sec.gov/Archives/edgar/data/899923/000089992326000059/ex1012012esppasamendedjune.htm" TargetMode="External"/><Relationship Id="rId6" Type="http://schemas.openxmlformats.org/officeDocument/2006/relationships/hyperlink" Target="https://www.sec.gov/Archives/edgar/data/899923/000089992326000059/ex1012012esppasamendedjune.htm" TargetMode="External"/><Relationship Id="rId7" Type="http://schemas.openxmlformats.org/officeDocument/2006/relationships/hyperlink" Target="https://www.sec.gov/Archives/edgar/data/899923/000089992326000059/ex1012012esppasamendedjune.htm" TargetMode="External"/><Relationship Id="rId8" Type="http://schemas.openxmlformats.org/officeDocument/2006/relationships/hyperlink" Target="https://www.sec.gov/Archives/edgar/data/899923/000089992326000059/ex1012012esppasamendedjune.htm" TargetMode="External"/><Relationship Id="rId9" Type="http://schemas.openxmlformats.org/officeDocument/2006/relationships/hyperlink" Target="https://www.sec.gov/Archives/edgar/data/899923/000089992326000059/ex1012012esppasamendedjune.htm" TargetMode="External"/><Relationship Id="rId10" Type="http://schemas.openxmlformats.org/officeDocument/2006/relationships/hyperlink" Target="https://www.sec.gov/Archives/edgar/data/899923/000089992326000059/ex1012012esppasamendedjune.htm" TargetMode="External"/><Relationship Id="rId11" Type="http://schemas.openxmlformats.org/officeDocument/2006/relationships/hyperlink" Target="https://www.sec.gov/Archives/edgar/data/899923/000089992326000059/ex102myriad-2026employeedi.htm" TargetMode="External"/><Relationship Id="rId12" Type="http://schemas.openxmlformats.org/officeDocument/2006/relationships/hyperlink" Target="https://www.sec.gov/Archives/edgar/data/899923/000089992326000059/ex102myriad-2026employeedi.htm" TargetMode="External"/><Relationship Id="rId13" Type="http://schemas.openxmlformats.org/officeDocument/2006/relationships/hyperlink" Target="https://www.sec.gov/Archives/edgar/data/899923/000089992326000059/ex102myriad-2026employeedi.htm" TargetMode="External"/><Relationship Id="rId14" Type="http://schemas.openxmlformats.org/officeDocument/2006/relationships/hyperlink" Target="https://www.sec.gov/Archives/edgar/data/899923/000089992326000059/ex102myriad-2026employeedi.htm" TargetMode="External"/><Relationship Id="rId15" Type="http://schemas.openxmlformats.org/officeDocument/2006/relationships/hyperlink" Target="https://www.sec.gov/Archives/edgar/data/899923/000089992326000059/ex102myriad-2026employeedi.htm" TargetMode="External"/><Relationship Id="rId16" Type="http://schemas.openxmlformats.org/officeDocument/2006/relationships/hyperlink" Target="https://www.sec.gov/Archives/edgar/data/899923/000089992326000059/ex102myriad-2026employeedi.htm" TargetMode="External"/><Relationship Id="rId17" Type="http://schemas.openxmlformats.org/officeDocument/2006/relationships/hyperlink" Target="https://www.sec.gov/Archives/edgar/data/899923/000089992326000059/ex102myriad-2026employeedi.htm" TargetMode="External"/><Relationship Id="rId18" Type="http://schemas.openxmlformats.org/officeDocument/2006/relationships/hyperlink" Target="https://www.sec.gov/Archives/edgar/data/899923/000089992326000057/ex992rsuagreement2026pland.htm" TargetMode="External"/><Relationship Id="rId19" Type="http://schemas.openxmlformats.org/officeDocument/2006/relationships/hyperlink" Target="https://www.sec.gov/Archives/edgar/data/899923/000089992326000057/ex992rsuagreement2026pland.htm" TargetMode="External"/><Relationship Id="rId20" Type="http://schemas.openxmlformats.org/officeDocument/2006/relationships/hyperlink" Target="https://www.sec.gov/Archives/edgar/data/899923/000089992326000057/ex992rsuagreement2026pland.htm" TargetMode="External"/><Relationship Id="rId21" Type="http://schemas.openxmlformats.org/officeDocument/2006/relationships/hyperlink" Target="https://www.sec.gov/Archives/edgar/data/899923/000089992326000057/ex992rsuagreement2026pland.htm" TargetMode="External"/><Relationship Id="rId22" Type="http://schemas.openxmlformats.org/officeDocument/2006/relationships/hyperlink" Target="https://www.sec.gov/Archives/edgar/data/899923/000089992326000057/ex993rsuagreement2026plane.htm" TargetMode="External"/><Relationship Id="rId23" Type="http://schemas.openxmlformats.org/officeDocument/2006/relationships/hyperlink" Target="https://www.sec.gov/Archives/edgar/data/899923/000089992326000057/ex993rsuagreement2026plane.htm" TargetMode="External"/><Relationship Id="rId24" Type="http://schemas.openxmlformats.org/officeDocument/2006/relationships/hyperlink" Target="https://www.sec.gov/Archives/edgar/data/899923/000089992326000057/ex993rsuagreement2026plane.htm" TargetMode="External"/><Relationship Id="rId25" Type="http://schemas.openxmlformats.org/officeDocument/2006/relationships/hyperlink" Target="https://www.sec.gov/Archives/edgar/data/899923/000089992326000057/ex993rsuagreement2026plane.htm" TargetMode="External"/><Relationship Id="rId26" Type="http://schemas.openxmlformats.org/officeDocument/2006/relationships/hyperlink" Target="https://www.sec.gov/Archives/edgar/data/899923/000089992326000057/ex993rsuagreement2026plane.htm" TargetMode="External"/><Relationship Id="rId27" Type="http://schemas.openxmlformats.org/officeDocument/2006/relationships/hyperlink" Target="https://www.sec.gov/Archives/edgar/data/899923/000089992326000057/ex993rsuagreement2026plane.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16391</Words>
  <Characters>89850</Characters>
  <CharactersWithSpaces>104994</CharactersWithSpaces>
  <Paragraphs>1971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