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Submissions of Matters to a Vote of Security Holders</w:t>
      </w:r>
    </w:p>
    <w:p>
      <w:pPr>
        <w:spacing w:after="0" w:line="283"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On June 6, 2024, Myriad Genetics, Inc. (the “Company”) held its 2024 Annual Meeting of Stockholders (the “Annual Meeting”). Of the 90,478,255 shares of Company common stock outstanding as of the record date of April 11, 2024, a quorum of 84,424,257 shares, or approximately 93% of the outstanding shares of Company common stock, was present via webcast or represented by proxy.</w:t>
      </w:r>
    </w:p>
    <w:p>
      <w:pPr>
        <w:spacing w:after="0" w:line="211"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The following is a brief description of each matter submitted to a vote at the Annual Meeting, as well as the number of votes cast for and against and the number of abstentions and broker non-votes with respect to each matter.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1: Election of Directors</w:t>
            </w: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3280" w:type="dxa"/>
            <w:vAlign w:val="bottom"/>
          </w:tcPr>
          <w:p>
            <w:pPr>
              <w:spacing w:after="0"/>
              <w:rPr>
                <w:sz w:val="24"/>
                <w:szCs w:val="24"/>
                <w:color w:val="auto"/>
              </w:rPr>
            </w:pPr>
          </w:p>
        </w:tc>
        <w:tc>
          <w:tcPr>
            <w:tcW w:w="19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9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0" w:type="dxa"/>
            <w:vAlign w:val="bottom"/>
          </w:tcPr>
          <w:p>
            <w:pPr>
              <w:spacing w:after="0"/>
              <w:rPr>
                <w:sz w:val="1"/>
                <w:szCs w:val="1"/>
                <w:color w:val="auto"/>
              </w:rPr>
            </w:pPr>
          </w:p>
        </w:tc>
      </w:tr>
      <w:tr>
        <w:trPr>
          <w:trHeight w:val="214"/>
        </w:trPr>
        <w:tc>
          <w:tcPr>
            <w:tcW w:w="3280" w:type="dxa"/>
            <w:vAlign w:val="bottom"/>
            <w:tcBorders>
              <w:top w:val="single" w:sz="8" w:color="80B8E6"/>
            </w:tcBorders>
            <w:shd w:val="clear" w:color="auto" w:fill="80B8E6"/>
          </w:tcPr>
          <w:p>
            <w:pPr>
              <w:ind w:left="20"/>
              <w:spacing w:after="0"/>
              <w:rPr>
                <w:sz w:val="20"/>
                <w:szCs w:val="20"/>
                <w:color w:val="auto"/>
              </w:rPr>
            </w:pPr>
            <w:r>
              <w:rPr>
                <w:rFonts w:ascii="Times New Roman" w:cs="Times New Roman" w:eastAsia="Times New Roman" w:hAnsi="Times New Roman"/>
                <w:sz w:val="18"/>
                <w:szCs w:val="18"/>
                <w:color w:val="auto"/>
              </w:rPr>
              <w:t>S. Louise Phanstiel</w:t>
            </w:r>
          </w:p>
        </w:tc>
        <w:tc>
          <w:tcPr>
            <w:tcW w:w="1340" w:type="dxa"/>
            <w:vAlign w:val="bottom"/>
            <w:tcBorders>
              <w:top w:val="single" w:sz="8" w:color="auto"/>
            </w:tcBorders>
            <w:vMerge w:val="restart"/>
            <w:shd w:val="clear" w:color="auto" w:fill="80B8E6"/>
          </w:tcPr>
          <w:p>
            <w:pPr>
              <w:jc w:val="right"/>
              <w:ind w:right="70"/>
              <w:spacing w:after="0"/>
              <w:rPr>
                <w:sz w:val="20"/>
                <w:szCs w:val="20"/>
                <w:color w:val="auto"/>
              </w:rPr>
            </w:pPr>
            <w:r>
              <w:rPr>
                <w:rFonts w:ascii="Times New Roman" w:cs="Times New Roman" w:eastAsia="Times New Roman" w:hAnsi="Times New Roman"/>
                <w:sz w:val="18"/>
                <w:szCs w:val="18"/>
                <w:color w:val="auto"/>
              </w:rPr>
              <w:t>72,176,819</w:t>
            </w:r>
          </w:p>
        </w:tc>
        <w:tc>
          <w:tcPr>
            <w:tcW w:w="560" w:type="dxa"/>
            <w:vAlign w:val="bottom"/>
            <w:tcBorders>
              <w:top w:val="single" w:sz="8" w:color="80B8E6"/>
            </w:tcBorders>
            <w:shd w:val="clear" w:color="auto" w:fill="80B8E6"/>
          </w:tcPr>
          <w:p>
            <w:pPr>
              <w:spacing w:after="0"/>
              <w:rPr>
                <w:sz w:val="18"/>
                <w:szCs w:val="18"/>
                <w:color w:val="auto"/>
              </w:rPr>
            </w:pPr>
          </w:p>
        </w:tc>
        <w:tc>
          <w:tcPr>
            <w:tcW w:w="1340" w:type="dxa"/>
            <w:vAlign w:val="bottom"/>
            <w:tcBorders>
              <w:top w:val="single" w:sz="8" w:color="auto"/>
            </w:tcBorders>
            <w:vMerge w:val="restart"/>
            <w:shd w:val="clear" w:color="auto" w:fill="80B8E6"/>
          </w:tcPr>
          <w:p>
            <w:pPr>
              <w:jc w:val="right"/>
              <w:ind w:right="150"/>
              <w:spacing w:after="0"/>
              <w:rPr>
                <w:sz w:val="20"/>
                <w:szCs w:val="20"/>
                <w:color w:val="auto"/>
              </w:rPr>
            </w:pPr>
            <w:r>
              <w:rPr>
                <w:rFonts w:ascii="Times New Roman" w:cs="Times New Roman" w:eastAsia="Times New Roman" w:hAnsi="Times New Roman"/>
                <w:sz w:val="18"/>
                <w:szCs w:val="18"/>
                <w:color w:val="auto"/>
              </w:rPr>
              <w:t>6,303,679</w:t>
            </w:r>
          </w:p>
        </w:tc>
        <w:tc>
          <w:tcPr>
            <w:tcW w:w="600" w:type="dxa"/>
            <w:vAlign w:val="bottom"/>
            <w:tcBorders>
              <w:top w:val="single" w:sz="8" w:color="80B8E6"/>
            </w:tcBorders>
            <w:shd w:val="clear" w:color="auto" w:fill="80B8E6"/>
          </w:tcPr>
          <w:p>
            <w:pPr>
              <w:spacing w:after="0"/>
              <w:rPr>
                <w:sz w:val="18"/>
                <w:szCs w:val="18"/>
                <w:color w:val="auto"/>
              </w:rPr>
            </w:pPr>
          </w:p>
        </w:tc>
        <w:tc>
          <w:tcPr>
            <w:tcW w:w="1240" w:type="dxa"/>
            <w:vAlign w:val="bottom"/>
            <w:tcBorders>
              <w:top w:val="single" w:sz="8" w:color="auto"/>
            </w:tcBorders>
            <w:vMerge w:val="restart"/>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44,684</w:t>
            </w:r>
          </w:p>
        </w:tc>
        <w:tc>
          <w:tcPr>
            <w:tcW w:w="600" w:type="dxa"/>
            <w:vAlign w:val="bottom"/>
            <w:tcBorders>
              <w:top w:val="single" w:sz="8" w:color="80B8E6"/>
            </w:tcBorders>
            <w:shd w:val="clear" w:color="auto" w:fill="80B8E6"/>
          </w:tcPr>
          <w:p>
            <w:pPr>
              <w:spacing w:after="0"/>
              <w:rPr>
                <w:sz w:val="18"/>
                <w:szCs w:val="18"/>
                <w:color w:val="auto"/>
              </w:rPr>
            </w:pPr>
          </w:p>
        </w:tc>
        <w:tc>
          <w:tcPr>
            <w:tcW w:w="1380" w:type="dxa"/>
            <w:vAlign w:val="bottom"/>
            <w:tcBorders>
              <w:top w:val="single" w:sz="8" w:color="auto"/>
            </w:tcBorders>
            <w:vMerge w:val="restart"/>
            <w:shd w:val="clear" w:color="auto" w:fill="80B8E6"/>
          </w:tcPr>
          <w:p>
            <w:pPr>
              <w:jc w:val="right"/>
              <w:ind w:right="130"/>
              <w:spacing w:after="0"/>
              <w:rPr>
                <w:sz w:val="20"/>
                <w:szCs w:val="20"/>
                <w:color w:val="auto"/>
              </w:rPr>
            </w:pPr>
            <w:r>
              <w:rPr>
                <w:rFonts w:ascii="Times New Roman" w:cs="Times New Roman" w:eastAsia="Times New Roman" w:hAnsi="Times New Roman"/>
                <w:sz w:val="18"/>
                <w:szCs w:val="18"/>
                <w:color w:val="auto"/>
              </w:rPr>
              <w:t>5,899,075</w:t>
            </w:r>
          </w:p>
        </w:tc>
        <w:tc>
          <w:tcPr>
            <w:tcW w:w="0" w:type="dxa"/>
            <w:vAlign w:val="bottom"/>
          </w:tcPr>
          <w:p>
            <w:pPr>
              <w:spacing w:after="0"/>
              <w:rPr>
                <w:sz w:val="1"/>
                <w:szCs w:val="1"/>
                <w:color w:val="auto"/>
              </w:rPr>
            </w:pPr>
          </w:p>
        </w:tc>
      </w:tr>
      <w:tr>
        <w:trPr>
          <w:trHeight w:val="110"/>
        </w:trPr>
        <w:tc>
          <w:tcPr>
            <w:tcW w:w="3280" w:type="dxa"/>
            <w:vAlign w:val="bottom"/>
            <w:tcBorders>
              <w:bottom w:val="single" w:sz="8" w:color="80B8E6"/>
            </w:tcBorders>
            <w:shd w:val="clear" w:color="auto" w:fill="80B8E6"/>
          </w:tcPr>
          <w:p>
            <w:pPr>
              <w:spacing w:after="0"/>
              <w:rPr>
                <w:sz w:val="9"/>
                <w:szCs w:val="9"/>
                <w:color w:val="auto"/>
              </w:rPr>
            </w:pPr>
          </w:p>
        </w:tc>
        <w:tc>
          <w:tcPr>
            <w:tcW w:w="1340" w:type="dxa"/>
            <w:vAlign w:val="bottom"/>
            <w:tcBorders>
              <w:bottom w:val="single" w:sz="8" w:color="80B8E6"/>
            </w:tcBorders>
            <w:vMerge w:val="continue"/>
            <w:shd w:val="clear" w:color="auto" w:fill="80B8E6"/>
          </w:tcPr>
          <w:p>
            <w:pPr>
              <w:spacing w:after="0"/>
              <w:rPr>
                <w:sz w:val="9"/>
                <w:szCs w:val="9"/>
                <w:color w:val="auto"/>
              </w:rPr>
            </w:pPr>
          </w:p>
        </w:tc>
        <w:tc>
          <w:tcPr>
            <w:tcW w:w="560" w:type="dxa"/>
            <w:vAlign w:val="bottom"/>
            <w:tcBorders>
              <w:bottom w:val="single" w:sz="8" w:color="80B8E6"/>
            </w:tcBorders>
            <w:shd w:val="clear" w:color="auto" w:fill="80B8E6"/>
          </w:tcPr>
          <w:p>
            <w:pPr>
              <w:spacing w:after="0"/>
              <w:rPr>
                <w:sz w:val="9"/>
                <w:szCs w:val="9"/>
                <w:color w:val="auto"/>
              </w:rPr>
            </w:pPr>
          </w:p>
        </w:tc>
        <w:tc>
          <w:tcPr>
            <w:tcW w:w="1340" w:type="dxa"/>
            <w:vAlign w:val="bottom"/>
            <w:tcBorders>
              <w:bottom w:val="single" w:sz="8" w:color="80B8E6"/>
            </w:tcBorders>
            <w:vMerge w:val="continue"/>
            <w:shd w:val="clear" w:color="auto" w:fill="80B8E6"/>
          </w:tcPr>
          <w:p>
            <w:pPr>
              <w:spacing w:after="0"/>
              <w:rPr>
                <w:sz w:val="9"/>
                <w:szCs w:val="9"/>
                <w:color w:val="auto"/>
              </w:rPr>
            </w:pPr>
          </w:p>
        </w:tc>
        <w:tc>
          <w:tcPr>
            <w:tcW w:w="600" w:type="dxa"/>
            <w:vAlign w:val="bottom"/>
            <w:tcBorders>
              <w:bottom w:val="single" w:sz="8" w:color="80B8E6"/>
            </w:tcBorders>
            <w:shd w:val="clear" w:color="auto" w:fill="80B8E6"/>
          </w:tcPr>
          <w:p>
            <w:pPr>
              <w:spacing w:after="0"/>
              <w:rPr>
                <w:sz w:val="9"/>
                <w:szCs w:val="9"/>
                <w:color w:val="auto"/>
              </w:rPr>
            </w:pPr>
          </w:p>
        </w:tc>
        <w:tc>
          <w:tcPr>
            <w:tcW w:w="1240" w:type="dxa"/>
            <w:vAlign w:val="bottom"/>
            <w:tcBorders>
              <w:bottom w:val="single" w:sz="8" w:color="80B8E6"/>
            </w:tcBorders>
            <w:vMerge w:val="continue"/>
            <w:shd w:val="clear" w:color="auto" w:fill="80B8E6"/>
          </w:tcPr>
          <w:p>
            <w:pPr>
              <w:spacing w:after="0"/>
              <w:rPr>
                <w:sz w:val="9"/>
                <w:szCs w:val="9"/>
                <w:color w:val="auto"/>
              </w:rPr>
            </w:pPr>
          </w:p>
        </w:tc>
        <w:tc>
          <w:tcPr>
            <w:tcW w:w="600" w:type="dxa"/>
            <w:vAlign w:val="bottom"/>
            <w:tcBorders>
              <w:bottom w:val="single" w:sz="8" w:color="80B8E6"/>
            </w:tcBorders>
            <w:shd w:val="clear" w:color="auto" w:fill="80B8E6"/>
          </w:tcPr>
          <w:p>
            <w:pPr>
              <w:spacing w:after="0"/>
              <w:rPr>
                <w:sz w:val="9"/>
                <w:szCs w:val="9"/>
                <w:color w:val="auto"/>
              </w:rPr>
            </w:pPr>
          </w:p>
        </w:tc>
        <w:tc>
          <w:tcPr>
            <w:tcW w:w="1380" w:type="dxa"/>
            <w:vAlign w:val="bottom"/>
            <w:tcBorders>
              <w:bottom w:val="single" w:sz="8" w:color="80B8E6"/>
            </w:tcBorders>
            <w:vMerge w:val="continue"/>
            <w:shd w:val="clear" w:color="auto" w:fill="80B8E6"/>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M. Skovronsky</w:t>
            </w:r>
          </w:p>
        </w:tc>
        <w:tc>
          <w:tcPr>
            <w:tcW w:w="1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77,928,386</w:t>
            </w:r>
          </w:p>
        </w:tc>
        <w:tc>
          <w:tcPr>
            <w:tcW w:w="560" w:type="dxa"/>
            <w:vAlign w:val="bottom"/>
          </w:tcPr>
          <w:p>
            <w:pPr>
              <w:spacing w:after="0"/>
              <w:rPr>
                <w:sz w:val="20"/>
                <w:szCs w:val="20"/>
                <w:color w:val="auto"/>
              </w:rPr>
            </w:pPr>
          </w:p>
        </w:tc>
        <w:tc>
          <w:tcPr>
            <w:tcW w:w="13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557,211</w:t>
            </w:r>
          </w:p>
        </w:tc>
        <w:tc>
          <w:tcPr>
            <w:tcW w:w="600" w:type="dxa"/>
            <w:vAlign w:val="bottom"/>
          </w:tcPr>
          <w:p>
            <w:pPr>
              <w:spacing w:after="0"/>
              <w:rPr>
                <w:sz w:val="20"/>
                <w:szCs w:val="2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39,585</w:t>
            </w:r>
          </w:p>
        </w:tc>
        <w:tc>
          <w:tcPr>
            <w:tcW w:w="600" w:type="dxa"/>
            <w:vAlign w:val="bottom"/>
          </w:tcPr>
          <w:p>
            <w:pPr>
              <w:spacing w:after="0"/>
              <w:rPr>
                <w:sz w:val="20"/>
                <w:szCs w:val="20"/>
                <w:color w:val="auto"/>
              </w:rPr>
            </w:pPr>
          </w:p>
        </w:tc>
        <w:tc>
          <w:tcPr>
            <w:tcW w:w="1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5,899,075</w:t>
            </w:r>
          </w:p>
        </w:tc>
        <w:tc>
          <w:tcPr>
            <w:tcW w:w="0" w:type="dxa"/>
            <w:vAlign w:val="bottom"/>
          </w:tcPr>
          <w:p>
            <w:pPr>
              <w:spacing w:after="0"/>
              <w:rPr>
                <w:sz w:val="1"/>
                <w:szCs w:val="1"/>
                <w:color w:val="auto"/>
              </w:rPr>
            </w:pPr>
          </w:p>
        </w:tc>
      </w:tr>
      <w:tr>
        <w:trPr>
          <w:trHeight w:val="90"/>
        </w:trPr>
        <w:tc>
          <w:tcPr>
            <w:tcW w:w="32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Each of S. Louise Phanstiel and Daniel M. Skovronsky was elected to serve as a director of the Company for a term expiring at the 2027 Annual Meeting of Stockholders, and until his or her successor is duly elected and qualified or until his or her earlier death, resignation, retirement or removal.</w:t>
      </w:r>
    </w:p>
    <w:p>
      <w:pPr>
        <w:spacing w:after="0" w:line="201"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8"/>
          <w:szCs w:val="18"/>
          <w:i w:val="1"/>
          <w:iCs w:val="1"/>
          <w:color w:val="auto"/>
        </w:rPr>
        <w:t>Proposal No. 2: Ratification of the Selection of Ernst &amp; Young LLP as Our Independent Registered Public Accounting Firm for the Fiscal Year Ending December 31,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38"/>
        </w:trPr>
        <w:tc>
          <w:tcPr>
            <w:tcW w:w="2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Abstained</w:t>
            </w:r>
          </w:p>
        </w:tc>
      </w:tr>
      <w:tr>
        <w:trPr>
          <w:trHeight w:val="277"/>
        </w:trPr>
        <w:tc>
          <w:tcPr>
            <w:tcW w:w="2560" w:type="dxa"/>
            <w:vAlign w:val="bottom"/>
            <w:tcBorders>
              <w:top w:val="single" w:sz="8" w:color="auto"/>
            </w:tcBorders>
            <w:shd w:val="clear" w:color="auto" w:fill="80B8E6"/>
          </w:tcPr>
          <w:p>
            <w:pPr>
              <w:jc w:val="right"/>
              <w:ind w:right="790"/>
              <w:spacing w:after="0"/>
              <w:rPr>
                <w:sz w:val="20"/>
                <w:szCs w:val="20"/>
                <w:color w:val="auto"/>
              </w:rPr>
            </w:pPr>
            <w:r>
              <w:rPr>
                <w:rFonts w:ascii="Times New Roman" w:cs="Times New Roman" w:eastAsia="Times New Roman" w:hAnsi="Times New Roman"/>
                <w:sz w:val="18"/>
                <w:szCs w:val="18"/>
                <w:color w:val="auto"/>
              </w:rPr>
              <w:t>81,454,833</w:t>
            </w:r>
          </w:p>
        </w:tc>
        <w:tc>
          <w:tcPr>
            <w:tcW w:w="140" w:type="dxa"/>
            <w:vAlign w:val="bottom"/>
            <w:tcBorders>
              <w:top w:val="single" w:sz="8" w:color="80B8E6"/>
            </w:tcBorders>
            <w:shd w:val="clear" w:color="auto" w:fill="80B8E6"/>
          </w:tcPr>
          <w:p>
            <w:pPr>
              <w:spacing w:after="0"/>
              <w:rPr>
                <w:sz w:val="24"/>
                <w:szCs w:val="24"/>
                <w:color w:val="auto"/>
              </w:rPr>
            </w:pPr>
          </w:p>
        </w:tc>
        <w:tc>
          <w:tcPr>
            <w:tcW w:w="1880" w:type="dxa"/>
            <w:vAlign w:val="bottom"/>
            <w:tcBorders>
              <w:top w:val="single" w:sz="8" w:color="auto"/>
            </w:tcBorders>
            <w:shd w:val="clear" w:color="auto" w:fill="80B8E6"/>
          </w:tcPr>
          <w:p>
            <w:pPr>
              <w:ind w:left="660"/>
              <w:spacing w:after="0"/>
              <w:rPr>
                <w:sz w:val="20"/>
                <w:szCs w:val="20"/>
                <w:color w:val="auto"/>
              </w:rPr>
            </w:pPr>
            <w:r>
              <w:rPr>
                <w:rFonts w:ascii="Times New Roman" w:cs="Times New Roman" w:eastAsia="Times New Roman" w:hAnsi="Times New Roman"/>
                <w:sz w:val="18"/>
                <w:szCs w:val="18"/>
                <w:color w:val="auto"/>
              </w:rPr>
              <w:t>2,917,829</w:t>
            </w:r>
          </w:p>
        </w:tc>
        <w:tc>
          <w:tcPr>
            <w:tcW w:w="320" w:type="dxa"/>
            <w:vAlign w:val="bottom"/>
            <w:tcBorders>
              <w:top w:val="single" w:sz="8" w:color="80B8E6"/>
            </w:tcBorders>
            <w:shd w:val="clear" w:color="auto" w:fill="80B8E6"/>
          </w:tcPr>
          <w:p>
            <w:pPr>
              <w:spacing w:after="0"/>
              <w:rPr>
                <w:sz w:val="24"/>
                <w:szCs w:val="24"/>
                <w:color w:val="auto"/>
              </w:rPr>
            </w:pPr>
          </w:p>
        </w:tc>
        <w:tc>
          <w:tcPr>
            <w:tcW w:w="1880" w:type="dxa"/>
            <w:vAlign w:val="bottom"/>
            <w:tcBorders>
              <w:top w:val="single" w:sz="8" w:color="auto"/>
            </w:tcBorders>
            <w:shd w:val="clear" w:color="auto" w:fill="80B8E6"/>
          </w:tcPr>
          <w:p>
            <w:pPr>
              <w:jc w:val="right"/>
              <w:ind w:right="530"/>
              <w:spacing w:after="0"/>
              <w:rPr>
                <w:sz w:val="20"/>
                <w:szCs w:val="20"/>
                <w:color w:val="auto"/>
              </w:rPr>
            </w:pPr>
            <w:r>
              <w:rPr>
                <w:rFonts w:ascii="Times New Roman" w:cs="Times New Roman" w:eastAsia="Times New Roman" w:hAnsi="Times New Roman"/>
                <w:sz w:val="18"/>
                <w:szCs w:val="18"/>
                <w:color w:val="auto"/>
              </w:rPr>
              <w:t>51,595</w:t>
            </w:r>
          </w:p>
        </w:tc>
      </w:tr>
      <w:tr>
        <w:trPr>
          <w:trHeight w:val="68"/>
        </w:trPr>
        <w:tc>
          <w:tcPr>
            <w:tcW w:w="2560" w:type="dxa"/>
            <w:vAlign w:val="bottom"/>
            <w:shd w:val="clear" w:color="auto" w:fill="80B8E6"/>
          </w:tcPr>
          <w:p>
            <w:pPr>
              <w:spacing w:after="0"/>
              <w:rPr>
                <w:sz w:val="5"/>
                <w:szCs w:val="5"/>
                <w:color w:val="auto"/>
              </w:rPr>
            </w:pPr>
          </w:p>
        </w:tc>
        <w:tc>
          <w:tcPr>
            <w:tcW w:w="140" w:type="dxa"/>
            <w:vAlign w:val="bottom"/>
            <w:shd w:val="clear" w:color="auto" w:fill="80B8E6"/>
          </w:tcPr>
          <w:p>
            <w:pPr>
              <w:spacing w:after="0"/>
              <w:rPr>
                <w:sz w:val="5"/>
                <w:szCs w:val="5"/>
                <w:color w:val="auto"/>
              </w:rPr>
            </w:pPr>
          </w:p>
        </w:tc>
        <w:tc>
          <w:tcPr>
            <w:tcW w:w="1880" w:type="dxa"/>
            <w:vAlign w:val="bottom"/>
            <w:shd w:val="clear" w:color="auto" w:fill="80B8E6"/>
          </w:tcPr>
          <w:p>
            <w:pPr>
              <w:spacing w:after="0"/>
              <w:rPr>
                <w:sz w:val="5"/>
                <w:szCs w:val="5"/>
                <w:color w:val="auto"/>
              </w:rPr>
            </w:pPr>
          </w:p>
        </w:tc>
        <w:tc>
          <w:tcPr>
            <w:tcW w:w="320" w:type="dxa"/>
            <w:vAlign w:val="bottom"/>
            <w:shd w:val="clear" w:color="auto" w:fill="80B8E6"/>
          </w:tcPr>
          <w:p>
            <w:pPr>
              <w:spacing w:after="0"/>
              <w:rPr>
                <w:sz w:val="5"/>
                <w:szCs w:val="5"/>
                <w:color w:val="auto"/>
              </w:rPr>
            </w:pPr>
          </w:p>
        </w:tc>
        <w:tc>
          <w:tcPr>
            <w:tcW w:w="1880" w:type="dxa"/>
            <w:vAlign w:val="bottom"/>
            <w:shd w:val="clear" w:color="auto" w:fill="80B8E6"/>
          </w:tcPr>
          <w:p>
            <w:pPr>
              <w:spacing w:after="0"/>
              <w:rPr>
                <w:sz w:val="5"/>
                <w:szCs w:val="5"/>
                <w:color w:val="auto"/>
              </w:rPr>
            </w:pPr>
          </w:p>
        </w:tc>
      </w:tr>
    </w:tbl>
    <w:p>
      <w:pPr>
        <w:spacing w:after="0" w:line="319" w:lineRule="exact"/>
        <w:rPr>
          <w:sz w:val="20"/>
          <w:szCs w:val="20"/>
          <w:color w:val="auto"/>
        </w:rPr>
      </w:pPr>
    </w:p>
    <w:p>
      <w:pPr>
        <w:ind w:right="780"/>
        <w:spacing w:after="0" w:line="313" w:lineRule="auto"/>
        <w:rPr>
          <w:sz w:val="20"/>
          <w:szCs w:val="20"/>
          <w:color w:val="auto"/>
        </w:rPr>
      </w:pPr>
      <w:r>
        <w:rPr>
          <w:rFonts w:ascii="Times New Roman" w:cs="Times New Roman" w:eastAsia="Times New Roman" w:hAnsi="Times New Roman"/>
          <w:sz w:val="18"/>
          <w:szCs w:val="18"/>
          <w:color w:val="auto"/>
        </w:rPr>
        <w:t>The ratification of the selection of Ernst &amp; Young LLP as the Company's independent registered public accounting firm for the fiscal year ending December 31, 2024, was approved by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3: Approval, on an Advisory Basis, of the Compensation of Our Named Executive Officers, as Disclosed in the Proxy Statement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2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90"/>
        </w:trPr>
        <w:tc>
          <w:tcPr>
            <w:tcW w:w="2540" w:type="dxa"/>
            <w:vAlign w:val="bottom"/>
            <w:tcBorders>
              <w:top w:val="single" w:sz="8" w:color="auto"/>
            </w:tcBorders>
            <w:shd w:val="clear" w:color="auto" w:fill="80B8E6"/>
          </w:tcPr>
          <w:p>
            <w:pPr>
              <w:jc w:val="right"/>
              <w:ind w:right="770"/>
              <w:spacing w:after="0"/>
              <w:rPr>
                <w:sz w:val="20"/>
                <w:szCs w:val="20"/>
                <w:color w:val="auto"/>
              </w:rPr>
            </w:pPr>
            <w:r>
              <w:rPr>
                <w:rFonts w:ascii="Times New Roman" w:cs="Times New Roman" w:eastAsia="Times New Roman" w:hAnsi="Times New Roman"/>
                <w:sz w:val="18"/>
                <w:szCs w:val="18"/>
                <w:color w:val="auto"/>
              </w:rPr>
              <w:t>74,410,679</w:t>
            </w:r>
          </w:p>
        </w:tc>
        <w:tc>
          <w:tcPr>
            <w:tcW w:w="160" w:type="dxa"/>
            <w:vAlign w:val="bottom"/>
            <w:tcBorders>
              <w:top w:val="single" w:sz="8" w:color="80B8E6"/>
            </w:tcBorders>
            <w:shd w:val="clear" w:color="auto" w:fill="80B8E6"/>
          </w:tcPr>
          <w:p>
            <w:pPr>
              <w:spacing w:after="0"/>
              <w:rPr>
                <w:sz w:val="24"/>
                <w:szCs w:val="24"/>
                <w:color w:val="auto"/>
              </w:rPr>
            </w:pPr>
          </w:p>
        </w:tc>
        <w:tc>
          <w:tcPr>
            <w:tcW w:w="1860" w:type="dxa"/>
            <w:vAlign w:val="bottom"/>
            <w:tcBorders>
              <w:top w:val="single" w:sz="8" w:color="auto"/>
            </w:tcBorders>
            <w:shd w:val="clear" w:color="auto" w:fill="80B8E6"/>
          </w:tcPr>
          <w:p>
            <w:pPr>
              <w:ind w:left="640"/>
              <w:spacing w:after="0"/>
              <w:rPr>
                <w:sz w:val="20"/>
                <w:szCs w:val="20"/>
                <w:color w:val="auto"/>
              </w:rPr>
            </w:pPr>
            <w:r>
              <w:rPr>
                <w:rFonts w:ascii="Times New Roman" w:cs="Times New Roman" w:eastAsia="Times New Roman" w:hAnsi="Times New Roman"/>
                <w:sz w:val="18"/>
                <w:szCs w:val="18"/>
                <w:color w:val="auto"/>
              </w:rPr>
              <w:t>4,060,490</w:t>
            </w:r>
          </w:p>
        </w:tc>
        <w:tc>
          <w:tcPr>
            <w:tcW w:w="300" w:type="dxa"/>
            <w:vAlign w:val="bottom"/>
            <w:tcBorders>
              <w:top w:val="single" w:sz="8" w:color="80B8E6"/>
            </w:tcBorders>
            <w:shd w:val="clear" w:color="auto" w:fill="80B8E6"/>
          </w:tcPr>
          <w:p>
            <w:pPr>
              <w:spacing w:after="0"/>
              <w:rPr>
                <w:sz w:val="24"/>
                <w:szCs w:val="24"/>
                <w:color w:val="auto"/>
              </w:rPr>
            </w:pPr>
          </w:p>
        </w:tc>
        <w:tc>
          <w:tcPr>
            <w:tcW w:w="1880" w:type="dxa"/>
            <w:vAlign w:val="bottom"/>
            <w:tcBorders>
              <w:top w:val="single" w:sz="8" w:color="auto"/>
            </w:tcBorders>
            <w:shd w:val="clear" w:color="auto" w:fill="80B8E6"/>
          </w:tcPr>
          <w:p>
            <w:pPr>
              <w:jc w:val="right"/>
              <w:ind w:right="510"/>
              <w:spacing w:after="0"/>
              <w:rPr>
                <w:sz w:val="20"/>
                <w:szCs w:val="20"/>
                <w:color w:val="auto"/>
              </w:rPr>
            </w:pPr>
            <w:r>
              <w:rPr>
                <w:rFonts w:ascii="Times New Roman" w:cs="Times New Roman" w:eastAsia="Times New Roman" w:hAnsi="Times New Roman"/>
                <w:sz w:val="18"/>
                <w:szCs w:val="18"/>
                <w:color w:val="auto"/>
              </w:rPr>
              <w:t>54,013</w:t>
            </w:r>
          </w:p>
        </w:tc>
        <w:tc>
          <w:tcPr>
            <w:tcW w:w="320" w:type="dxa"/>
            <w:vAlign w:val="bottom"/>
            <w:tcBorders>
              <w:top w:val="single" w:sz="8" w:color="80B8E6"/>
            </w:tcBorders>
            <w:shd w:val="clear" w:color="auto" w:fill="80B8E6"/>
          </w:tcPr>
          <w:p>
            <w:pPr>
              <w:spacing w:after="0"/>
              <w:rPr>
                <w:sz w:val="24"/>
                <w:szCs w:val="24"/>
                <w:color w:val="auto"/>
              </w:rPr>
            </w:pPr>
          </w:p>
        </w:tc>
        <w:tc>
          <w:tcPr>
            <w:tcW w:w="1880" w:type="dxa"/>
            <w:vAlign w:val="bottom"/>
            <w:tcBorders>
              <w:top w:val="single" w:sz="8" w:color="auto"/>
            </w:tcBorders>
            <w:shd w:val="clear" w:color="auto" w:fill="80B8E6"/>
          </w:tcPr>
          <w:p>
            <w:pPr>
              <w:ind w:left="660"/>
              <w:spacing w:after="0"/>
              <w:rPr>
                <w:sz w:val="20"/>
                <w:szCs w:val="20"/>
                <w:color w:val="auto"/>
              </w:rPr>
            </w:pPr>
            <w:r>
              <w:rPr>
                <w:rFonts w:ascii="Times New Roman" w:cs="Times New Roman" w:eastAsia="Times New Roman" w:hAnsi="Times New Roman"/>
                <w:sz w:val="18"/>
                <w:szCs w:val="18"/>
                <w:color w:val="auto"/>
              </w:rPr>
              <w:t>5,899,075</w:t>
            </w:r>
          </w:p>
        </w:tc>
      </w:tr>
      <w:tr>
        <w:trPr>
          <w:trHeight w:val="54"/>
        </w:trPr>
        <w:tc>
          <w:tcPr>
            <w:tcW w:w="2540" w:type="dxa"/>
            <w:vAlign w:val="bottom"/>
            <w:shd w:val="clear" w:color="auto" w:fill="80B8E6"/>
          </w:tcPr>
          <w:p>
            <w:pPr>
              <w:spacing w:after="0"/>
              <w:rPr>
                <w:sz w:val="4"/>
                <w:szCs w:val="4"/>
                <w:color w:val="auto"/>
              </w:rPr>
            </w:pPr>
          </w:p>
        </w:tc>
        <w:tc>
          <w:tcPr>
            <w:tcW w:w="160" w:type="dxa"/>
            <w:vAlign w:val="bottom"/>
            <w:shd w:val="clear" w:color="auto" w:fill="80B8E6"/>
          </w:tcPr>
          <w:p>
            <w:pPr>
              <w:spacing w:after="0"/>
              <w:rPr>
                <w:sz w:val="4"/>
                <w:szCs w:val="4"/>
                <w:color w:val="auto"/>
              </w:rPr>
            </w:pPr>
          </w:p>
        </w:tc>
        <w:tc>
          <w:tcPr>
            <w:tcW w:w="1860" w:type="dxa"/>
            <w:vAlign w:val="bottom"/>
            <w:shd w:val="clear" w:color="auto" w:fill="80B8E6"/>
          </w:tcPr>
          <w:p>
            <w:pPr>
              <w:spacing w:after="0"/>
              <w:rPr>
                <w:sz w:val="4"/>
                <w:szCs w:val="4"/>
                <w:color w:val="auto"/>
              </w:rPr>
            </w:pPr>
          </w:p>
        </w:tc>
        <w:tc>
          <w:tcPr>
            <w:tcW w:w="300" w:type="dxa"/>
            <w:vAlign w:val="bottom"/>
            <w:shd w:val="clear" w:color="auto" w:fill="80B8E6"/>
          </w:tcPr>
          <w:p>
            <w:pPr>
              <w:spacing w:after="0"/>
              <w:rPr>
                <w:sz w:val="4"/>
                <w:szCs w:val="4"/>
                <w:color w:val="auto"/>
              </w:rPr>
            </w:pPr>
          </w:p>
        </w:tc>
        <w:tc>
          <w:tcPr>
            <w:tcW w:w="1880" w:type="dxa"/>
            <w:vAlign w:val="bottom"/>
            <w:shd w:val="clear" w:color="auto" w:fill="80B8E6"/>
          </w:tcPr>
          <w:p>
            <w:pPr>
              <w:spacing w:after="0"/>
              <w:rPr>
                <w:sz w:val="4"/>
                <w:szCs w:val="4"/>
                <w:color w:val="auto"/>
              </w:rPr>
            </w:pPr>
          </w:p>
        </w:tc>
        <w:tc>
          <w:tcPr>
            <w:tcW w:w="320" w:type="dxa"/>
            <w:vAlign w:val="bottom"/>
            <w:shd w:val="clear" w:color="auto" w:fill="80B8E6"/>
          </w:tcPr>
          <w:p>
            <w:pPr>
              <w:spacing w:after="0"/>
              <w:rPr>
                <w:sz w:val="4"/>
                <w:szCs w:val="4"/>
                <w:color w:val="auto"/>
              </w:rPr>
            </w:pPr>
          </w:p>
        </w:tc>
        <w:tc>
          <w:tcPr>
            <w:tcW w:w="1880" w:type="dxa"/>
            <w:vAlign w:val="bottom"/>
            <w:shd w:val="clear" w:color="auto" w:fill="80B8E6"/>
          </w:tcPr>
          <w:p>
            <w:pPr>
              <w:spacing w:after="0"/>
              <w:rPr>
                <w:sz w:val="4"/>
                <w:szCs w:val="4"/>
                <w:color w:val="auto"/>
              </w:rPr>
            </w:pPr>
          </w:p>
        </w:tc>
      </w:tr>
    </w:tbl>
    <w:p>
      <w:pPr>
        <w:spacing w:after="0" w:line="333" w:lineRule="exact"/>
        <w:rPr>
          <w:sz w:val="20"/>
          <w:szCs w:val="20"/>
          <w:color w:val="auto"/>
        </w:rPr>
      </w:pPr>
    </w:p>
    <w:p>
      <w:pPr>
        <w:ind w:right="740"/>
        <w:spacing w:after="0" w:line="313" w:lineRule="auto"/>
        <w:rPr>
          <w:sz w:val="20"/>
          <w:szCs w:val="20"/>
          <w:color w:val="auto"/>
        </w:rPr>
      </w:pPr>
      <w:r>
        <w:rPr>
          <w:rFonts w:ascii="Times New Roman" w:cs="Times New Roman" w:eastAsia="Times New Roman" w:hAnsi="Times New Roman"/>
          <w:sz w:val="18"/>
          <w:szCs w:val="18"/>
          <w:color w:val="auto"/>
        </w:rPr>
        <w:t>The advisory vote to approve the compensation of the Company's named executive officers, as disclosed in the proxy statement, was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1122045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2024-06-06T15:18:16Z</dcterms:created>
  <dcterms:modified xsi:type="dcterms:W3CDTF">2024-06-06T15:18:16Z</dcterms:modified>
</cp:coreProperties>
</file>