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90170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109855</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97155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MYRIAD GENETICS,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99060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53"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200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0-26642</w:t>
            </w:r>
          </w:p>
        </w:tc>
        <w:tc>
          <w:tcPr>
            <w:tcW w:w="1500" w:type="dxa"/>
            <w:vAlign w:val="bottom"/>
          </w:tcPr>
          <w:p>
            <w:pPr>
              <w:jc w:val="center"/>
              <w:ind w:left="302"/>
              <w:spacing w:after="0"/>
              <w:rPr>
                <w:sz w:val="20"/>
                <w:szCs w:val="20"/>
                <w:color w:val="auto"/>
              </w:rPr>
            </w:pPr>
            <w:r>
              <w:rPr>
                <w:rFonts w:ascii="Arial" w:cs="Arial" w:eastAsia="Arial" w:hAnsi="Arial"/>
                <w:sz w:val="18"/>
                <w:szCs w:val="18"/>
                <w:b w:val="1"/>
                <w:bCs w:val="1"/>
                <w:color w:val="auto"/>
                <w:w w:val="87"/>
              </w:rPr>
              <w:t>87-0494517</w:t>
            </w:r>
          </w:p>
        </w:tc>
      </w:tr>
      <w:tr>
        <w:trPr>
          <w:trHeight w:val="149"/>
        </w:trPr>
        <w:tc>
          <w:tcPr>
            <w:tcW w:w="200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7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(Commission</w:t>
            </w:r>
          </w:p>
        </w:tc>
        <w:tc>
          <w:tcPr>
            <w:tcW w:w="150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0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incorporation)</w:t>
            </w:r>
          </w:p>
        </w:tc>
        <w:tc>
          <w:tcPr>
            <w:tcW w:w="572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File Number)</w:t>
            </w:r>
          </w:p>
        </w:tc>
        <w:tc>
          <w:tcPr>
            <w:tcW w:w="1500" w:type="dxa"/>
            <w:vAlign w:val="bottom"/>
          </w:tcPr>
          <w:p>
            <w:pPr>
              <w:jc w:val="center"/>
              <w:ind w:left="302"/>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2000" w:type="dxa"/>
            <w:vAlign w:val="bottom"/>
          </w:tcPr>
          <w:p>
            <w:pPr>
              <w:spacing w:after="0"/>
              <w:rPr>
                <w:sz w:val="24"/>
                <w:szCs w:val="24"/>
                <w:color w:val="auto"/>
              </w:rPr>
            </w:pPr>
          </w:p>
        </w:tc>
        <w:tc>
          <w:tcPr>
            <w:tcW w:w="5720" w:type="dxa"/>
            <w:vAlign w:val="bottom"/>
          </w:tcPr>
          <w:p>
            <w:pPr>
              <w:jc w:val="center"/>
              <w:ind w:right="98"/>
              <w:spacing w:after="0"/>
              <w:rPr>
                <w:sz w:val="20"/>
                <w:szCs w:val="20"/>
                <w:color w:val="auto"/>
              </w:rPr>
            </w:pPr>
            <w:r>
              <w:rPr>
                <w:rFonts w:ascii="Arial" w:cs="Arial" w:eastAsia="Arial" w:hAnsi="Arial"/>
                <w:sz w:val="18"/>
                <w:szCs w:val="18"/>
                <w:b w:val="1"/>
                <w:bCs w:val="1"/>
                <w:color w:val="auto"/>
                <w:w w:val="92"/>
              </w:rPr>
              <w:t>320 Wakara Way</w:t>
            </w:r>
          </w:p>
        </w:tc>
        <w:tc>
          <w:tcPr>
            <w:tcW w:w="1500" w:type="dxa"/>
            <w:vAlign w:val="bottom"/>
          </w:tcPr>
          <w:p>
            <w:pPr>
              <w:spacing w:after="0"/>
              <w:rPr>
                <w:sz w:val="24"/>
                <w:szCs w:val="24"/>
                <w:color w:val="auto"/>
              </w:rPr>
            </w:pPr>
          </w:p>
        </w:tc>
      </w:tr>
      <w:tr>
        <w:trPr>
          <w:trHeight w:val="212"/>
        </w:trPr>
        <w:tc>
          <w:tcPr>
            <w:tcW w:w="2000" w:type="dxa"/>
            <w:vAlign w:val="bottom"/>
          </w:tcPr>
          <w:p>
            <w:pPr>
              <w:spacing w:after="0"/>
              <w:rPr>
                <w:sz w:val="18"/>
                <w:szCs w:val="18"/>
                <w:color w:val="auto"/>
              </w:rPr>
            </w:pPr>
          </w:p>
        </w:tc>
        <w:tc>
          <w:tcPr>
            <w:tcW w:w="572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Salt Lake City, Utah 84108</w:t>
            </w:r>
          </w:p>
        </w:tc>
        <w:tc>
          <w:tcPr>
            <w:tcW w:w="1500" w:type="dxa"/>
            <w:vAlign w:val="bottom"/>
          </w:tcPr>
          <w:p>
            <w:pPr>
              <w:spacing w:after="0"/>
              <w:rPr>
                <w:sz w:val="18"/>
                <w:szCs w:val="18"/>
                <w:color w:val="auto"/>
              </w:rPr>
            </w:pPr>
          </w:p>
        </w:tc>
      </w:tr>
      <w:tr>
        <w:trPr>
          <w:trHeight w:val="186"/>
        </w:trPr>
        <w:tc>
          <w:tcPr>
            <w:tcW w:w="2000" w:type="dxa"/>
            <w:vAlign w:val="bottom"/>
          </w:tcPr>
          <w:p>
            <w:pPr>
              <w:spacing w:after="0"/>
              <w:rPr>
                <w:sz w:val="16"/>
                <w:szCs w:val="16"/>
                <w:color w:val="auto"/>
              </w:rPr>
            </w:pPr>
          </w:p>
        </w:tc>
        <w:tc>
          <w:tcPr>
            <w:tcW w:w="572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500" w:type="dxa"/>
            <w:vAlign w:val="bottom"/>
          </w:tcPr>
          <w:p>
            <w:pPr>
              <w:spacing w:after="0"/>
              <w:rPr>
                <w:sz w:val="16"/>
                <w:szCs w:val="16"/>
                <w:color w:val="auto"/>
              </w:rPr>
            </w:pPr>
          </w:p>
        </w:tc>
      </w:tr>
      <w:tr>
        <w:trPr>
          <w:trHeight w:val="309"/>
        </w:trPr>
        <w:tc>
          <w:tcPr>
            <w:tcW w:w="2000" w:type="dxa"/>
            <w:vAlign w:val="bottom"/>
          </w:tcPr>
          <w:p>
            <w:pPr>
              <w:spacing w:after="0"/>
              <w:rPr>
                <w:sz w:val="24"/>
                <w:szCs w:val="24"/>
                <w:color w:val="auto"/>
              </w:rPr>
            </w:pPr>
          </w:p>
        </w:tc>
        <w:tc>
          <w:tcPr>
            <w:tcW w:w="5720" w:type="dxa"/>
            <w:vAlign w:val="bottom"/>
          </w:tcPr>
          <w:p>
            <w:pPr>
              <w:jc w:val="center"/>
              <w:ind w:right="98"/>
              <w:spacing w:after="0"/>
              <w:rPr>
                <w:sz w:val="20"/>
                <w:szCs w:val="20"/>
                <w:color w:val="auto"/>
              </w:rPr>
            </w:pPr>
            <w:r>
              <w:rPr>
                <w:rFonts w:ascii="Arial" w:cs="Arial" w:eastAsia="Arial" w:hAnsi="Arial"/>
                <w:sz w:val="18"/>
                <w:szCs w:val="18"/>
                <w:b w:val="1"/>
                <w:bCs w:val="1"/>
                <w:color w:val="auto"/>
                <w:w w:val="89"/>
              </w:rPr>
              <w:t>Registrant's telephone number, including area code: (801) 584-3600</w:t>
            </w:r>
          </w:p>
        </w:tc>
        <w:tc>
          <w:tcPr>
            <w:tcW w:w="1500" w:type="dxa"/>
            <w:vAlign w:val="bottom"/>
          </w:tcPr>
          <w:p>
            <w:pPr>
              <w:spacing w:after="0"/>
              <w:rPr>
                <w:sz w:val="24"/>
                <w:szCs w:val="24"/>
                <w:color w:val="auto"/>
              </w:rPr>
            </w:pPr>
          </w:p>
        </w:tc>
      </w:tr>
      <w:tr>
        <w:trPr>
          <w:trHeight w:val="301"/>
        </w:trPr>
        <w:tc>
          <w:tcPr>
            <w:tcW w:w="2000" w:type="dxa"/>
            <w:vAlign w:val="bottom"/>
          </w:tcPr>
          <w:p>
            <w:pPr>
              <w:spacing w:after="0"/>
              <w:rPr>
                <w:sz w:val="24"/>
                <w:szCs w:val="24"/>
                <w:color w:val="auto"/>
              </w:rPr>
            </w:pPr>
          </w:p>
        </w:tc>
        <w:tc>
          <w:tcPr>
            <w:tcW w:w="5720" w:type="dxa"/>
            <w:vAlign w:val="bottom"/>
          </w:tcPr>
          <w:p>
            <w:pPr>
              <w:jc w:val="center"/>
              <w:ind w:right="78"/>
              <w:spacing w:after="0"/>
              <w:rPr>
                <w:sz w:val="20"/>
                <w:szCs w:val="20"/>
                <w:color w:val="auto"/>
              </w:rPr>
            </w:pPr>
            <w:r>
              <w:rPr>
                <w:rFonts w:ascii="Arial" w:cs="Arial" w:eastAsia="Arial" w:hAnsi="Arial"/>
                <w:sz w:val="18"/>
                <w:szCs w:val="18"/>
                <w:b w:val="1"/>
                <w:bCs w:val="1"/>
                <w:color w:val="auto"/>
                <w:w w:val="92"/>
              </w:rPr>
              <w:t>Not Applicable</w:t>
            </w:r>
          </w:p>
        </w:tc>
        <w:tc>
          <w:tcPr>
            <w:tcW w:w="1500" w:type="dxa"/>
            <w:vAlign w:val="bottom"/>
          </w:tcPr>
          <w:p>
            <w:pPr>
              <w:spacing w:after="0"/>
              <w:rPr>
                <w:sz w:val="24"/>
                <w:szCs w:val="24"/>
                <w:color w:val="auto"/>
              </w:rPr>
            </w:pPr>
          </w:p>
        </w:tc>
      </w:tr>
      <w:tr>
        <w:trPr>
          <w:trHeight w:val="186"/>
        </w:trPr>
        <w:tc>
          <w:tcPr>
            <w:tcW w:w="2000" w:type="dxa"/>
            <w:vAlign w:val="bottom"/>
          </w:tcPr>
          <w:p>
            <w:pPr>
              <w:spacing w:after="0"/>
              <w:rPr>
                <w:sz w:val="16"/>
                <w:szCs w:val="16"/>
                <w:color w:val="auto"/>
              </w:rPr>
            </w:pPr>
          </w:p>
        </w:tc>
        <w:tc>
          <w:tcPr>
            <w:tcW w:w="572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76200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Public Common Stock, $0.01 par value</w:t>
            </w:r>
          </w:p>
        </w:tc>
        <w:tc>
          <w:tcPr>
            <w:tcW w:w="120" w:type="dxa"/>
            <w:vAlign w:val="bottom"/>
          </w:tcPr>
          <w:p>
            <w:pPr>
              <w:spacing w:after="0"/>
              <w:rPr>
                <w:sz w:val="13"/>
                <w:szCs w:val="13"/>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MYGN</w:t>
            </w:r>
          </w:p>
        </w:tc>
        <w:tc>
          <w:tcPr>
            <w:tcW w:w="100" w:type="dxa"/>
            <w:vAlign w:val="bottom"/>
          </w:tcPr>
          <w:p>
            <w:pPr>
              <w:spacing w:after="0"/>
              <w:rPr>
                <w:sz w:val="13"/>
                <w:szCs w:val="13"/>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Nasdaq Global Select Market</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7" w:lineRule="exact"/>
        <w:rPr>
          <w:sz w:val="20"/>
          <w:szCs w:val="20"/>
          <w:color w:val="auto"/>
        </w:rPr>
      </w:pPr>
    </w:p>
    <w:p>
      <w:pPr>
        <w:ind w:firstLine="877"/>
        <w:spacing w:after="0" w:line="246" w:lineRule="auto"/>
        <w:rPr>
          <w:sz w:val="20"/>
          <w:szCs w:val="20"/>
          <w:color w:val="auto"/>
        </w:rPr>
      </w:pPr>
      <w:r>
        <w:rPr>
          <w:rFonts w:ascii="Arial" w:cs="Arial" w:eastAsia="Arial" w:hAnsi="Arial"/>
          <w:sz w:val="20"/>
          <w:szCs w:val="20"/>
          <w:color w:val="auto"/>
        </w:rPr>
        <w:t>Myriad announced today that UnitedHealthcare has issued a positive coverage decision for pharmacogenetic testing for multi-gene panels including the company’s GeneSight Psychotropic test. The coverage is for patients that have a diagnosis of major depressive disorder or anxiety and have failed at least one prior medication to treat their condition. The positive coverage decision is referenced in the UnitedHealthcare August 2019 Network Bulletin.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2"/>
          </w:tcPr>
          <w:p>
            <w:pPr>
              <w:ind w:left="2880"/>
              <w:spacing w:after="0"/>
              <w:rPr>
                <w:sz w:val="20"/>
                <w:szCs w:val="20"/>
                <w:color w:val="auto"/>
              </w:rPr>
            </w:pPr>
            <w:r>
              <w:rPr>
                <w:rFonts w:ascii="Arial" w:cs="Arial" w:eastAsia="Arial" w:hAnsi="Arial"/>
                <w:sz w:val="18"/>
                <w:szCs w:val="18"/>
                <w:b w:val="1"/>
                <w:bCs w:val="1"/>
                <w:color w:val="auto"/>
              </w:rPr>
              <w:t>MYRIAD GENETICS,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August 1, 2019</w:t>
            </w:r>
          </w:p>
        </w:tc>
        <w:tc>
          <w:tcPr>
            <w:tcW w:w="7900" w:type="dxa"/>
            <w:vAlign w:val="bottom"/>
            <w:gridSpan w:val="2"/>
          </w:tcPr>
          <w:p>
            <w:pPr>
              <w:ind w:left="2880"/>
              <w:spacing w:after="0"/>
              <w:rPr>
                <w:sz w:val="20"/>
                <w:szCs w:val="20"/>
                <w:color w:val="auto"/>
              </w:rPr>
            </w:pPr>
            <w:r>
              <w:rPr>
                <w:rFonts w:ascii="Arial" w:cs="Arial" w:eastAsia="Arial" w:hAnsi="Arial"/>
                <w:sz w:val="18"/>
                <w:szCs w:val="18"/>
                <w:color w:val="auto"/>
              </w:rPr>
              <w:t>By:  /s/ R. Bryan Riggsbee</w:t>
            </w:r>
          </w:p>
        </w:tc>
      </w:tr>
      <w:tr>
        <w:trPr>
          <w:trHeight w:val="195"/>
        </w:trPr>
        <w:tc>
          <w:tcPr>
            <w:tcW w:w="35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Bryan Riggsbee</w:t>
            </w:r>
          </w:p>
        </w:tc>
      </w:tr>
      <w:tr>
        <w:trPr>
          <w:trHeight w:val="230"/>
        </w:trPr>
        <w:tc>
          <w:tcPr>
            <w:tcW w:w="35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648"/>
        </w:trPr>
        <w:tc>
          <w:tcPr>
            <w:tcW w:w="3520" w:type="dxa"/>
            <w:vAlign w:val="bottom"/>
          </w:tcPr>
          <w:p>
            <w:pPr>
              <w:spacing w:after="0"/>
              <w:rPr>
                <w:sz w:val="24"/>
                <w:szCs w:val="24"/>
                <w:color w:val="auto"/>
              </w:rPr>
            </w:pPr>
          </w:p>
        </w:tc>
        <w:tc>
          <w:tcPr>
            <w:tcW w:w="7900" w:type="dxa"/>
            <w:vAlign w:val="bottom"/>
            <w:gridSpan w:val="2"/>
          </w:tcPr>
          <w:p>
            <w:pPr>
              <w:ind w:left="1960"/>
              <w:spacing w:after="0"/>
              <w:rPr>
                <w:sz w:val="20"/>
                <w:szCs w:val="20"/>
                <w:color w:val="auto"/>
              </w:rPr>
            </w:pPr>
            <w:r>
              <w:rPr>
                <w:rFonts w:ascii="Arial" w:cs="Arial" w:eastAsia="Arial" w:hAnsi="Arial"/>
                <w:sz w:val="18"/>
                <w:szCs w:val="18"/>
                <w:color w:val="auto"/>
              </w:rPr>
              <w:t>Page 3</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2019-12-21T06:05:11Z</dcterms:created>
  <dcterms:modified xsi:type="dcterms:W3CDTF">2019-12-21T06:05:11Z</dcterms:modified>
</cp:coreProperties>
</file>