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8890"/>
                    </a:xfrm>
                    <a:prstGeom prst="rect">
                      <a:avLst/>
                    </a:prstGeom>
                    <a:noFill/>
                  </pic:spPr>
                </pic:pic>
              </a:graphicData>
            </a:graphic>
          </wp:anchor>
        </w:drawing>
        <w:t>UNITED STATES</w:t>
      </w:r>
    </w:p>
    <w:p>
      <w:pPr>
        <w:jc w:val="center"/>
        <w:ind w:right="-1100"/>
        <w:spacing w:after="0"/>
        <w:rPr>
          <w:sz w:val="20"/>
          <w:szCs w:val="20"/>
          <w:color w:val="auto"/>
        </w:rPr>
      </w:pPr>
      <w:r>
        <w:rPr>
          <w:rFonts w:ascii="Arial" w:cs="Arial" w:eastAsia="Arial" w:hAnsi="Arial"/>
          <w:sz w:val="28"/>
          <w:szCs w:val="28"/>
          <w:b w:val="1"/>
          <w:bCs w:val="1"/>
          <w:color w:val="auto"/>
        </w:rPr>
        <w:t>SECURITIES AND EXCHANGE COMMISSION</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WASHINGTON, D.C. 20549</w:t>
      </w:r>
    </w:p>
    <w:p>
      <w:pPr>
        <w:spacing w:after="0" w:line="226"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20"/>
          <w:szCs w:val="20"/>
          <w:b w:val="1"/>
          <w:bCs w:val="1"/>
          <w:color w:val="auto"/>
        </w:rPr>
        <w:t>Securities Exchange Act of 1934</w:t>
      </w:r>
    </w:p>
    <w:p>
      <w:pPr>
        <w:spacing w:after="0" w:line="13" w:lineRule="exact"/>
        <w:rPr>
          <w:sz w:val="24"/>
          <w:szCs w:val="24"/>
          <w:color w:val="auto"/>
        </w:rPr>
      </w:pPr>
    </w:p>
    <w:p>
      <w:pPr>
        <w:ind w:left="4680"/>
        <w:spacing w:after="0"/>
        <w:tabs>
          <w:tab w:leader="none" w:pos="648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 w:lineRule="exact"/>
        <w:rPr>
          <w:sz w:val="24"/>
          <w:szCs w:val="24"/>
          <w:color w:val="auto"/>
        </w:rPr>
      </w:pPr>
    </w:p>
    <w:p>
      <w:pPr>
        <w:spacing w:after="0" w:line="184" w:lineRule="exact"/>
        <w:tabs>
          <w:tab w:leader="none" w:pos="1780" w:val="left"/>
          <w:tab w:leader="none" w:pos="2120" w:val="left"/>
          <w:tab w:leader="none" w:pos="526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8"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5" w:lineRule="exact"/>
        <w:rPr>
          <w:sz w:val="24"/>
          <w:szCs w:val="24"/>
          <w:color w:val="auto"/>
        </w:rPr>
      </w:pPr>
    </w:p>
    <w:p>
      <w:pPr>
        <w:ind w:right="7699" w:firstLine="8"/>
        <w:spacing w:after="0" w:line="198" w:lineRule="exact"/>
        <w:tabs>
          <w:tab w:leader="none" w:pos="31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Definitive Proxy Statement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Additional Materials</w:t>
      </w:r>
    </w:p>
    <w:p>
      <w:pPr>
        <w:spacing w:after="0" w:line="1" w:lineRule="exact"/>
        <w:rPr>
          <w:rFonts w:ascii="MS PGothic" w:cs="MS PGothic" w:eastAsia="MS PGothic" w:hAnsi="MS PGothic"/>
          <w:sz w:val="16"/>
          <w:szCs w:val="16"/>
          <w:color w:val="auto"/>
        </w:rPr>
      </w:pPr>
    </w:p>
    <w:p>
      <w:pPr>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Under Rule 14a-12</w:t>
      </w:r>
    </w:p>
    <w:p>
      <w:pPr>
        <w:spacing w:after="0" w:line="15" w:lineRule="exact"/>
        <w:rPr>
          <w:sz w:val="24"/>
          <w:szCs w:val="24"/>
          <w:color w:val="auto"/>
        </w:rPr>
      </w:pPr>
    </w:p>
    <w:p>
      <w:pPr>
        <w:ind w:left="3820"/>
        <w:spacing w:after="0"/>
        <w:rPr>
          <w:sz w:val="20"/>
          <w:szCs w:val="20"/>
          <w:color w:val="auto"/>
        </w:rPr>
      </w:pPr>
      <w:r>
        <w:rPr>
          <w:rFonts w:ascii="Arial" w:cs="Arial" w:eastAsia="Arial" w:hAnsi="Arial"/>
          <w:sz w:val="36"/>
          <w:szCs w:val="36"/>
          <w:b w:val="1"/>
          <w:bCs w:val="1"/>
          <w:color w:val="auto"/>
        </w:rPr>
        <w:t>Myriad Genetics, Inc.</w:t>
      </w:r>
    </w:p>
    <w:p>
      <w:pPr>
        <w:spacing w:after="0" w:line="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(Name of Registrant as Specified In Its Charter)</w:t>
      </w:r>
    </w:p>
    <w:p>
      <w:pPr>
        <w:ind w:left="348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42" w:lineRule="exact"/>
        <w:rPr>
          <w:sz w:val="24"/>
          <w:szCs w:val="24"/>
          <w:color w:val="auto"/>
        </w:rPr>
      </w:pPr>
    </w:p>
    <w:p>
      <w:pPr>
        <w:ind w:left="320" w:hanging="312"/>
        <w:spacing w:after="0"/>
        <w:tabs>
          <w:tab w:leader="none" w:pos="3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48" w:lineRule="exact"/>
        <w:rPr>
          <w:sz w:val="24"/>
          <w:szCs w:val="24"/>
          <w:color w:val="auto"/>
        </w:rPr>
      </w:pPr>
    </w:p>
    <w:p>
      <w:pPr>
        <w:ind w:left="320" w:hanging="312"/>
        <w:spacing w:after="0"/>
        <w:tabs>
          <w:tab w:leader="none" w:pos="3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61" w:lineRule="exact"/>
        <w:rPr>
          <w:rFonts w:ascii="MS PGothic" w:cs="MS PGothic" w:eastAsia="MS PGothic" w:hAnsi="MS PGothic"/>
          <w:sz w:val="16"/>
          <w:szCs w:val="16"/>
          <w:color w:val="auto"/>
        </w:rPr>
      </w:pPr>
    </w:p>
    <w:p>
      <w:pPr>
        <w:ind w:left="320" w:hanging="312"/>
        <w:spacing w:after="0"/>
        <w:tabs>
          <w:tab w:leader="none" w:pos="3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14a-6(j)(1)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6"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MYRIAD GENETICS,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322 North 2200 West</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Salt Lake City, Utah 84116</w:t>
      </w:r>
    </w:p>
    <w:p>
      <w:pPr>
        <w:spacing w:after="0" w:line="222" w:lineRule="exact"/>
        <w:rPr>
          <w:sz w:val="20"/>
          <w:szCs w:val="20"/>
          <w:color w:val="auto"/>
        </w:rPr>
      </w:pPr>
    </w:p>
    <w:p>
      <w:pPr>
        <w:ind w:left="2820"/>
        <w:spacing w:after="0"/>
        <w:rPr>
          <w:sz w:val="20"/>
          <w:szCs w:val="20"/>
          <w:color w:val="auto"/>
        </w:rPr>
      </w:pPr>
      <w:r>
        <w:rPr>
          <w:rFonts w:ascii="Arial" w:cs="Arial" w:eastAsia="Arial" w:hAnsi="Arial"/>
          <w:sz w:val="25"/>
          <w:szCs w:val="25"/>
          <w:b w:val="1"/>
          <w:bCs w:val="1"/>
          <w:color w:val="003595"/>
        </w:rPr>
        <w:t>Notice of 2026 Annual Meeting of Stockholders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 xml:space="preserve">Time: </w:t>
      </w:r>
      <w:r>
        <w:rPr>
          <w:rFonts w:ascii="Arial" w:cs="Arial" w:eastAsia="Arial" w:hAnsi="Arial"/>
          <w:sz w:val="16"/>
          <w:szCs w:val="16"/>
          <w:color w:val="000000"/>
        </w:rPr>
        <w:t>8:00 a.m. Mountain Daylight Time (MDT)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 xml:space="preserve">Date: </w:t>
      </w:r>
      <w:r>
        <w:rPr>
          <w:rFonts w:ascii="Arial" w:cs="Arial" w:eastAsia="Arial" w:hAnsi="Arial"/>
          <w:sz w:val="16"/>
          <w:szCs w:val="16"/>
          <w:color w:val="000000"/>
        </w:rPr>
        <w:t>Thursday, June 4, 2026</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003595"/>
        </w:rPr>
        <w:t xml:space="preserve">Place: </w:t>
      </w:r>
      <w:r>
        <w:rPr>
          <w:rFonts w:ascii="Arial" w:cs="Arial" w:eastAsia="Arial" w:hAnsi="Arial"/>
          <w:sz w:val="16"/>
          <w:szCs w:val="16"/>
          <w:color w:val="000000"/>
        </w:rPr>
        <w:t>This year’s Annual Meeting of Stockholders (the "Annual Meeting") will be a virtual meeting via live webcast on the Internet. You will be able to</w:t>
      </w:r>
      <w:r>
        <w:rPr>
          <w:rFonts w:ascii="Arial" w:cs="Arial" w:eastAsia="Arial" w:hAnsi="Arial"/>
          <w:sz w:val="20"/>
          <w:szCs w:val="20"/>
          <w:b w:val="1"/>
          <w:bCs w:val="1"/>
          <w:color w:val="003595"/>
        </w:rPr>
        <w:t xml:space="preserve"> </w:t>
      </w:r>
      <w:r>
        <w:rPr>
          <w:rFonts w:ascii="Arial" w:cs="Arial" w:eastAsia="Arial" w:hAnsi="Arial"/>
          <w:sz w:val="16"/>
          <w:szCs w:val="16"/>
          <w:color w:val="000000"/>
        </w:rPr>
        <w:t>attend the Annual Meeting, vote and submit your questions during the meeting by visiting the following URL: www.virtualshareholdermeeting.com/MYGN2026 and entering the 16-digit control number included in the Notice of Internet Availability of Proxy Materials or proxy card that you receive. For further information about the virtual Annual Meeting, please call our investor relations department at (801) 584-3532.</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Purposes:</w:t>
      </w:r>
    </w:p>
    <w:p>
      <w:pPr>
        <w:spacing w:after="0" w:line="252" w:lineRule="exact"/>
        <w:rPr>
          <w:sz w:val="20"/>
          <w:szCs w:val="20"/>
          <w:color w:val="auto"/>
        </w:rPr>
      </w:pPr>
    </w:p>
    <w:p>
      <w:pPr>
        <w:ind w:left="200" w:hanging="182"/>
        <w:spacing w:after="0"/>
        <w:tabs>
          <w:tab w:leader="none" w:pos="200" w:val="left"/>
        </w:tabs>
        <w:numPr>
          <w:ilvl w:val="0"/>
          <w:numId w:val="5"/>
        </w:numPr>
        <w:rPr>
          <w:rFonts w:ascii="Arial" w:cs="Arial" w:eastAsia="Arial" w:hAnsi="Arial"/>
          <w:sz w:val="16"/>
          <w:szCs w:val="16"/>
          <w:b w:val="1"/>
          <w:bCs w:val="1"/>
          <w:color w:val="0071CE"/>
        </w:rPr>
      </w:pPr>
      <w:r>
        <w:rPr>
          <w:rFonts w:ascii="Arial" w:cs="Arial" w:eastAsia="Arial" w:hAnsi="Arial"/>
          <w:sz w:val="16"/>
          <w:szCs w:val="16"/>
          <w:color w:val="auto"/>
        </w:rPr>
        <w:t>To elect three Class III Directors to the Board of Directors to serve until the 2029 Annual Meeting of Stockholders;</w:t>
      </w:r>
    </w:p>
    <w:p>
      <w:pPr>
        <w:spacing w:after="0" w:line="261" w:lineRule="exact"/>
        <w:rPr>
          <w:rFonts w:ascii="Arial" w:cs="Arial" w:eastAsia="Arial" w:hAnsi="Arial"/>
          <w:sz w:val="16"/>
          <w:szCs w:val="16"/>
          <w:b w:val="1"/>
          <w:bCs w:val="1"/>
          <w:color w:val="0071CE"/>
        </w:rPr>
      </w:pPr>
    </w:p>
    <w:p>
      <w:pPr>
        <w:ind w:left="200" w:hanging="182"/>
        <w:spacing w:after="0"/>
        <w:tabs>
          <w:tab w:leader="none" w:pos="200" w:val="left"/>
        </w:tabs>
        <w:numPr>
          <w:ilvl w:val="0"/>
          <w:numId w:val="5"/>
        </w:numPr>
        <w:rPr>
          <w:rFonts w:ascii="Arial" w:cs="Arial" w:eastAsia="Arial" w:hAnsi="Arial"/>
          <w:sz w:val="16"/>
          <w:szCs w:val="16"/>
          <w:b w:val="1"/>
          <w:bCs w:val="1"/>
          <w:color w:val="0071CE"/>
        </w:rPr>
      </w:pPr>
      <w:r>
        <w:rPr>
          <w:rFonts w:ascii="Arial" w:cs="Arial" w:eastAsia="Arial" w:hAnsi="Arial"/>
          <w:sz w:val="16"/>
          <w:szCs w:val="16"/>
          <w:color w:val="auto"/>
        </w:rPr>
        <w:t>To ratify the selection of Ernst &amp; Young LLP as our independent registered public accounting firm for the year ending December 31, 2026;</w:t>
      </w:r>
    </w:p>
    <w:p>
      <w:pPr>
        <w:spacing w:after="0" w:line="248" w:lineRule="exact"/>
        <w:rPr>
          <w:rFonts w:ascii="Arial" w:cs="Arial" w:eastAsia="Arial" w:hAnsi="Arial"/>
          <w:sz w:val="16"/>
          <w:szCs w:val="16"/>
          <w:b w:val="1"/>
          <w:bCs w:val="1"/>
          <w:color w:val="0071CE"/>
        </w:rPr>
      </w:pPr>
    </w:p>
    <w:p>
      <w:pPr>
        <w:ind w:left="200" w:hanging="182"/>
        <w:spacing w:after="0"/>
        <w:tabs>
          <w:tab w:leader="none" w:pos="200" w:val="left"/>
        </w:tabs>
        <w:numPr>
          <w:ilvl w:val="0"/>
          <w:numId w:val="5"/>
        </w:numPr>
        <w:rPr>
          <w:rFonts w:ascii="Arial" w:cs="Arial" w:eastAsia="Arial" w:hAnsi="Arial"/>
          <w:sz w:val="16"/>
          <w:szCs w:val="16"/>
          <w:b w:val="1"/>
          <w:bCs w:val="1"/>
          <w:color w:val="0071CE"/>
        </w:rPr>
      </w:pPr>
      <w:r>
        <w:rPr>
          <w:rFonts w:ascii="Arial" w:cs="Arial" w:eastAsia="Arial" w:hAnsi="Arial"/>
          <w:sz w:val="16"/>
          <w:szCs w:val="16"/>
          <w:color w:val="auto"/>
        </w:rPr>
        <w:t>To approve, on an advisory basis, the compensation of our named executive officers, as disclosed in this proxy statement;</w:t>
      </w:r>
    </w:p>
    <w:p>
      <w:pPr>
        <w:spacing w:after="0" w:line="302" w:lineRule="exact"/>
        <w:rPr>
          <w:rFonts w:ascii="Arial" w:cs="Arial" w:eastAsia="Arial" w:hAnsi="Arial"/>
          <w:sz w:val="16"/>
          <w:szCs w:val="16"/>
          <w:b w:val="1"/>
          <w:bCs w:val="1"/>
          <w:color w:val="0071CE"/>
        </w:rPr>
      </w:pPr>
    </w:p>
    <w:p>
      <w:pPr>
        <w:ind w:left="220" w:hanging="202"/>
        <w:spacing w:after="0"/>
        <w:tabs>
          <w:tab w:leader="none" w:pos="220" w:val="left"/>
        </w:tabs>
        <w:numPr>
          <w:ilvl w:val="0"/>
          <w:numId w:val="5"/>
        </w:numPr>
        <w:rPr>
          <w:rFonts w:ascii="Arial" w:cs="Arial" w:eastAsia="Arial" w:hAnsi="Arial"/>
          <w:sz w:val="16"/>
          <w:szCs w:val="16"/>
          <w:b w:val="1"/>
          <w:bCs w:val="1"/>
          <w:color w:val="0071CE"/>
        </w:rPr>
      </w:pPr>
      <w:r>
        <w:rPr>
          <w:rFonts w:ascii="Arial" w:cs="Arial" w:eastAsia="Arial" w:hAnsi="Arial"/>
          <w:sz w:val="16"/>
          <w:szCs w:val="16"/>
          <w:color w:val="auto"/>
        </w:rPr>
        <w:t>To approve the proposed amendment to the Amended and Restated 2012 Employee Stock Purchase Plan;</w:t>
      </w:r>
    </w:p>
    <w:p>
      <w:pPr>
        <w:spacing w:after="0" w:line="315" w:lineRule="exact"/>
        <w:rPr>
          <w:rFonts w:ascii="Arial" w:cs="Arial" w:eastAsia="Arial" w:hAnsi="Arial"/>
          <w:sz w:val="16"/>
          <w:szCs w:val="16"/>
          <w:b w:val="1"/>
          <w:bCs w:val="1"/>
          <w:color w:val="0071CE"/>
        </w:rPr>
      </w:pPr>
    </w:p>
    <w:p>
      <w:pPr>
        <w:ind w:left="200" w:hanging="192"/>
        <w:spacing w:after="0"/>
        <w:tabs>
          <w:tab w:leader="none" w:pos="200" w:val="left"/>
        </w:tabs>
        <w:numPr>
          <w:ilvl w:val="0"/>
          <w:numId w:val="5"/>
        </w:numPr>
        <w:rPr>
          <w:rFonts w:ascii="Arial" w:cs="Arial" w:eastAsia="Arial" w:hAnsi="Arial"/>
          <w:sz w:val="16"/>
          <w:szCs w:val="16"/>
          <w:b w:val="1"/>
          <w:bCs w:val="1"/>
          <w:color w:val="0071CE"/>
        </w:rPr>
      </w:pPr>
      <w:r>
        <w:rPr>
          <w:rFonts w:ascii="Arial" w:cs="Arial" w:eastAsia="Arial" w:hAnsi="Arial"/>
          <w:sz w:val="16"/>
          <w:szCs w:val="16"/>
          <w:color w:val="auto"/>
        </w:rPr>
        <w:t>To approve the proposed 2026 Employee, Director and Consultant Equity Incentive Plan; and</w:t>
      </w:r>
    </w:p>
    <w:p>
      <w:pPr>
        <w:spacing w:after="0" w:line="275" w:lineRule="exact"/>
        <w:rPr>
          <w:rFonts w:ascii="Arial" w:cs="Arial" w:eastAsia="Arial" w:hAnsi="Arial"/>
          <w:sz w:val="16"/>
          <w:szCs w:val="16"/>
          <w:b w:val="1"/>
          <w:bCs w:val="1"/>
          <w:color w:val="0071CE"/>
        </w:rPr>
      </w:pPr>
    </w:p>
    <w:p>
      <w:pPr>
        <w:ind w:left="200" w:hanging="182"/>
        <w:spacing w:after="0"/>
        <w:tabs>
          <w:tab w:leader="none" w:pos="200" w:val="left"/>
        </w:tabs>
        <w:numPr>
          <w:ilvl w:val="0"/>
          <w:numId w:val="5"/>
        </w:numPr>
        <w:rPr>
          <w:rFonts w:ascii="Arial" w:cs="Arial" w:eastAsia="Arial" w:hAnsi="Arial"/>
          <w:sz w:val="16"/>
          <w:szCs w:val="16"/>
          <w:b w:val="1"/>
          <w:bCs w:val="1"/>
          <w:color w:val="0071CE"/>
        </w:rPr>
      </w:pPr>
      <w:r>
        <w:rPr>
          <w:rFonts w:ascii="Arial" w:cs="Arial" w:eastAsia="Arial" w:hAnsi="Arial"/>
          <w:sz w:val="16"/>
          <w:szCs w:val="16"/>
          <w:color w:val="auto"/>
        </w:rPr>
        <w:t>To transact such other business that is properly presented at the Annual Meeting and any adjournments or postponements thereof.</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Who May Vote:</w:t>
      </w:r>
    </w:p>
    <w:p>
      <w:pPr>
        <w:spacing w:after="0" w:line="26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You may vote if you were an owner of record of Myriad Genetics, Inc. common stock at the close of business on April 8, 2026. A list of stockholders of record will be available for inspection during the ten days prior to the meeting at the office of the Corporate Secretary at Myriad Genetics, Inc., 322 North 2200 West, Salt Lake City, Utah 84116.</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stockholders are cordially invited to attend the Annual Meeting. Whether you plan to attend the meeting or not, please vote by following the instructions on the Notice of Internet Availability of Proxy Materials that you have previously received, or will shortly receive, which we refer to as the Notice, or in the section of this proxy statement entitled ‘‘Important Information About the Annual Meeting and Voting — How Do I Vote?’’ or, if you requested printed proxy materials, your proxy card. You may change or revoke your proxy at any time before it is voted.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On or about April 14, 2026 we began sending the Notice to all stockholders entitled to vote at the Annual Meeting.</w:t>
      </w:r>
    </w:p>
    <w:p>
      <w:pPr>
        <w:spacing w:after="0" w:line="26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BY ORDER OF THE BOARD OF DIRECTORS</w:t>
      </w:r>
    </w:p>
    <w:p>
      <w:pPr>
        <w:spacing w:after="0" w:line="248" w:lineRule="exact"/>
        <w:rPr>
          <w:sz w:val="20"/>
          <w:szCs w:val="20"/>
          <w:color w:val="auto"/>
        </w:rPr>
      </w:pPr>
    </w:p>
    <w:p>
      <w:pPr>
        <w:ind w:left="5840"/>
        <w:spacing w:after="0"/>
        <w:rPr>
          <w:sz w:val="20"/>
          <w:szCs w:val="20"/>
          <w:color w:val="auto"/>
        </w:rPr>
      </w:pPr>
      <w:r>
        <w:rPr>
          <w:rFonts w:ascii="Arial" w:cs="Arial" w:eastAsia="Arial" w:hAnsi="Arial"/>
          <w:sz w:val="16"/>
          <w:szCs w:val="16"/>
          <w:u w:val="single" w:color="auto"/>
          <w:color w:val="auto"/>
        </w:rPr>
        <w:t>s/ Samraat S. Raha</w:t>
      </w:r>
    </w:p>
    <w:p>
      <w:pPr>
        <w:spacing w:after="0" w:line="3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Samraat S. Raha</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President and Chief Executive Officer</w:t>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20"/>
          <w:szCs w:val="20"/>
          <w:b w:val="1"/>
          <w:bCs w:val="1"/>
          <w:color w:val="003595"/>
        </w:rPr>
        <w:t>Important Notice Regarding the Availability of Proxy Materials for</w:t>
      </w:r>
    </w:p>
    <w:p>
      <w:pPr>
        <w:spacing w:after="0" w:line="3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003595"/>
        </w:rPr>
        <w:t>the Stockholder Meeting to be held on June 4, 2026</w:t>
      </w:r>
    </w:p>
    <w:p>
      <w:pPr>
        <w:spacing w:after="0" w:line="232"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 xml:space="preserve">This proxy statement, and our annual report on Form 10-K to stockholders for the year ended December 31, 2025, are available for viewing, printing, and downloading at </w:t>
      </w:r>
      <w:r>
        <w:rPr>
          <w:rFonts w:ascii="Arial" w:cs="Arial" w:eastAsia="Arial" w:hAnsi="Arial"/>
          <w:sz w:val="16"/>
          <w:szCs w:val="16"/>
          <w:i w:val="1"/>
          <w:iCs w:val="1"/>
          <w:u w:val="single" w:color="auto"/>
          <w:color w:val="auto"/>
        </w:rPr>
        <w:t>www.proxyvote.com</w:t>
      </w:r>
      <w:r>
        <w:rPr>
          <w:rFonts w:ascii="Arial" w:cs="Arial" w:eastAsia="Arial" w:hAnsi="Arial"/>
          <w:sz w:val="16"/>
          <w:szCs w:val="16"/>
          <w:i w:val="1"/>
          <w:iCs w:val="1"/>
          <w:color w:val="auto"/>
        </w:rPr>
        <w:t>.</w:t>
      </w:r>
      <w:r>
        <w:rPr>
          <w:rFonts w:ascii="Arial" w:cs="Arial" w:eastAsia="Arial" w:hAnsi="Arial"/>
          <w:sz w:val="16"/>
          <w:szCs w:val="16"/>
          <w:color w:val="auto"/>
        </w:rPr>
        <w:t xml:space="preserve"> To view these materials, please have available your 16-digit control number(s) that appears on your Notice or proxy card. On this website, you can also elect to receive future distributions of our proxy statements and annual reports to stockholders by electronic delivery.</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Additionally, you may find a copy of our annual report on Form 10-K, which includes our financial statements for the year ended December 31, 2025, on the website of the Securities and Exchange Commission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w:t>
      </w:r>
      <w:r>
        <w:rPr>
          <w:rFonts w:ascii="Arial" w:cs="Arial" w:eastAsia="Arial" w:hAnsi="Arial"/>
          <w:sz w:val="16"/>
          <w:szCs w:val="16"/>
          <w:color w:val="auto"/>
        </w:rPr>
        <w:t xml:space="preserve"> or in the ‘‘Financial Reporting/SEC Filings’’ section of the ‘‘Investor Relations’’ section of our website at </w:t>
      </w:r>
      <w:r>
        <w:rPr>
          <w:rFonts w:ascii="Arial" w:cs="Arial" w:eastAsia="Arial" w:hAnsi="Arial"/>
          <w:sz w:val="16"/>
          <w:szCs w:val="16"/>
          <w:i w:val="1"/>
          <w:iCs w:val="1"/>
          <w:u w:val="single" w:color="auto"/>
          <w:color w:val="auto"/>
        </w:rPr>
        <w:t>www.myriad.com</w:t>
      </w:r>
      <w:r>
        <w:rPr>
          <w:rFonts w:ascii="Arial" w:cs="Arial" w:eastAsia="Arial" w:hAnsi="Arial"/>
          <w:sz w:val="16"/>
          <w:szCs w:val="16"/>
          <w:i w:val="1"/>
          <w:iCs w:val="1"/>
          <w:color w:val="auto"/>
        </w:rPr>
        <w:t>.</w:t>
      </w:r>
      <w:r>
        <w:rPr>
          <w:rFonts w:ascii="Arial" w:cs="Arial" w:eastAsia="Arial" w:hAnsi="Arial"/>
          <w:sz w:val="16"/>
          <w:szCs w:val="16"/>
          <w:color w:val="auto"/>
        </w:rPr>
        <w:t xml:space="preserve"> You also may obtain a printed copy of our annual report on Form 10-K, including our financial statements from us, free of charge, by sending a written request to: Corporate Secretary, Myriad Genetics, Inc., 322 North 2200 West, Salt Lake City, Utah 84116. Exhibits will be provided upon written request and payment of an appropriate processing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756920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003595"/>
        </w:rPr>
        <w:t>Cautionary Information and Forward-Looking Statements</w:t>
      </w:r>
    </w:p>
    <w:p>
      <w:pPr>
        <w:spacing w:after="0" w:line="26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proxy statement contains forward-looking statements about future events and circumstances. Generally speaking, any statement not based upon historical fact is a forward-looking statement. Forward-looking statements can also be identified by the use of forward-looking or conditional words such as “could,” “should,” “can,” “continue,” “estimate,” “forecast,” “intend,” “look,” “may,” “will,” “expect,” “believe,” “anticipate,” “plan,” “remain,” “goal,” "strategy" and “commit” or similar expressions. In particular, statements regarding our plans, strategies, prospects and expectations regarding our business and industry are forward-looking statements. They reflect our expectations, are not guarantees of performance and speak only as of the date of this proxy statement. Except as required by law, we do not undertake to update such forward-looking statements. You should not rely unduly on forward-looking statements. Our business results are subject to a variety of risks, including those that are described in our annual report on Form 10-K for the year ended December 31, 2025 and elsewhere in our filings with the Securities and Exchange Commission. If any of these considerations or risks materialize or intensify, our expectations (or underlying assumptions) may change and our performance may be adversely affected.</w:t>
      </w:r>
    </w:p>
    <w:p>
      <w:pPr>
        <w:spacing w:after="0" w:line="20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Website links included in this proxy statement are for convenience only. Information contained on or accessible through such website links is not incorporated herein and does not constitute a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603250</wp:posOffset>
            </wp:positionV>
            <wp:extent cx="2134235" cy="977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3423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Dear Fellow Stakeholders,</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16"/>
          <w:szCs w:val="16"/>
          <w:color w:val="auto"/>
        </w:rPr>
        <w:t>It is a tremendous privilege stepping into the role of CEO of Myriad Genetics since May 2025 to lead this mission-driven organization on a path to realizing Myriad’s significant potential. Over the past year, we have made decisive progress in repositioning the company for accelerated, profitable growth by sharpening our strategic focus, strengthening our leadership team, and executing with greater urgency. We unveiled our new strategy which prioritizes the Cancer Care Continuum as the cornerstone of our future growth, while continuing to take steps to grow our Prenatal Health and Mental Health businesses in a disciplined manner aligned with our long-term profitability objectives. We enter 2026 as a more focused, disciplined, and confident organization – the “New Myriad,” prioritizing our resources, budget and attention where we have the greatest opportunity for delivering patient impact and right to win.</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To support this new chapter, we welcomed Brian Donnelly as Myriad Genetics’ new Chief Commercial Officer in May 2025 who, with more than twenty years of industry experience and a proven track record of driving growth through innovative go-to-market strategies, is well-positioned to champion gaining market share. We also promoted Ben Wheeler to the role of Chief Financial Officer in August 2025 following over thirteen years at Myriad. Ben’s intimate knowledge of Myriad’s business and operations will be critical in shaping Myriad’s path towards sustained, profitable growth. Together, our leadership team brings the right mix of experience and diverse perspectives to lead the company through this next chapter of profitable growth.</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3595"/>
        </w:rPr>
        <w:t>Operational and Financial Highlights</w:t>
      </w:r>
    </w:p>
    <w:p>
      <w:pPr>
        <w:spacing w:after="0" w:line="234"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In 2025, Myriad Genetics was recognized as one of Forbes’ America’s Best Employers, and 84% of our employees said Myriad Genetics is a Great Place to Work</w:t>
      </w:r>
      <w:r>
        <w:rPr>
          <w:rFonts w:ascii="Arial" w:cs="Arial" w:eastAsia="Arial" w:hAnsi="Arial"/>
          <w:sz w:val="21"/>
          <w:szCs w:val="21"/>
          <w:color w:val="auto"/>
          <w:vertAlign w:val="superscript"/>
        </w:rPr>
        <w:t>®</w:t>
      </w:r>
      <w:r>
        <w:rPr>
          <w:rFonts w:ascii="Arial" w:cs="Arial" w:eastAsia="Arial" w:hAnsi="Arial"/>
          <w:sz w:val="16"/>
          <w:szCs w:val="16"/>
          <w:color w:val="auto"/>
        </w:rPr>
        <w:t>. Also in 2025, our healthcare provider Net Promoter Score was 72.5, a level typically regarded as excellent, reflecting our continued focus on and investment in the patient and provider experience.</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continued to deliver on our commitment to stakeholders, providing over 1.5 million molecular diagnostic and precision medicine test results to patients and the more than 55 thousand healthcare providers we serve. We generated revenue of $824.5 million and positive adjusted EBTIDA and adjusted earnings per share in 2025.</w:t>
      </w:r>
      <w:r>
        <w:rPr>
          <w:rFonts w:ascii="Arial" w:cs="Arial" w:eastAsia="Arial" w:hAnsi="Arial"/>
          <w:sz w:val="21"/>
          <w:szCs w:val="21"/>
          <w:color w:val="auto"/>
          <w:vertAlign w:val="superscript"/>
        </w:rPr>
        <w:t>1</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continued to drive strong demand in our hereditary cancer testing business, with MyRisk test volume growth of 10% over 2024. This growth is a testament to our leadership as well as a growing awareness of the importance of germline testing in wellness and the overall patient journey.</w:t>
      </w:r>
    </w:p>
    <w:p>
      <w:pPr>
        <w:spacing w:after="0" w:line="183"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In our Mental Health business, we quickly addressed unfavorable events in the first half of 2025. Our team’s efforts resulted in Genesight test volumes growing 8% in the second half of 2025 over the same period in 2024. We are seeing increasing awareness of the importance of molecular diagnostic testing in mental health, and this is supported by the increasing number of biomarker laws enacted in 2025. We continue to define leadership in this market. The Prenatal Health business continues to focus on reinvigorating growth through a focused sales effort and enhanced product offerings, such as the Universal Plus Panel for Foresight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Carrier Screen now covering 274 genes and the Prequel</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Prenatal Screening test for non-invasive prenatal screening at eight weeks gestational age.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3595"/>
        </w:rPr>
        <w:t>A Clear Strategy and Robust Pipeline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Our strategy to accelerate profitable growth is anchored in three clear pillars.</w:t>
      </w:r>
    </w:p>
    <w:p>
      <w:pPr>
        <w:spacing w:after="0" w:line="235" w:lineRule="exact"/>
        <w:rPr>
          <w:sz w:val="20"/>
          <w:szCs w:val="20"/>
          <w:color w:val="auto"/>
        </w:rPr>
      </w:pPr>
    </w:p>
    <w:p>
      <w:pPr>
        <w:jc w:val="both"/>
        <w:spacing w:after="0" w:line="196" w:lineRule="exact"/>
        <w:rPr>
          <w:sz w:val="20"/>
          <w:szCs w:val="20"/>
          <w:color w:val="auto"/>
        </w:rPr>
      </w:pPr>
      <w:r>
        <w:rPr>
          <w:rFonts w:ascii="Arial" w:cs="Arial" w:eastAsia="Arial" w:hAnsi="Arial"/>
          <w:sz w:val="16"/>
          <w:szCs w:val="16"/>
          <w:b w:val="1"/>
          <w:bCs w:val="1"/>
          <w:color w:val="auto"/>
        </w:rPr>
        <w:t>Prioritizing the Cancer Care Continuum</w:t>
      </w:r>
      <w:r>
        <w:rPr>
          <w:rFonts w:ascii="Arial" w:cs="Arial" w:eastAsia="Arial" w:hAnsi="Arial"/>
          <w:sz w:val="16"/>
          <w:szCs w:val="16"/>
          <w:color w:val="auto"/>
        </w:rPr>
        <w:t>. Myriad is already a leader in hereditary cancer testing, and we are expanding beyond germline testing to serve</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across risk assessment, diagnosis, therapy selection, and recurrence monitoring. We launched the expanded MyRisk panel in late 2025, which has been well received, and plan to introduce disease</w:t>
      </w:r>
      <w:r>
        <w:rPr>
          <w:rFonts w:ascii="MS PGothic" w:cs="MS PGothic" w:eastAsia="MS PGothic" w:hAnsi="MS PGothic"/>
          <w:sz w:val="16"/>
          <w:szCs w:val="16"/>
          <w:color w:val="auto"/>
        </w:rPr>
        <w:t>‑</w:t>
      </w:r>
      <w:r>
        <w:rPr>
          <w:rFonts w:ascii="Arial" w:cs="Arial" w:eastAsia="Arial" w:hAnsi="Arial"/>
          <w:sz w:val="16"/>
          <w:szCs w:val="16"/>
          <w:color w:val="auto"/>
        </w:rPr>
        <w:t>specific panels that are designed to further simplify ordering and enhance clinical relevance, in 2026.</w:t>
      </w:r>
    </w:p>
    <w:p>
      <w:pPr>
        <w:spacing w:after="0" w:line="183" w:lineRule="exact"/>
        <w:rPr>
          <w:sz w:val="20"/>
          <w:szCs w:val="20"/>
          <w:color w:val="auto"/>
        </w:rPr>
      </w:pPr>
    </w:p>
    <w:p>
      <w:pPr>
        <w:jc w:val="both"/>
        <w:spacing w:after="0" w:line="191" w:lineRule="exact"/>
        <w:rPr>
          <w:sz w:val="20"/>
          <w:szCs w:val="20"/>
          <w:color w:val="auto"/>
        </w:rPr>
      </w:pPr>
      <w:r>
        <w:rPr>
          <w:rFonts w:ascii="Arial" w:cs="Arial" w:eastAsia="Arial" w:hAnsi="Arial"/>
          <w:sz w:val="16"/>
          <w:szCs w:val="16"/>
          <w:color w:val="auto"/>
        </w:rPr>
        <w:t>We are also broadening our oncology portfolio through a combination of internal innovation and strategic partnerships, having established collaborations with PATHOMIQ, Inc., a private developer of artificial intelligence (AI)-enabled prognostic and predictive tests, and SOPHiA Genetics SA, a public AI-driven precision medicine company. In therapy selection, we continue to build on our leadership in Homologous Recombination Deficiency (HRD) while planning menu expansion for tissue and liquid based comprehensive genomic profiling tests. In prostate cancer, we are preparing to launch our first AI</w:t>
      </w:r>
      <w:r>
        <w:rPr>
          <w:rFonts w:ascii="MS PGothic" w:cs="MS PGothic" w:eastAsia="MS PGothic" w:hAnsi="MS PGothic"/>
          <w:sz w:val="16"/>
          <w:szCs w:val="16"/>
          <w:color w:val="auto"/>
        </w:rPr>
        <w:t>‑</w:t>
      </w:r>
      <w:r>
        <w:rPr>
          <w:rFonts w:ascii="Arial" w:cs="Arial" w:eastAsia="Arial" w:hAnsi="Arial"/>
          <w:sz w:val="16"/>
          <w:szCs w:val="16"/>
          <w:color w:val="auto"/>
        </w:rPr>
        <w:t>enhanced Prolaris test in 2026, combining the power of molecular insights with advanced analytics to support more confident clinical decision</w:t>
      </w:r>
      <w:r>
        <w:rPr>
          <w:rFonts w:ascii="MS PGothic" w:cs="MS PGothic" w:eastAsia="MS PGothic" w:hAnsi="MS PGothic"/>
          <w:sz w:val="16"/>
          <w:szCs w:val="16"/>
          <w:color w:val="auto"/>
        </w:rPr>
        <w:t>‑</w:t>
      </w:r>
      <w:r>
        <w:rPr>
          <w:rFonts w:ascii="Arial" w:cs="Arial" w:eastAsia="Arial" w:hAnsi="Arial"/>
          <w:sz w:val="16"/>
          <w:szCs w:val="16"/>
          <w:color w:val="auto"/>
        </w:rPr>
        <w:t>making.</w:t>
      </w:r>
    </w:p>
    <w:p>
      <w:pPr>
        <w:spacing w:after="0" w:line="183" w:lineRule="exact"/>
        <w:rPr>
          <w:sz w:val="20"/>
          <w:szCs w:val="20"/>
          <w:color w:val="auto"/>
        </w:rPr>
      </w:pPr>
    </w:p>
    <w:p>
      <w:pPr>
        <w:jc w:val="both"/>
        <w:spacing w:after="0" w:line="191" w:lineRule="exact"/>
        <w:rPr>
          <w:sz w:val="20"/>
          <w:szCs w:val="20"/>
          <w:color w:val="auto"/>
        </w:rPr>
      </w:pPr>
      <w:r>
        <w:rPr>
          <w:rFonts w:ascii="Arial" w:cs="Arial" w:eastAsia="Arial" w:hAnsi="Arial"/>
          <w:sz w:val="16"/>
          <w:szCs w:val="16"/>
          <w:color w:val="auto"/>
        </w:rPr>
        <w:t>Perhaps most notable, in 2026, we are entering the Molecular Residual Disease (MRD) market (estimated to have a total addressable market size of $20 billion) with our Precise MRD platform. Precise MRD is an ultra</w:t>
      </w:r>
      <w:r>
        <w:rPr>
          <w:rFonts w:ascii="MS PGothic" w:cs="MS PGothic" w:eastAsia="MS PGothic" w:hAnsi="MS PGothic"/>
          <w:sz w:val="16"/>
          <w:szCs w:val="16"/>
          <w:color w:val="auto"/>
        </w:rPr>
        <w:t>‑</w:t>
      </w:r>
      <w:r>
        <w:rPr>
          <w:rFonts w:ascii="Arial" w:cs="Arial" w:eastAsia="Arial" w:hAnsi="Arial"/>
          <w:sz w:val="16"/>
          <w:szCs w:val="16"/>
          <w:color w:val="auto"/>
        </w:rPr>
        <w:t>sensitive, tumor</w:t>
      </w:r>
      <w:r>
        <w:rPr>
          <w:rFonts w:ascii="MS PGothic" w:cs="MS PGothic" w:eastAsia="MS PGothic" w:hAnsi="MS PGothic"/>
          <w:sz w:val="16"/>
          <w:szCs w:val="16"/>
          <w:color w:val="auto"/>
        </w:rPr>
        <w:t>‑</w:t>
      </w:r>
      <w:r>
        <w:rPr>
          <w:rFonts w:ascii="Arial" w:cs="Arial" w:eastAsia="Arial" w:hAnsi="Arial"/>
          <w:sz w:val="16"/>
          <w:szCs w:val="16"/>
          <w:color w:val="auto"/>
        </w:rPr>
        <w:t>informed assay capable of detecting circulating tumor DNA down to one part per million in blood, and is supported by a growing body of clinical evidence and more than 20 ongoing studies across multiple cancer types. In March 2026, we launched clinical testing for breast cancer patients with a small, select group of customers and look to expand our MRD offerings moving forward. MRD represents one of the most important long</w:t>
      </w:r>
      <w:r>
        <w:rPr>
          <w:rFonts w:ascii="MS PGothic" w:cs="MS PGothic" w:eastAsia="MS PGothic" w:hAnsi="MS PGothic"/>
          <w:sz w:val="16"/>
          <w:szCs w:val="16"/>
          <w:color w:val="auto"/>
        </w:rPr>
        <w:t>‑</w:t>
      </w:r>
      <w:r>
        <w:rPr>
          <w:rFonts w:ascii="Arial" w:cs="Arial" w:eastAsia="Arial" w:hAnsi="Arial"/>
          <w:sz w:val="16"/>
          <w:szCs w:val="16"/>
          <w:color w:val="auto"/>
        </w:rPr>
        <w:t>term growth opportunities in oncology and a natural extension of Myriad’s trusted role in community cancer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47" w:lineRule="exact"/>
        <w:rPr>
          <w:sz w:val="20"/>
          <w:szCs w:val="20"/>
          <w:color w:val="auto"/>
        </w:rPr>
      </w:pPr>
    </w:p>
    <w:p>
      <w:pPr>
        <w:ind w:firstLine="8"/>
        <w:spacing w:after="0" w:line="226" w:lineRule="auto"/>
        <w:tabs>
          <w:tab w:leader="none" w:pos="8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Adjusted earnings per share and adjusted EBITDA are non-GAAP financial measures. See reconciliation of adjusted earnings per share to GAAP loss per share and adjusted EBITDA to GAAP net loss in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both"/>
        <w:spacing w:after="0" w:line="191" w:lineRule="exact"/>
        <w:rPr>
          <w:sz w:val="20"/>
          <w:szCs w:val="20"/>
          <w:color w:val="auto"/>
        </w:rPr>
      </w:pPr>
      <w:r>
        <w:rPr>
          <w:rFonts w:ascii="Arial" w:cs="Arial" w:eastAsia="Arial" w:hAnsi="Arial"/>
          <w:sz w:val="16"/>
          <w:szCs w:val="16"/>
          <w:b w:val="1"/>
          <w:bCs w:val="1"/>
          <w:color w:val="auto"/>
        </w:rPr>
        <w:t>Growing our Prenatal Health and Mental Health businesses at or above market rates</w:t>
      </w:r>
      <w:r>
        <w:rPr>
          <w:rFonts w:ascii="Arial" w:cs="Arial" w:eastAsia="Arial" w:hAnsi="Arial"/>
          <w:sz w:val="16"/>
          <w:szCs w:val="16"/>
          <w:color w:val="auto"/>
        </w:rPr>
        <w:t>. In Prenatal Health, we are making good progress with our novel</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prenatal screen called FirstGene. We continue to generate real-world clinical evidence for FirstGene as enrollment in the CONNECTOR study advances and are preparing for a full commercial launch in the second half of 2026. In advance of this launch, we will have established and expanded a sales team dedicated to prenatal testing. In Mental Health, GeneSight is the market leader, with more than three million patients tested to date and our focus on high</w:t>
      </w:r>
      <w:r>
        <w:rPr>
          <w:rFonts w:ascii="MS PGothic" w:cs="MS PGothic" w:eastAsia="MS PGothic" w:hAnsi="MS PGothic"/>
          <w:sz w:val="16"/>
          <w:szCs w:val="16"/>
          <w:color w:val="auto"/>
        </w:rPr>
        <w:t>‑</w:t>
      </w:r>
      <w:r>
        <w:rPr>
          <w:rFonts w:ascii="Arial" w:cs="Arial" w:eastAsia="Arial" w:hAnsi="Arial"/>
          <w:sz w:val="16"/>
          <w:szCs w:val="16"/>
          <w:color w:val="auto"/>
        </w:rPr>
        <w:t>value accounts and digital engagement is designed to help position this business for sustained growth and profitability over time.</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Driving profitable growth</w:t>
      </w:r>
      <w:r>
        <w:rPr>
          <w:rFonts w:ascii="Arial" w:cs="Arial" w:eastAsia="Arial" w:hAnsi="Arial"/>
          <w:sz w:val="16"/>
          <w:szCs w:val="16"/>
          <w:color w:val="auto"/>
        </w:rPr>
        <w:t>. Over the past year, we have realigned our organization, reallocated resources, and strengthened accountability across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increase focus on serving the Cancer Care Continuum and to drive increased profitability. We expect to redirect and invest more than $35 million over the next several years to expand our commercial capabilities, support new product launches, and advance key R&amp;D programs, all while maintaining tight control over operating expenses.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003595"/>
        </w:rPr>
        <w:t>Stronger Team, Enhanced Culture</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None of this progress would be possible without our dedicated teammates focused on advancing our mission. Over the last year, we significantly strengthened our organization with the addition of leaders with deep experience across oncology, molecular diagnostics, and commercialization. We are also embedding a culture of 'playing to win' — defined by stepped up urgency, rigor and a focus on execution along with a commitment to doing what we say we will do.</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003595"/>
        </w:rPr>
        <w:t>2026 Annual Meeting of Stockholders</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invite you to participate in our virtual 2026 Annual Meeting of Stockholders, during which you will be able to vote your shares electronically and submit questions.</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will ask you to (1) elect three Class III Directors to our Board, (2) ratify the selection of Ernst &amp; Young LLP as our independent registered public accounting firm for the year ending December 31, 2026, (3) approve, on a non-binding advisory basis, the executive compensation of our named executive officers, (4) approve the proposed amendment to the Amended and Restated 2012 Employee Stock Purchase Plan, (5) approve the proposed 2026 Employee, Director and Consultant Equity Incentive Plan, and (6) act on any other business matters properly brought before the meeting.</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More information is included in our proxy statement. Your vote is important to us. Whether you attend the Annual Meeting or not, please vote promptly and submit your proxy online, by telephone, or by following the instructions on the proxy card or voting instruction card.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003595"/>
        </w:rPr>
        <w:t>A Bright Future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are building on the foundational capabilities established in 2025 to accelerate profitable growth by focusing on the Cancer Care Continuum.</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believe 2026 will be an exciting, milestone rich year, with the launch of three significant diagnostic tests. In March 2026, we executed on the first of these</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a targeted alpha launch for Precise MRD in breast cancer. In the second quarter, we will launch our AI-enabled Prolaris prostate cancer test in partnership with PATHOMIQ. Lastly, we plan to launch FirstGene, our multiple prenatal screen test, in the second half of the year, following a data readout from our CONNECTOR study. We are looking forward to these tests supporting clinical decisions and being an important component of our growth strategy.</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From a financial perspective, we expect annual revenue growth to accelerate to high-single-digit to low-double-digit percentage over the mid-to-long term. This growth acceleration will be supported by our planned investments in our commercial capabilities to support our expanded Cancer Care Continuum portfolio. Our approach to capital allocation is guided by discipline, return on investment, and flexibility. We will prioritize investment in higher-confidence opportunities, while taking steps to maintain strong margins and a predictable cost structure.</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entering this new chapter with confidence in our strategy, our pipeline, our people, and our ability to execute. On behalf of the entire Myriad team, thank you for your continued support and trust.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977265"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726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Samraat. S. Raha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Myriad Genetics, Inc.</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003595"/>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6900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Page</w:t>
            </w:r>
          </w:p>
        </w:tc>
      </w:tr>
      <w:tr>
        <w:trPr>
          <w:trHeight w:val="197"/>
        </w:trPr>
        <w:tc>
          <w:tcPr>
            <w:tcW w:w="20" w:type="dxa"/>
            <w:vAlign w:val="bottom"/>
          </w:tcPr>
          <w:p>
            <w:pPr>
              <w:spacing w:after="0"/>
              <w:rPr>
                <w:sz w:val="17"/>
                <w:szCs w:val="17"/>
                <w:color w:val="auto"/>
              </w:rPr>
            </w:pPr>
          </w:p>
        </w:tc>
        <w:tc>
          <w:tcPr>
            <w:tcW w:w="9620" w:type="dxa"/>
            <w:vAlign w:val="bottom"/>
            <w:gridSpan w:val="41"/>
          </w:tcPr>
          <w:p>
            <w:pPr>
              <w:spacing w:after="0"/>
              <w:rPr>
                <w:sz w:val="20"/>
                <w:szCs w:val="20"/>
                <w:color w:val="auto"/>
              </w:rPr>
            </w:pPr>
            <w:r>
              <w:rPr>
                <w:rFonts w:ascii="Arial" w:cs="Arial" w:eastAsia="Arial" w:hAnsi="Arial"/>
                <w:sz w:val="16"/>
                <w:szCs w:val="16"/>
                <w:b w:val="1"/>
                <w:bCs w:val="1"/>
                <w:color w:val="0000FF"/>
              </w:rPr>
              <w:t>PROXY SUMMARY</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3595"/>
              </w:rPr>
              <w:t>1</w:t>
            </w:r>
          </w:p>
        </w:tc>
        <w:tc>
          <w:tcPr>
            <w:tcW w:w="360" w:type="dxa"/>
            <w:vAlign w:val="bottom"/>
          </w:tcPr>
          <w:p>
            <w:pPr>
              <w:spacing w:after="0"/>
              <w:rPr>
                <w:sz w:val="17"/>
                <w:szCs w:val="17"/>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10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32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32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22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18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00" w:type="dxa"/>
            <w:vAlign w:val="bottom"/>
            <w:tcBorders>
              <w:bottom w:val="single" w:sz="8" w:color="0071CE"/>
            </w:tcBorders>
          </w:tcPr>
          <w:p>
            <w:pPr>
              <w:spacing w:after="0"/>
              <w:rPr>
                <w:sz w:val="2"/>
                <w:szCs w:val="2"/>
                <w:color w:val="auto"/>
              </w:rPr>
            </w:pPr>
          </w:p>
        </w:tc>
        <w:tc>
          <w:tcPr>
            <w:tcW w:w="10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120" w:type="dxa"/>
            <w:vAlign w:val="bottom"/>
            <w:tcBorders>
              <w:bottom w:val="single" w:sz="8" w:color="0071CE"/>
            </w:tcBorders>
          </w:tcPr>
          <w:p>
            <w:pPr>
              <w:spacing w:after="0"/>
              <w:rPr>
                <w:sz w:val="2"/>
                <w:szCs w:val="2"/>
                <w:color w:val="auto"/>
              </w:rPr>
            </w:pPr>
          </w:p>
        </w:tc>
        <w:tc>
          <w:tcPr>
            <w:tcW w:w="20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76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FF"/>
              </w:rPr>
              <w:t>IMPORTANT INFORMATION ABOUT THE ANNUAL MEETING AND VOTING</w:t>
            </w: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003595"/>
              </w:rPr>
              <w:t>6</w:t>
            </w:r>
          </w:p>
        </w:tc>
        <w:tc>
          <w:tcPr>
            <w:tcW w:w="360" w:type="dxa"/>
            <w:vAlign w:val="bottom"/>
          </w:tcPr>
          <w:p>
            <w:pPr>
              <w:spacing w:after="0"/>
              <w:rPr>
                <w:sz w:val="15"/>
                <w:szCs w:val="15"/>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10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80" w:type="dxa"/>
            <w:vAlign w:val="bottom"/>
            <w:tcBorders>
              <w:top w:val="single" w:sz="8" w:color="0000FF"/>
              <w:bottom w:val="single" w:sz="8" w:color="0071CE"/>
            </w:tcBorders>
          </w:tcPr>
          <w:p>
            <w:pPr>
              <w:spacing w:after="0"/>
              <w:rPr>
                <w:sz w:val="2"/>
                <w:szCs w:val="2"/>
                <w:color w:val="auto"/>
              </w:rPr>
            </w:pPr>
          </w:p>
        </w:tc>
        <w:tc>
          <w:tcPr>
            <w:tcW w:w="22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18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4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760" w:type="dxa"/>
            <w:vAlign w:val="bottom"/>
            <w:tcBorders>
              <w:top w:val="single" w:sz="8" w:color="0000FF"/>
              <w:bottom w:val="single" w:sz="8" w:color="0071CE"/>
            </w:tcBorders>
          </w:tcPr>
          <w:p>
            <w:pPr>
              <w:spacing w:after="0"/>
              <w:rPr>
                <w:sz w:val="2"/>
                <w:szCs w:val="2"/>
                <w:color w:val="auto"/>
              </w:rPr>
            </w:pPr>
          </w:p>
        </w:tc>
        <w:tc>
          <w:tcPr>
            <w:tcW w:w="8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380" w:type="dxa"/>
            <w:vAlign w:val="bottom"/>
            <w:tcBorders>
              <w:top w:val="single" w:sz="8" w:color="0000FF"/>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EE"/>
              </w:rPr>
              <w:t>MANAGEMENT AND CORPORATE GOVERNANCE</w:t>
            </w: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003595"/>
              </w:rPr>
              <w:t>12</w:t>
            </w:r>
          </w:p>
        </w:tc>
        <w:tc>
          <w:tcPr>
            <w:tcW w:w="360" w:type="dxa"/>
            <w:vAlign w:val="bottom"/>
          </w:tcPr>
          <w:p>
            <w:pPr>
              <w:spacing w:after="0"/>
              <w:rPr>
                <w:sz w:val="15"/>
                <w:szCs w:val="15"/>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10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32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320" w:type="dxa"/>
            <w:vAlign w:val="bottom"/>
            <w:tcBorders>
              <w:top w:val="single" w:sz="8" w:color="0000EE"/>
              <w:bottom w:val="single" w:sz="8" w:color="0071CE"/>
            </w:tcBorders>
          </w:tcPr>
          <w:p>
            <w:pPr>
              <w:spacing w:after="0"/>
              <w:rPr>
                <w:sz w:val="2"/>
                <w:szCs w:val="2"/>
                <w:color w:val="auto"/>
              </w:rPr>
            </w:pPr>
          </w:p>
        </w:tc>
        <w:tc>
          <w:tcPr>
            <w:tcW w:w="80" w:type="dxa"/>
            <w:vAlign w:val="bottom"/>
            <w:tcBorders>
              <w:top w:val="single" w:sz="8" w:color="0000EE"/>
              <w:bottom w:val="single" w:sz="8" w:color="0071CE"/>
            </w:tcBorders>
          </w:tcPr>
          <w:p>
            <w:pPr>
              <w:spacing w:after="0"/>
              <w:rPr>
                <w:sz w:val="2"/>
                <w:szCs w:val="2"/>
                <w:color w:val="auto"/>
              </w:rPr>
            </w:pPr>
          </w:p>
        </w:tc>
        <w:tc>
          <w:tcPr>
            <w:tcW w:w="22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18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00" w:type="dxa"/>
            <w:vAlign w:val="bottom"/>
            <w:tcBorders>
              <w:top w:val="single" w:sz="8" w:color="0000EE"/>
              <w:bottom w:val="single" w:sz="8" w:color="0071CE"/>
            </w:tcBorders>
          </w:tcPr>
          <w:p>
            <w:pPr>
              <w:spacing w:after="0"/>
              <w:rPr>
                <w:sz w:val="2"/>
                <w:szCs w:val="2"/>
                <w:color w:val="auto"/>
              </w:rPr>
            </w:pPr>
          </w:p>
        </w:tc>
        <w:tc>
          <w:tcPr>
            <w:tcW w:w="10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24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120" w:type="dxa"/>
            <w:vAlign w:val="bottom"/>
            <w:tcBorders>
              <w:bottom w:val="single" w:sz="8" w:color="0071CE"/>
            </w:tcBorders>
          </w:tcPr>
          <w:p>
            <w:pPr>
              <w:spacing w:after="0"/>
              <w:rPr>
                <w:sz w:val="2"/>
                <w:szCs w:val="2"/>
                <w:color w:val="auto"/>
              </w:rPr>
            </w:pPr>
          </w:p>
        </w:tc>
        <w:tc>
          <w:tcPr>
            <w:tcW w:w="20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76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9"/>
              </w:rPr>
              <w:t>The Board of Directors</w:t>
            </w:r>
          </w:p>
        </w:tc>
        <w:tc>
          <w:tcPr>
            <w:tcW w:w="7820" w:type="dxa"/>
            <w:vAlign w:val="bottom"/>
            <w:gridSpan w:val="34"/>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12</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Board Composition and Refreshment</w:t>
            </w:r>
          </w:p>
        </w:tc>
        <w:tc>
          <w:tcPr>
            <w:tcW w:w="6780" w:type="dxa"/>
            <w:vAlign w:val="bottom"/>
            <w:gridSpan w:val="27"/>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12</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gridSpan w:val="40"/>
          </w:tcPr>
          <w:p>
            <w:pPr>
              <w:spacing w:after="0"/>
              <w:rPr>
                <w:sz w:val="20"/>
                <w:szCs w:val="20"/>
                <w:color w:val="auto"/>
              </w:rPr>
            </w:pPr>
            <w:r>
              <w:rPr>
                <w:rFonts w:ascii="Arial" w:cs="Arial" w:eastAsia="Arial" w:hAnsi="Arial"/>
                <w:sz w:val="16"/>
                <w:szCs w:val="16"/>
                <w:color w:val="0000EE"/>
              </w:rPr>
              <w:t>Board of Director Qualifications, Expertise, and Attributes</w:t>
            </w:r>
          </w:p>
        </w:tc>
        <w:tc>
          <w:tcPr>
            <w:tcW w:w="1240" w:type="dxa"/>
            <w:vAlign w:val="bottom"/>
          </w:tcPr>
          <w:p>
            <w:pPr>
              <w:jc w:val="right"/>
              <w:spacing w:after="0"/>
              <w:rPr>
                <w:sz w:val="20"/>
                <w:szCs w:val="20"/>
                <w:color w:val="auto"/>
              </w:rPr>
            </w:pPr>
            <w:r>
              <w:rPr>
                <w:rFonts w:ascii="Arial" w:cs="Arial" w:eastAsia="Arial" w:hAnsi="Arial"/>
                <w:sz w:val="16"/>
                <w:szCs w:val="16"/>
                <w:color w:val="044E7C"/>
              </w:rPr>
              <w:t>19</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Borders>
              <w:top w:val="single" w:sz="8" w:color="0000EE"/>
              <w:bottom w:val="single" w:sz="8" w:color="0000FF"/>
            </w:tcBorders>
            <w:gridSpan w:val="9"/>
          </w:tcPr>
          <w:p>
            <w:pPr>
              <w:spacing w:after="0"/>
              <w:rPr>
                <w:sz w:val="20"/>
                <w:szCs w:val="20"/>
                <w:color w:val="auto"/>
              </w:rPr>
            </w:pPr>
            <w:r>
              <w:rPr>
                <w:rFonts w:ascii="Arial" w:cs="Arial" w:eastAsia="Arial" w:hAnsi="Arial"/>
                <w:sz w:val="16"/>
                <w:szCs w:val="16"/>
                <w:color w:val="0000FF"/>
              </w:rPr>
              <w:t>Director Capability Definitions</w:t>
            </w:r>
          </w:p>
        </w:tc>
        <w:tc>
          <w:tcPr>
            <w:tcW w:w="1960" w:type="dxa"/>
            <w:vAlign w:val="bottom"/>
            <w:tcBorders>
              <w:top w:val="single" w:sz="8" w:color="0000EE"/>
            </w:tcBorders>
            <w:gridSpan w:val="17"/>
          </w:tcPr>
          <w:p>
            <w:pPr>
              <w:spacing w:after="0"/>
              <w:rPr>
                <w:sz w:val="19"/>
                <w:szCs w:val="19"/>
                <w:color w:val="auto"/>
              </w:rPr>
            </w:pPr>
          </w:p>
        </w:tc>
        <w:tc>
          <w:tcPr>
            <w:tcW w:w="5360" w:type="dxa"/>
            <w:vAlign w:val="bottom"/>
            <w:gridSpan w:val="14"/>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19</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Director Capability Matrix</w:t>
            </w:r>
          </w:p>
        </w:tc>
        <w:tc>
          <w:tcPr>
            <w:tcW w:w="7640" w:type="dxa"/>
            <w:vAlign w:val="bottom"/>
            <w:gridSpan w:val="32"/>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20</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gridSpan w:val="40"/>
          </w:tcPr>
          <w:p>
            <w:pPr>
              <w:spacing w:after="0"/>
              <w:rPr>
                <w:sz w:val="20"/>
                <w:szCs w:val="20"/>
                <w:color w:val="auto"/>
              </w:rPr>
            </w:pPr>
            <w:r>
              <w:rPr>
                <w:rFonts w:ascii="Arial" w:cs="Arial" w:eastAsia="Arial" w:hAnsi="Arial"/>
                <w:sz w:val="16"/>
                <w:szCs w:val="16"/>
                <w:color w:val="0000FF"/>
              </w:rPr>
              <w:t>Director Independence</w:t>
            </w:r>
          </w:p>
        </w:tc>
        <w:tc>
          <w:tcPr>
            <w:tcW w:w="1240" w:type="dxa"/>
            <w:vAlign w:val="bottom"/>
          </w:tcPr>
          <w:p>
            <w:pPr>
              <w:jc w:val="right"/>
              <w:spacing w:after="0"/>
              <w:rPr>
                <w:sz w:val="20"/>
                <w:szCs w:val="20"/>
                <w:color w:val="auto"/>
              </w:rPr>
            </w:pPr>
            <w:r>
              <w:rPr>
                <w:rFonts w:ascii="Arial" w:cs="Arial" w:eastAsia="Arial" w:hAnsi="Arial"/>
                <w:sz w:val="16"/>
                <w:szCs w:val="16"/>
                <w:color w:val="044E7C"/>
              </w:rPr>
              <w:t>20</w:t>
            </w:r>
          </w:p>
        </w:tc>
        <w:tc>
          <w:tcPr>
            <w:tcW w:w="3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Leadership Structure of the Board</w:t>
            </w:r>
          </w:p>
        </w:tc>
        <w:tc>
          <w:tcPr>
            <w:tcW w:w="7020" w:type="dxa"/>
            <w:vAlign w:val="bottom"/>
            <w:gridSpan w:val="29"/>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20</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gridSpan w:val="40"/>
          </w:tcPr>
          <w:p>
            <w:pPr>
              <w:spacing w:after="0"/>
              <w:rPr>
                <w:sz w:val="20"/>
                <w:szCs w:val="20"/>
                <w:color w:val="auto"/>
              </w:rPr>
            </w:pPr>
            <w:r>
              <w:rPr>
                <w:rFonts w:ascii="Arial" w:cs="Arial" w:eastAsia="Arial" w:hAnsi="Arial"/>
                <w:sz w:val="16"/>
                <w:szCs w:val="16"/>
                <w:color w:val="0000FF"/>
              </w:rPr>
              <w:t>Board’s Role in the Oversight of Risk Management</w:t>
            </w:r>
          </w:p>
        </w:tc>
        <w:tc>
          <w:tcPr>
            <w:tcW w:w="1240" w:type="dxa"/>
            <w:vAlign w:val="bottom"/>
          </w:tcPr>
          <w:p>
            <w:pPr>
              <w:jc w:val="right"/>
              <w:spacing w:after="0"/>
              <w:rPr>
                <w:sz w:val="20"/>
                <w:szCs w:val="20"/>
                <w:color w:val="auto"/>
              </w:rPr>
            </w:pPr>
            <w:r>
              <w:rPr>
                <w:rFonts w:ascii="Arial" w:cs="Arial" w:eastAsia="Arial" w:hAnsi="Arial"/>
                <w:sz w:val="16"/>
                <w:szCs w:val="16"/>
                <w:color w:val="044E7C"/>
              </w:rPr>
              <w:t>20</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tcBorders>
              <w:top w:val="single" w:sz="8" w:color="0000FF"/>
            </w:tcBorders>
            <w:gridSpan w:val="20"/>
          </w:tcPr>
          <w:p>
            <w:pPr>
              <w:spacing w:after="0"/>
              <w:rPr>
                <w:sz w:val="20"/>
                <w:szCs w:val="20"/>
                <w:color w:val="auto"/>
              </w:rPr>
            </w:pPr>
            <w:r>
              <w:rPr>
                <w:rFonts w:ascii="Arial" w:cs="Arial" w:eastAsia="Arial" w:hAnsi="Arial"/>
                <w:sz w:val="16"/>
                <w:szCs w:val="16"/>
                <w:color w:val="0000EE"/>
              </w:rPr>
              <w:t>Board’s Consideration of Diversity</w:t>
            </w:r>
          </w:p>
        </w:tc>
        <w:tc>
          <w:tcPr>
            <w:tcW w:w="5820" w:type="dxa"/>
            <w:vAlign w:val="bottom"/>
            <w:gridSpan w:val="20"/>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20</w:t>
            </w:r>
          </w:p>
        </w:tc>
        <w:tc>
          <w:tcPr>
            <w:tcW w:w="3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00" w:type="dxa"/>
            <w:vAlign w:val="bottom"/>
            <w:tcBorders>
              <w:bottom w:val="single" w:sz="8" w:color="0000EE"/>
            </w:tcBorders>
            <w:gridSpan w:val="29"/>
          </w:tcPr>
          <w:p>
            <w:pPr>
              <w:spacing w:after="0"/>
              <w:rPr>
                <w:sz w:val="20"/>
                <w:szCs w:val="20"/>
                <w:color w:val="auto"/>
              </w:rPr>
            </w:pPr>
            <w:r>
              <w:rPr>
                <w:rFonts w:ascii="Arial" w:cs="Arial" w:eastAsia="Arial" w:hAnsi="Arial"/>
                <w:sz w:val="16"/>
                <w:szCs w:val="16"/>
                <w:color w:val="0000EE"/>
              </w:rPr>
              <w:t>Board’s Disclosure of Third-Party Director and Nominee Compensation</w:t>
            </w:r>
          </w:p>
        </w:tc>
        <w:tc>
          <w:tcPr>
            <w:tcW w:w="4360" w:type="dxa"/>
            <w:vAlign w:val="bottom"/>
            <w:gridSpan w:val="11"/>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21</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gridSpan w:val="40"/>
          </w:tcPr>
          <w:p>
            <w:pPr>
              <w:spacing w:after="0"/>
              <w:rPr>
                <w:sz w:val="20"/>
                <w:szCs w:val="20"/>
                <w:color w:val="auto"/>
              </w:rPr>
            </w:pPr>
            <w:r>
              <w:rPr>
                <w:rFonts w:ascii="Arial" w:cs="Arial" w:eastAsia="Arial" w:hAnsi="Arial"/>
                <w:sz w:val="16"/>
                <w:szCs w:val="16"/>
                <w:color w:val="0000FF"/>
              </w:rPr>
              <w:t>Management Succession Planning</w:t>
            </w:r>
          </w:p>
        </w:tc>
        <w:tc>
          <w:tcPr>
            <w:tcW w:w="1240" w:type="dxa"/>
            <w:vAlign w:val="bottom"/>
          </w:tcPr>
          <w:p>
            <w:pPr>
              <w:jc w:val="right"/>
              <w:spacing w:after="0"/>
              <w:rPr>
                <w:sz w:val="20"/>
                <w:szCs w:val="20"/>
                <w:color w:val="auto"/>
              </w:rPr>
            </w:pPr>
            <w:r>
              <w:rPr>
                <w:rFonts w:ascii="Arial" w:cs="Arial" w:eastAsia="Arial" w:hAnsi="Arial"/>
                <w:sz w:val="16"/>
                <w:szCs w:val="16"/>
                <w:color w:val="044E7C"/>
              </w:rPr>
              <w:t>21</w:t>
            </w:r>
          </w:p>
        </w:tc>
        <w:tc>
          <w:tcPr>
            <w:tcW w:w="3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0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rPr>
              <w:t>Committees of the Board of Directors and Meetings</w:t>
            </w:r>
          </w:p>
        </w:tc>
        <w:tc>
          <w:tcPr>
            <w:tcW w:w="5760" w:type="dxa"/>
            <w:vAlign w:val="bottom"/>
            <w:gridSpan w:val="19"/>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21</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gridSpan w:val="40"/>
          </w:tcPr>
          <w:p>
            <w:pPr>
              <w:spacing w:after="0"/>
              <w:rPr>
                <w:sz w:val="20"/>
                <w:szCs w:val="20"/>
                <w:color w:val="auto"/>
              </w:rPr>
            </w:pPr>
            <w:r>
              <w:rPr>
                <w:rFonts w:ascii="Arial" w:cs="Arial" w:eastAsia="Arial" w:hAnsi="Arial"/>
                <w:sz w:val="16"/>
                <w:szCs w:val="16"/>
                <w:color w:val="0000EE"/>
              </w:rPr>
              <w:t>Stockholder Communications to the Board</w:t>
            </w:r>
          </w:p>
        </w:tc>
        <w:tc>
          <w:tcPr>
            <w:tcW w:w="1240" w:type="dxa"/>
            <w:vAlign w:val="bottom"/>
          </w:tcPr>
          <w:p>
            <w:pPr>
              <w:jc w:val="right"/>
              <w:spacing w:after="0"/>
              <w:rPr>
                <w:sz w:val="20"/>
                <w:szCs w:val="20"/>
                <w:color w:val="auto"/>
              </w:rPr>
            </w:pPr>
            <w:r>
              <w:rPr>
                <w:rFonts w:ascii="Arial" w:cs="Arial" w:eastAsia="Arial" w:hAnsi="Arial"/>
                <w:sz w:val="16"/>
                <w:szCs w:val="16"/>
                <w:color w:val="044E7C"/>
              </w:rPr>
              <w:t>24</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tcBorders>
              <w:top w:val="single" w:sz="8" w:color="0000EE"/>
            </w:tcBorders>
            <w:gridSpan w:val="16"/>
          </w:tcPr>
          <w:p>
            <w:pPr>
              <w:spacing w:after="0"/>
              <w:rPr>
                <w:sz w:val="20"/>
                <w:szCs w:val="20"/>
                <w:color w:val="auto"/>
              </w:rPr>
            </w:pPr>
            <w:r>
              <w:rPr>
                <w:rFonts w:ascii="Arial" w:cs="Arial" w:eastAsia="Arial" w:hAnsi="Arial"/>
                <w:sz w:val="16"/>
                <w:szCs w:val="16"/>
                <w:color w:val="0000EE"/>
              </w:rPr>
              <w:t>Executive Officers</w:t>
            </w:r>
          </w:p>
        </w:tc>
        <w:tc>
          <w:tcPr>
            <w:tcW w:w="6420" w:type="dxa"/>
            <w:vAlign w:val="bottom"/>
            <w:gridSpan w:val="24"/>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25</w:t>
            </w:r>
          </w:p>
        </w:tc>
        <w:tc>
          <w:tcPr>
            <w:tcW w:w="360" w:type="dxa"/>
            <w:vAlign w:val="bottom"/>
          </w:tcPr>
          <w:p>
            <w:pPr>
              <w:spacing w:after="0"/>
              <w:rPr>
                <w:sz w:val="19"/>
                <w:szCs w:val="19"/>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10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32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32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22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18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00" w:type="dxa"/>
            <w:vAlign w:val="bottom"/>
            <w:tcBorders>
              <w:bottom w:val="single" w:sz="8" w:color="0071CE"/>
            </w:tcBorders>
          </w:tcPr>
          <w:p>
            <w:pPr>
              <w:spacing w:after="0"/>
              <w:rPr>
                <w:sz w:val="2"/>
                <w:szCs w:val="2"/>
                <w:color w:val="auto"/>
              </w:rPr>
            </w:pPr>
          </w:p>
        </w:tc>
        <w:tc>
          <w:tcPr>
            <w:tcW w:w="10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120" w:type="dxa"/>
            <w:vAlign w:val="bottom"/>
            <w:tcBorders>
              <w:bottom w:val="single" w:sz="8" w:color="0071CE"/>
            </w:tcBorders>
          </w:tcPr>
          <w:p>
            <w:pPr>
              <w:spacing w:after="0"/>
              <w:rPr>
                <w:sz w:val="2"/>
                <w:szCs w:val="2"/>
                <w:color w:val="auto"/>
              </w:rPr>
            </w:pPr>
          </w:p>
        </w:tc>
        <w:tc>
          <w:tcPr>
            <w:tcW w:w="20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76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FF"/>
              </w:rPr>
              <w:t>SUSTAINABILITY AND CORPORATE RESPONSIBILITY</w:t>
            </w: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003595"/>
              </w:rPr>
              <w:t>28</w:t>
            </w:r>
          </w:p>
        </w:tc>
        <w:tc>
          <w:tcPr>
            <w:tcW w:w="360" w:type="dxa"/>
            <w:vAlign w:val="bottom"/>
          </w:tcPr>
          <w:p>
            <w:pPr>
              <w:spacing w:after="0"/>
              <w:rPr>
                <w:sz w:val="15"/>
                <w:szCs w:val="15"/>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10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80" w:type="dxa"/>
            <w:vAlign w:val="bottom"/>
            <w:tcBorders>
              <w:top w:val="single" w:sz="8" w:color="0000FF"/>
              <w:bottom w:val="single" w:sz="8" w:color="0071CE"/>
            </w:tcBorders>
          </w:tcPr>
          <w:p>
            <w:pPr>
              <w:spacing w:after="0"/>
              <w:rPr>
                <w:sz w:val="2"/>
                <w:szCs w:val="2"/>
                <w:color w:val="auto"/>
              </w:rPr>
            </w:pPr>
          </w:p>
        </w:tc>
        <w:tc>
          <w:tcPr>
            <w:tcW w:w="22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18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4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0" w:type="dxa"/>
            <w:vAlign w:val="bottom"/>
            <w:tcBorders>
              <w:top w:val="single" w:sz="8" w:color="0000FF"/>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76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FF"/>
              </w:rPr>
              <w:t>EXECUTIVE AND DIRECTOR COMPENSATION</w:t>
            </w: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003595"/>
              </w:rPr>
              <w:t>30</w:t>
            </w:r>
          </w:p>
        </w:tc>
        <w:tc>
          <w:tcPr>
            <w:tcW w:w="360" w:type="dxa"/>
            <w:vAlign w:val="bottom"/>
          </w:tcPr>
          <w:p>
            <w:pPr>
              <w:spacing w:after="0"/>
              <w:rPr>
                <w:sz w:val="15"/>
                <w:szCs w:val="15"/>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10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80" w:type="dxa"/>
            <w:vAlign w:val="bottom"/>
            <w:tcBorders>
              <w:top w:val="single" w:sz="8" w:color="0000FF"/>
              <w:bottom w:val="single" w:sz="8" w:color="0071CE"/>
            </w:tcBorders>
          </w:tcPr>
          <w:p>
            <w:pPr>
              <w:spacing w:after="0"/>
              <w:rPr>
                <w:sz w:val="2"/>
                <w:szCs w:val="2"/>
                <w:color w:val="auto"/>
              </w:rPr>
            </w:pPr>
          </w:p>
        </w:tc>
        <w:tc>
          <w:tcPr>
            <w:tcW w:w="22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18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120" w:type="dxa"/>
            <w:vAlign w:val="bottom"/>
            <w:tcBorders>
              <w:bottom w:val="single" w:sz="8" w:color="0071CE"/>
            </w:tcBorders>
          </w:tcPr>
          <w:p>
            <w:pPr>
              <w:spacing w:after="0"/>
              <w:rPr>
                <w:sz w:val="2"/>
                <w:szCs w:val="2"/>
                <w:color w:val="auto"/>
              </w:rPr>
            </w:pPr>
          </w:p>
        </w:tc>
        <w:tc>
          <w:tcPr>
            <w:tcW w:w="20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76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60" w:type="dxa"/>
            <w:vAlign w:val="bottom"/>
            <w:gridSpan w:val="40"/>
          </w:tcPr>
          <w:p>
            <w:pPr>
              <w:spacing w:after="0" w:line="183" w:lineRule="exact"/>
              <w:rPr>
                <w:sz w:val="20"/>
                <w:szCs w:val="20"/>
                <w:color w:val="auto"/>
              </w:rPr>
            </w:pPr>
            <w:r>
              <w:rPr>
                <w:rFonts w:ascii="Arial" w:cs="Arial" w:eastAsia="Arial" w:hAnsi="Arial"/>
                <w:sz w:val="16"/>
                <w:szCs w:val="16"/>
                <w:color w:val="0000FF"/>
              </w:rPr>
              <w:t>Compensation Discussion and Analysis</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044E7C"/>
              </w:rPr>
              <w:t>30</w:t>
            </w:r>
          </w:p>
        </w:tc>
        <w:tc>
          <w:tcPr>
            <w:tcW w:w="3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gridSpan w:val="40"/>
          </w:tcPr>
          <w:p>
            <w:pPr>
              <w:spacing w:after="0"/>
              <w:rPr>
                <w:sz w:val="20"/>
                <w:szCs w:val="20"/>
                <w:color w:val="auto"/>
              </w:rPr>
            </w:pPr>
            <w:r>
              <w:rPr>
                <w:rFonts w:ascii="Arial" w:cs="Arial" w:eastAsia="Arial" w:hAnsi="Arial"/>
                <w:sz w:val="16"/>
                <w:szCs w:val="16"/>
                <w:color w:val="0000FF"/>
              </w:rPr>
              <w:t>Compensation and Human Capital Committee Report</w:t>
            </w:r>
          </w:p>
        </w:tc>
        <w:tc>
          <w:tcPr>
            <w:tcW w:w="1240" w:type="dxa"/>
            <w:vAlign w:val="bottom"/>
          </w:tcPr>
          <w:p>
            <w:pPr>
              <w:jc w:val="right"/>
              <w:spacing w:after="0"/>
              <w:rPr>
                <w:sz w:val="20"/>
                <w:szCs w:val="20"/>
                <w:color w:val="auto"/>
              </w:rPr>
            </w:pPr>
            <w:r>
              <w:rPr>
                <w:rFonts w:ascii="Arial" w:cs="Arial" w:eastAsia="Arial" w:hAnsi="Arial"/>
                <w:sz w:val="16"/>
                <w:szCs w:val="16"/>
                <w:color w:val="044E7C"/>
              </w:rPr>
              <w:t>49</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40" w:type="dxa"/>
            <w:vAlign w:val="bottom"/>
            <w:tcBorders>
              <w:top w:val="single" w:sz="8" w:color="0000FF"/>
            </w:tcBorders>
            <w:gridSpan w:val="23"/>
          </w:tcPr>
          <w:p>
            <w:pPr>
              <w:spacing w:after="0"/>
              <w:rPr>
                <w:sz w:val="20"/>
                <w:szCs w:val="20"/>
                <w:color w:val="auto"/>
              </w:rPr>
            </w:pPr>
            <w:r>
              <w:rPr>
                <w:rFonts w:ascii="Arial" w:cs="Arial" w:eastAsia="Arial" w:hAnsi="Arial"/>
                <w:sz w:val="16"/>
                <w:szCs w:val="16"/>
                <w:color w:val="0000EE"/>
              </w:rPr>
              <w:t>Summary Compensation Table</w:t>
            </w:r>
          </w:p>
        </w:tc>
        <w:tc>
          <w:tcPr>
            <w:tcW w:w="5620" w:type="dxa"/>
            <w:vAlign w:val="bottom"/>
            <w:gridSpan w:val="17"/>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50</w:t>
            </w:r>
          </w:p>
        </w:tc>
        <w:tc>
          <w:tcPr>
            <w:tcW w:w="3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gridSpan w:val="40"/>
          </w:tcPr>
          <w:p>
            <w:pPr>
              <w:spacing w:after="0"/>
              <w:rPr>
                <w:sz w:val="20"/>
                <w:szCs w:val="20"/>
                <w:color w:val="auto"/>
              </w:rPr>
            </w:pPr>
            <w:r>
              <w:rPr>
                <w:rFonts w:ascii="Arial" w:cs="Arial" w:eastAsia="Arial" w:hAnsi="Arial"/>
                <w:sz w:val="16"/>
                <w:szCs w:val="16"/>
                <w:color w:val="0000FF"/>
              </w:rPr>
              <w:t>2025 Grants of Plan-Based Awards</w:t>
            </w:r>
          </w:p>
        </w:tc>
        <w:tc>
          <w:tcPr>
            <w:tcW w:w="1240" w:type="dxa"/>
            <w:vAlign w:val="bottom"/>
          </w:tcPr>
          <w:p>
            <w:pPr>
              <w:jc w:val="right"/>
              <w:spacing w:after="0"/>
              <w:rPr>
                <w:sz w:val="20"/>
                <w:szCs w:val="20"/>
                <w:color w:val="auto"/>
              </w:rPr>
            </w:pPr>
            <w:r>
              <w:rPr>
                <w:rFonts w:ascii="Arial" w:cs="Arial" w:eastAsia="Arial" w:hAnsi="Arial"/>
                <w:sz w:val="16"/>
                <w:szCs w:val="16"/>
                <w:color w:val="044E7C"/>
              </w:rPr>
              <w:t>51</w:t>
            </w:r>
          </w:p>
        </w:tc>
        <w:tc>
          <w:tcPr>
            <w:tcW w:w="3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40" w:type="dxa"/>
            <w:vAlign w:val="bottom"/>
            <w:tcBorders>
              <w:bottom w:val="single" w:sz="8" w:color="0000FF"/>
            </w:tcBorders>
            <w:gridSpan w:val="36"/>
          </w:tcPr>
          <w:p>
            <w:pPr>
              <w:spacing w:after="0"/>
              <w:rPr>
                <w:sz w:val="20"/>
                <w:szCs w:val="20"/>
                <w:color w:val="auto"/>
              </w:rPr>
            </w:pPr>
            <w:r>
              <w:rPr>
                <w:rFonts w:ascii="Arial" w:cs="Arial" w:eastAsia="Arial" w:hAnsi="Arial"/>
                <w:sz w:val="16"/>
                <w:szCs w:val="16"/>
                <w:color w:val="0000FF"/>
              </w:rPr>
              <w:t>Narrative Disclosure to Summary Compensation Table and 2025 Grants of Plan-Based Awards Table</w:t>
            </w:r>
          </w:p>
        </w:tc>
        <w:tc>
          <w:tcPr>
            <w:tcW w:w="2220" w:type="dxa"/>
            <w:vAlign w:val="bottom"/>
            <w:gridSpan w:val="4"/>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52</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gridSpan w:val="40"/>
          </w:tcPr>
          <w:p>
            <w:pPr>
              <w:spacing w:after="0"/>
              <w:rPr>
                <w:sz w:val="20"/>
                <w:szCs w:val="20"/>
                <w:color w:val="auto"/>
              </w:rPr>
            </w:pPr>
            <w:r>
              <w:rPr>
                <w:rFonts w:ascii="Arial" w:cs="Arial" w:eastAsia="Arial" w:hAnsi="Arial"/>
                <w:sz w:val="16"/>
                <w:szCs w:val="16"/>
                <w:color w:val="0000FF"/>
              </w:rPr>
              <w:t>Outstanding Equity Awards at 2025 Year End</w:t>
            </w:r>
          </w:p>
        </w:tc>
        <w:tc>
          <w:tcPr>
            <w:tcW w:w="1240" w:type="dxa"/>
            <w:vAlign w:val="bottom"/>
          </w:tcPr>
          <w:p>
            <w:pPr>
              <w:jc w:val="right"/>
              <w:spacing w:after="0"/>
              <w:rPr>
                <w:sz w:val="20"/>
                <w:szCs w:val="20"/>
                <w:color w:val="auto"/>
              </w:rPr>
            </w:pPr>
            <w:r>
              <w:rPr>
                <w:rFonts w:ascii="Arial" w:cs="Arial" w:eastAsia="Arial" w:hAnsi="Arial"/>
                <w:sz w:val="16"/>
                <w:szCs w:val="16"/>
                <w:color w:val="044E7C"/>
              </w:rPr>
              <w:t>54</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4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0000FF"/>
              </w:rPr>
              <w:t>2025 Option Exercises and Stock Vested</w:t>
            </w:r>
          </w:p>
        </w:tc>
        <w:tc>
          <w:tcPr>
            <w:tcW w:w="6220" w:type="dxa"/>
            <w:vAlign w:val="bottom"/>
            <w:gridSpan w:val="22"/>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56</w:t>
            </w:r>
          </w:p>
        </w:tc>
        <w:tc>
          <w:tcPr>
            <w:tcW w:w="3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gridSpan w:val="40"/>
          </w:tcPr>
          <w:p>
            <w:pPr>
              <w:spacing w:after="0"/>
              <w:rPr>
                <w:sz w:val="20"/>
                <w:szCs w:val="20"/>
                <w:color w:val="auto"/>
              </w:rPr>
            </w:pPr>
            <w:r>
              <w:rPr>
                <w:rFonts w:ascii="Arial" w:cs="Arial" w:eastAsia="Arial" w:hAnsi="Arial"/>
                <w:sz w:val="16"/>
                <w:szCs w:val="16"/>
                <w:color w:val="0000FF"/>
              </w:rPr>
              <w:t>Potential Payments Upon Termination or Change of Control</w:t>
            </w:r>
          </w:p>
        </w:tc>
        <w:tc>
          <w:tcPr>
            <w:tcW w:w="1240" w:type="dxa"/>
            <w:vAlign w:val="bottom"/>
          </w:tcPr>
          <w:p>
            <w:pPr>
              <w:jc w:val="right"/>
              <w:spacing w:after="0"/>
              <w:rPr>
                <w:sz w:val="20"/>
                <w:szCs w:val="20"/>
                <w:color w:val="auto"/>
              </w:rPr>
            </w:pPr>
            <w:r>
              <w:rPr>
                <w:rFonts w:ascii="Arial" w:cs="Arial" w:eastAsia="Arial" w:hAnsi="Arial"/>
                <w:sz w:val="16"/>
                <w:szCs w:val="16"/>
                <w:color w:val="044E7C"/>
              </w:rPr>
              <w:t>56</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60" w:type="dxa"/>
            <w:vAlign w:val="bottom"/>
            <w:tcBorders>
              <w:top w:val="single" w:sz="8" w:color="0000FF"/>
            </w:tcBorders>
            <w:gridSpan w:val="27"/>
          </w:tcPr>
          <w:p>
            <w:pPr>
              <w:spacing w:after="0"/>
              <w:rPr>
                <w:sz w:val="20"/>
                <w:szCs w:val="20"/>
                <w:color w:val="auto"/>
              </w:rPr>
            </w:pPr>
            <w:r>
              <w:rPr>
                <w:rFonts w:ascii="Arial" w:cs="Arial" w:eastAsia="Arial" w:hAnsi="Arial"/>
                <w:sz w:val="16"/>
                <w:szCs w:val="16"/>
                <w:color w:val="0000FF"/>
              </w:rPr>
              <w:t>CEO Pay Ratio</w:t>
            </w:r>
          </w:p>
        </w:tc>
        <w:tc>
          <w:tcPr>
            <w:tcW w:w="5200" w:type="dxa"/>
            <w:vAlign w:val="bottom"/>
            <w:gridSpan w:val="13"/>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58</w:t>
            </w:r>
          </w:p>
        </w:tc>
        <w:tc>
          <w:tcPr>
            <w:tcW w:w="3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Pay Versus Performance</w:t>
            </w:r>
          </w:p>
        </w:tc>
        <w:tc>
          <w:tcPr>
            <w:tcW w:w="7660" w:type="dxa"/>
            <w:vAlign w:val="bottom"/>
            <w:gridSpan w:val="33"/>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59</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gridSpan w:val="40"/>
          </w:tcPr>
          <w:p>
            <w:pPr>
              <w:spacing w:after="0"/>
              <w:rPr>
                <w:sz w:val="20"/>
                <w:szCs w:val="20"/>
                <w:color w:val="auto"/>
              </w:rPr>
            </w:pPr>
            <w:r>
              <w:rPr>
                <w:rFonts w:ascii="Arial" w:cs="Arial" w:eastAsia="Arial" w:hAnsi="Arial"/>
                <w:sz w:val="16"/>
                <w:szCs w:val="16"/>
                <w:color w:val="0000EE"/>
              </w:rPr>
              <w:t>Director Compensation</w:t>
            </w:r>
          </w:p>
        </w:tc>
        <w:tc>
          <w:tcPr>
            <w:tcW w:w="1240" w:type="dxa"/>
            <w:vAlign w:val="bottom"/>
          </w:tcPr>
          <w:p>
            <w:pPr>
              <w:jc w:val="right"/>
              <w:spacing w:after="0"/>
              <w:rPr>
                <w:sz w:val="20"/>
                <w:szCs w:val="20"/>
                <w:color w:val="auto"/>
              </w:rPr>
            </w:pPr>
            <w:r>
              <w:rPr>
                <w:rFonts w:ascii="Arial" w:cs="Arial" w:eastAsia="Arial" w:hAnsi="Arial"/>
                <w:sz w:val="16"/>
                <w:szCs w:val="16"/>
                <w:color w:val="044E7C"/>
              </w:rPr>
              <w:t>61</w:t>
            </w:r>
          </w:p>
        </w:tc>
        <w:tc>
          <w:tcPr>
            <w:tcW w:w="3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860" w:type="dxa"/>
            <w:vAlign w:val="bottom"/>
            <w:tcBorders>
              <w:left w:val="single" w:sz="8" w:color="0000EE"/>
            </w:tcBorders>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Equity Compensation Plan Information</w:t>
            </w:r>
          </w:p>
        </w:tc>
        <w:tc>
          <w:tcPr>
            <w:tcW w:w="6620" w:type="dxa"/>
            <w:vAlign w:val="bottom"/>
            <w:gridSpan w:val="26"/>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44E7C"/>
              </w:rPr>
              <w:t>63</w:t>
            </w:r>
          </w:p>
        </w:tc>
        <w:tc>
          <w:tcPr>
            <w:tcW w:w="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gridSpan w:val="40"/>
          </w:tcPr>
          <w:p>
            <w:pPr>
              <w:spacing w:after="0"/>
              <w:rPr>
                <w:sz w:val="20"/>
                <w:szCs w:val="20"/>
                <w:color w:val="auto"/>
              </w:rPr>
            </w:pPr>
            <w:r>
              <w:rPr>
                <w:rFonts w:ascii="Arial" w:cs="Arial" w:eastAsia="Arial" w:hAnsi="Arial"/>
                <w:sz w:val="16"/>
                <w:szCs w:val="16"/>
                <w:color w:val="0000FF"/>
              </w:rPr>
              <w:t>Additional Information</w:t>
            </w:r>
          </w:p>
        </w:tc>
        <w:tc>
          <w:tcPr>
            <w:tcW w:w="1240" w:type="dxa"/>
            <w:vAlign w:val="bottom"/>
          </w:tcPr>
          <w:p>
            <w:pPr>
              <w:jc w:val="right"/>
              <w:spacing w:after="0"/>
              <w:rPr>
                <w:sz w:val="20"/>
                <w:szCs w:val="20"/>
                <w:color w:val="auto"/>
              </w:rPr>
            </w:pPr>
            <w:r>
              <w:rPr>
                <w:rFonts w:ascii="Arial" w:cs="Arial" w:eastAsia="Arial" w:hAnsi="Arial"/>
                <w:sz w:val="16"/>
                <w:szCs w:val="16"/>
                <w:color w:val="044E7C"/>
              </w:rPr>
              <w:t>63</w:t>
            </w:r>
          </w:p>
        </w:tc>
        <w:tc>
          <w:tcPr>
            <w:tcW w:w="360" w:type="dxa"/>
            <w:vAlign w:val="bottom"/>
          </w:tcPr>
          <w:p>
            <w:pPr>
              <w:spacing w:after="0"/>
              <w:rPr>
                <w:sz w:val="19"/>
                <w:szCs w:val="19"/>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10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32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22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18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00" w:type="dxa"/>
            <w:vAlign w:val="bottom"/>
            <w:tcBorders>
              <w:bottom w:val="single" w:sz="8" w:color="0071CE"/>
            </w:tcBorders>
          </w:tcPr>
          <w:p>
            <w:pPr>
              <w:spacing w:after="0"/>
              <w:rPr>
                <w:sz w:val="2"/>
                <w:szCs w:val="2"/>
                <w:color w:val="auto"/>
              </w:rPr>
            </w:pPr>
          </w:p>
        </w:tc>
        <w:tc>
          <w:tcPr>
            <w:tcW w:w="10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120" w:type="dxa"/>
            <w:vAlign w:val="bottom"/>
            <w:tcBorders>
              <w:bottom w:val="single" w:sz="8" w:color="0071CE"/>
            </w:tcBorders>
          </w:tcPr>
          <w:p>
            <w:pPr>
              <w:spacing w:after="0"/>
              <w:rPr>
                <w:sz w:val="2"/>
                <w:szCs w:val="2"/>
                <w:color w:val="auto"/>
              </w:rPr>
            </w:pPr>
          </w:p>
        </w:tc>
        <w:tc>
          <w:tcPr>
            <w:tcW w:w="20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76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EE"/>
              </w:rPr>
              <w:t>SECURITY OWNERSHIP OF CERTAIN BENEFICIAL OWNERS AND MANAGEMENT</w:t>
            </w: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003595"/>
              </w:rPr>
              <w:t>64</w:t>
            </w:r>
          </w:p>
        </w:tc>
        <w:tc>
          <w:tcPr>
            <w:tcW w:w="360" w:type="dxa"/>
            <w:vAlign w:val="bottom"/>
          </w:tcPr>
          <w:p>
            <w:pPr>
              <w:spacing w:after="0"/>
              <w:rPr>
                <w:sz w:val="15"/>
                <w:szCs w:val="15"/>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10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32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320" w:type="dxa"/>
            <w:vAlign w:val="bottom"/>
            <w:tcBorders>
              <w:top w:val="single" w:sz="8" w:color="0000EE"/>
              <w:bottom w:val="single" w:sz="8" w:color="0071CE"/>
            </w:tcBorders>
          </w:tcPr>
          <w:p>
            <w:pPr>
              <w:spacing w:after="0"/>
              <w:rPr>
                <w:sz w:val="2"/>
                <w:szCs w:val="2"/>
                <w:color w:val="auto"/>
              </w:rPr>
            </w:pPr>
          </w:p>
        </w:tc>
        <w:tc>
          <w:tcPr>
            <w:tcW w:w="80" w:type="dxa"/>
            <w:vAlign w:val="bottom"/>
            <w:tcBorders>
              <w:top w:val="single" w:sz="8" w:color="0000EE"/>
              <w:bottom w:val="single" w:sz="8" w:color="0071CE"/>
            </w:tcBorders>
          </w:tcPr>
          <w:p>
            <w:pPr>
              <w:spacing w:after="0"/>
              <w:rPr>
                <w:sz w:val="2"/>
                <w:szCs w:val="2"/>
                <w:color w:val="auto"/>
              </w:rPr>
            </w:pPr>
          </w:p>
        </w:tc>
        <w:tc>
          <w:tcPr>
            <w:tcW w:w="22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18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00" w:type="dxa"/>
            <w:vAlign w:val="bottom"/>
            <w:tcBorders>
              <w:top w:val="single" w:sz="8" w:color="0000EE"/>
              <w:bottom w:val="single" w:sz="8" w:color="0071CE"/>
            </w:tcBorders>
          </w:tcPr>
          <w:p>
            <w:pPr>
              <w:spacing w:after="0"/>
              <w:rPr>
                <w:sz w:val="2"/>
                <w:szCs w:val="2"/>
                <w:color w:val="auto"/>
              </w:rPr>
            </w:pPr>
          </w:p>
        </w:tc>
        <w:tc>
          <w:tcPr>
            <w:tcW w:w="10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24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760" w:type="dxa"/>
            <w:vAlign w:val="bottom"/>
            <w:tcBorders>
              <w:top w:val="single" w:sz="8" w:color="0000EE"/>
              <w:bottom w:val="single" w:sz="8" w:color="0071CE"/>
            </w:tcBorders>
          </w:tcPr>
          <w:p>
            <w:pPr>
              <w:spacing w:after="0"/>
              <w:rPr>
                <w:sz w:val="2"/>
                <w:szCs w:val="2"/>
                <w:color w:val="auto"/>
              </w:rPr>
            </w:pPr>
          </w:p>
        </w:tc>
        <w:tc>
          <w:tcPr>
            <w:tcW w:w="8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380" w:type="dxa"/>
            <w:vAlign w:val="bottom"/>
            <w:tcBorders>
              <w:top w:val="single" w:sz="8" w:color="0000EE"/>
              <w:bottom w:val="single" w:sz="8" w:color="0071CE"/>
            </w:tcBorders>
          </w:tcPr>
          <w:p>
            <w:pPr>
              <w:spacing w:after="0"/>
              <w:rPr>
                <w:sz w:val="2"/>
                <w:szCs w:val="2"/>
                <w:color w:val="auto"/>
              </w:rPr>
            </w:pPr>
          </w:p>
        </w:tc>
        <w:tc>
          <w:tcPr>
            <w:tcW w:w="600" w:type="dxa"/>
            <w:vAlign w:val="bottom"/>
            <w:tcBorders>
              <w:top w:val="single" w:sz="8" w:color="0000EE"/>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9620" w:type="dxa"/>
            <w:vAlign w:val="bottom"/>
            <w:gridSpan w:val="41"/>
          </w:tcPr>
          <w:p>
            <w:pPr>
              <w:spacing w:after="0"/>
              <w:rPr>
                <w:sz w:val="20"/>
                <w:szCs w:val="20"/>
                <w:color w:val="auto"/>
              </w:rPr>
            </w:pPr>
            <w:r>
              <w:rPr>
                <w:rFonts w:ascii="Arial" w:cs="Arial" w:eastAsia="Arial" w:hAnsi="Arial"/>
                <w:sz w:val="16"/>
                <w:szCs w:val="16"/>
                <w:b w:val="1"/>
                <w:bCs w:val="1"/>
                <w:color w:val="0000FF"/>
              </w:rPr>
              <w:t>AUDIT AND FINANCE COMMITTEE REPORT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3595"/>
              </w:rPr>
              <w:t>68</w:t>
            </w:r>
          </w:p>
        </w:tc>
        <w:tc>
          <w:tcPr>
            <w:tcW w:w="360" w:type="dxa"/>
            <w:vAlign w:val="bottom"/>
          </w:tcPr>
          <w:p>
            <w:pPr>
              <w:spacing w:after="0"/>
              <w:rPr>
                <w:sz w:val="19"/>
                <w:szCs w:val="19"/>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10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80" w:type="dxa"/>
            <w:vAlign w:val="bottom"/>
            <w:tcBorders>
              <w:top w:val="single" w:sz="8" w:color="0000FF"/>
              <w:bottom w:val="single" w:sz="8" w:color="0071CE"/>
            </w:tcBorders>
          </w:tcPr>
          <w:p>
            <w:pPr>
              <w:spacing w:after="0"/>
              <w:rPr>
                <w:sz w:val="2"/>
                <w:szCs w:val="2"/>
                <w:color w:val="auto"/>
              </w:rPr>
            </w:pPr>
          </w:p>
        </w:tc>
        <w:tc>
          <w:tcPr>
            <w:tcW w:w="22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18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120" w:type="dxa"/>
            <w:vAlign w:val="bottom"/>
            <w:tcBorders>
              <w:bottom w:val="single" w:sz="8" w:color="0071CE"/>
            </w:tcBorders>
          </w:tcPr>
          <w:p>
            <w:pPr>
              <w:spacing w:after="0"/>
              <w:rPr>
                <w:sz w:val="2"/>
                <w:szCs w:val="2"/>
                <w:color w:val="auto"/>
              </w:rPr>
            </w:pPr>
          </w:p>
        </w:tc>
        <w:tc>
          <w:tcPr>
            <w:tcW w:w="20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76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9620" w:type="dxa"/>
            <w:vAlign w:val="bottom"/>
            <w:gridSpan w:val="41"/>
          </w:tcPr>
          <w:p>
            <w:pPr>
              <w:spacing w:after="0"/>
              <w:rPr>
                <w:sz w:val="20"/>
                <w:szCs w:val="20"/>
                <w:color w:val="auto"/>
              </w:rPr>
            </w:pPr>
            <w:r>
              <w:rPr>
                <w:rFonts w:ascii="Arial" w:cs="Arial" w:eastAsia="Arial" w:hAnsi="Arial"/>
                <w:sz w:val="16"/>
                <w:szCs w:val="16"/>
                <w:b w:val="1"/>
                <w:bCs w:val="1"/>
                <w:color w:val="0000EE"/>
              </w:rPr>
              <w:t>CERTAIN RELATIONSHIPS AND RELATED PERSON TRANSACTIONS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3595"/>
              </w:rPr>
              <w:t>67</w:t>
            </w:r>
          </w:p>
        </w:tc>
        <w:tc>
          <w:tcPr>
            <w:tcW w:w="360" w:type="dxa"/>
            <w:vAlign w:val="bottom"/>
          </w:tcPr>
          <w:p>
            <w:pPr>
              <w:spacing w:after="0"/>
              <w:rPr>
                <w:sz w:val="19"/>
                <w:szCs w:val="19"/>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10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32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320" w:type="dxa"/>
            <w:vAlign w:val="bottom"/>
            <w:tcBorders>
              <w:top w:val="single" w:sz="8" w:color="0000EE"/>
              <w:bottom w:val="single" w:sz="8" w:color="0071CE"/>
            </w:tcBorders>
          </w:tcPr>
          <w:p>
            <w:pPr>
              <w:spacing w:after="0"/>
              <w:rPr>
                <w:sz w:val="2"/>
                <w:szCs w:val="2"/>
                <w:color w:val="auto"/>
              </w:rPr>
            </w:pPr>
          </w:p>
        </w:tc>
        <w:tc>
          <w:tcPr>
            <w:tcW w:w="80" w:type="dxa"/>
            <w:vAlign w:val="bottom"/>
            <w:tcBorders>
              <w:top w:val="single" w:sz="8" w:color="0000EE"/>
              <w:bottom w:val="single" w:sz="8" w:color="0071CE"/>
            </w:tcBorders>
          </w:tcPr>
          <w:p>
            <w:pPr>
              <w:spacing w:after="0"/>
              <w:rPr>
                <w:sz w:val="2"/>
                <w:szCs w:val="2"/>
                <w:color w:val="auto"/>
              </w:rPr>
            </w:pPr>
          </w:p>
        </w:tc>
        <w:tc>
          <w:tcPr>
            <w:tcW w:w="22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18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00" w:type="dxa"/>
            <w:vAlign w:val="bottom"/>
            <w:tcBorders>
              <w:top w:val="single" w:sz="8" w:color="0000EE"/>
              <w:bottom w:val="single" w:sz="8" w:color="0071CE"/>
            </w:tcBorders>
          </w:tcPr>
          <w:p>
            <w:pPr>
              <w:spacing w:after="0"/>
              <w:rPr>
                <w:sz w:val="2"/>
                <w:szCs w:val="2"/>
                <w:color w:val="auto"/>
              </w:rPr>
            </w:pPr>
          </w:p>
        </w:tc>
        <w:tc>
          <w:tcPr>
            <w:tcW w:w="10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24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760" w:type="dxa"/>
            <w:vAlign w:val="bottom"/>
            <w:tcBorders>
              <w:top w:val="single" w:sz="8" w:color="0000EE"/>
              <w:bottom w:val="single" w:sz="8" w:color="0071CE"/>
            </w:tcBorders>
          </w:tcPr>
          <w:p>
            <w:pPr>
              <w:spacing w:after="0"/>
              <w:rPr>
                <w:sz w:val="2"/>
                <w:szCs w:val="2"/>
                <w:color w:val="auto"/>
              </w:rPr>
            </w:pPr>
          </w:p>
        </w:tc>
        <w:tc>
          <w:tcPr>
            <w:tcW w:w="8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9620" w:type="dxa"/>
            <w:vAlign w:val="bottom"/>
            <w:gridSpan w:val="41"/>
          </w:tcPr>
          <w:p>
            <w:pPr>
              <w:spacing w:after="0"/>
              <w:rPr>
                <w:sz w:val="20"/>
                <w:szCs w:val="20"/>
                <w:color w:val="auto"/>
              </w:rPr>
            </w:pPr>
            <w:r>
              <w:rPr>
                <w:rFonts w:ascii="Arial" w:cs="Arial" w:eastAsia="Arial" w:hAnsi="Arial"/>
                <w:sz w:val="16"/>
                <w:szCs w:val="16"/>
                <w:b w:val="1"/>
                <w:bCs w:val="1"/>
                <w:color w:val="0000FF"/>
              </w:rPr>
              <w:t>PROPOSAL 1: ELECTION OF DIRECTORS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3595"/>
              </w:rPr>
              <w:t>68</w:t>
            </w:r>
          </w:p>
        </w:tc>
        <w:tc>
          <w:tcPr>
            <w:tcW w:w="360" w:type="dxa"/>
            <w:vAlign w:val="bottom"/>
          </w:tcPr>
          <w:p>
            <w:pPr>
              <w:spacing w:after="0"/>
              <w:rPr>
                <w:sz w:val="19"/>
                <w:szCs w:val="19"/>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10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80" w:type="dxa"/>
            <w:vAlign w:val="bottom"/>
            <w:tcBorders>
              <w:top w:val="single" w:sz="8" w:color="0000FF"/>
              <w:bottom w:val="single" w:sz="8" w:color="0071CE"/>
            </w:tcBorders>
          </w:tcPr>
          <w:p>
            <w:pPr>
              <w:spacing w:after="0"/>
              <w:rPr>
                <w:sz w:val="2"/>
                <w:szCs w:val="2"/>
                <w:color w:val="auto"/>
              </w:rPr>
            </w:pPr>
          </w:p>
        </w:tc>
        <w:tc>
          <w:tcPr>
            <w:tcW w:w="22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18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120" w:type="dxa"/>
            <w:vAlign w:val="bottom"/>
            <w:tcBorders>
              <w:bottom w:val="single" w:sz="8" w:color="0071CE"/>
            </w:tcBorders>
          </w:tcPr>
          <w:p>
            <w:pPr>
              <w:spacing w:after="0"/>
              <w:rPr>
                <w:sz w:val="2"/>
                <w:szCs w:val="2"/>
                <w:color w:val="auto"/>
              </w:rPr>
            </w:pPr>
          </w:p>
        </w:tc>
        <w:tc>
          <w:tcPr>
            <w:tcW w:w="20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76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9620" w:type="dxa"/>
            <w:vAlign w:val="bottom"/>
            <w:gridSpan w:val="41"/>
          </w:tcPr>
          <w:p>
            <w:pPr>
              <w:spacing w:after="0"/>
              <w:rPr>
                <w:sz w:val="20"/>
                <w:szCs w:val="20"/>
                <w:color w:val="auto"/>
              </w:rPr>
            </w:pPr>
            <w:r>
              <w:rPr>
                <w:rFonts w:ascii="Arial" w:cs="Arial" w:eastAsia="Arial" w:hAnsi="Arial"/>
                <w:sz w:val="16"/>
                <w:szCs w:val="16"/>
                <w:b w:val="1"/>
                <w:bCs w:val="1"/>
                <w:color w:val="0000FF"/>
              </w:rPr>
              <w:t>PROPOSAL 2: SELECTION OF INDEPENDENT REGISTERED PUBLIC ACCOUNTING FIRM</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3595"/>
              </w:rPr>
              <w:t>71</w:t>
            </w:r>
          </w:p>
        </w:tc>
        <w:tc>
          <w:tcPr>
            <w:tcW w:w="3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9"/>
            <w:shd w:val="clear" w:color="auto" w:fill="0000FF"/>
          </w:tcPr>
          <w:p>
            <w:pPr>
              <w:spacing w:after="0" w:line="20" w:lineRule="exact"/>
              <w:rPr>
                <w:sz w:val="1"/>
                <w:szCs w:val="1"/>
                <w:color w:val="auto"/>
              </w:rPr>
            </w:pPr>
          </w:p>
        </w:tc>
        <w:tc>
          <w:tcPr>
            <w:tcW w:w="540" w:type="dxa"/>
            <w:vAlign w:val="bottom"/>
            <w:tcBorders>
              <w:left w:val="single" w:sz="8" w:color="0000FF"/>
            </w:tcBorders>
            <w:gridSpan w:val="4"/>
            <w:shd w:val="clear" w:color="auto" w:fill="0000FF"/>
          </w:tcPr>
          <w:p>
            <w:pPr>
              <w:spacing w:after="0" w:line="20" w:lineRule="exact"/>
              <w:rPr>
                <w:sz w:val="1"/>
                <w:szCs w:val="1"/>
                <w:color w:val="auto"/>
              </w:rPr>
            </w:pPr>
          </w:p>
        </w:tc>
        <w:tc>
          <w:tcPr>
            <w:tcW w:w="1020" w:type="dxa"/>
            <w:vAlign w:val="bottom"/>
            <w:gridSpan w:val="9"/>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60" w:type="dxa"/>
            <w:vAlign w:val="bottom"/>
            <w:tcBorders>
              <w:bottom w:val="single" w:sz="8" w:color="0000EE"/>
            </w:tcBorders>
            <w:gridSpan w:val="40"/>
          </w:tcPr>
          <w:p>
            <w:pPr>
              <w:spacing w:after="0"/>
              <w:rPr>
                <w:sz w:val="20"/>
                <w:szCs w:val="20"/>
                <w:color w:val="auto"/>
              </w:rPr>
            </w:pPr>
            <w:r>
              <w:rPr>
                <w:rFonts w:ascii="Arial" w:cs="Arial" w:eastAsia="Arial" w:hAnsi="Arial"/>
                <w:sz w:val="16"/>
                <w:szCs w:val="16"/>
                <w:color w:val="0000EE"/>
              </w:rPr>
              <w:t>Policy on Audit and Finance Committee Preapproval of Audit and Permissible Non-Audit Services of Independent Public Accountant</w:t>
            </w:r>
          </w:p>
        </w:tc>
        <w:tc>
          <w:tcPr>
            <w:tcW w:w="1240" w:type="dxa"/>
            <w:vAlign w:val="bottom"/>
          </w:tcPr>
          <w:p>
            <w:pPr>
              <w:jc w:val="right"/>
              <w:spacing w:after="0"/>
              <w:rPr>
                <w:sz w:val="20"/>
                <w:szCs w:val="20"/>
                <w:color w:val="auto"/>
              </w:rPr>
            </w:pPr>
            <w:r>
              <w:rPr>
                <w:rFonts w:ascii="Arial" w:cs="Arial" w:eastAsia="Arial" w:hAnsi="Arial"/>
                <w:sz w:val="16"/>
                <w:szCs w:val="16"/>
                <w:color w:val="044E7C"/>
              </w:rPr>
              <w:t>71</w:t>
            </w:r>
          </w:p>
        </w:tc>
        <w:tc>
          <w:tcPr>
            <w:tcW w:w="360" w:type="dxa"/>
            <w:vAlign w:val="bottom"/>
          </w:tcPr>
          <w:p>
            <w:pPr>
              <w:spacing w:after="0"/>
              <w:rPr>
                <w:sz w:val="19"/>
                <w:szCs w:val="19"/>
                <w:color w:val="auto"/>
              </w:rPr>
            </w:pPr>
          </w:p>
        </w:tc>
      </w:tr>
      <w:tr>
        <w:trPr>
          <w:trHeight w:val="88"/>
        </w:trPr>
        <w:tc>
          <w:tcPr>
            <w:tcW w:w="20" w:type="dxa"/>
            <w:vAlign w:val="bottom"/>
            <w:tcBorders>
              <w:bottom w:val="single" w:sz="8" w:color="0071CE"/>
            </w:tcBorders>
          </w:tcPr>
          <w:p>
            <w:pPr>
              <w:spacing w:after="0"/>
              <w:rPr>
                <w:sz w:val="7"/>
                <w:szCs w:val="7"/>
                <w:color w:val="auto"/>
              </w:rPr>
            </w:pPr>
          </w:p>
        </w:tc>
        <w:tc>
          <w:tcPr>
            <w:tcW w:w="160" w:type="dxa"/>
            <w:vAlign w:val="bottom"/>
            <w:tcBorders>
              <w:bottom w:val="single" w:sz="8" w:color="0071CE"/>
            </w:tcBorders>
          </w:tcPr>
          <w:p>
            <w:pPr>
              <w:spacing w:after="0"/>
              <w:rPr>
                <w:sz w:val="7"/>
                <w:szCs w:val="7"/>
                <w:color w:val="auto"/>
              </w:rPr>
            </w:pPr>
          </w:p>
        </w:tc>
        <w:tc>
          <w:tcPr>
            <w:tcW w:w="1100" w:type="dxa"/>
            <w:vAlign w:val="bottom"/>
            <w:tcBorders>
              <w:bottom w:val="single" w:sz="8" w:color="0071CE"/>
            </w:tcBorders>
          </w:tcPr>
          <w:p>
            <w:pPr>
              <w:spacing w:after="0"/>
              <w:rPr>
                <w:sz w:val="7"/>
                <w:szCs w:val="7"/>
                <w:color w:val="auto"/>
              </w:rPr>
            </w:pPr>
          </w:p>
        </w:tc>
        <w:tc>
          <w:tcPr>
            <w:tcW w:w="120" w:type="dxa"/>
            <w:vAlign w:val="bottom"/>
            <w:tcBorders>
              <w:bottom w:val="single" w:sz="8" w:color="0071CE"/>
            </w:tcBorders>
          </w:tcPr>
          <w:p>
            <w:pPr>
              <w:spacing w:after="0"/>
              <w:rPr>
                <w:sz w:val="7"/>
                <w:szCs w:val="7"/>
                <w:color w:val="auto"/>
              </w:rPr>
            </w:pPr>
          </w:p>
        </w:tc>
        <w:tc>
          <w:tcPr>
            <w:tcW w:w="20" w:type="dxa"/>
            <w:vAlign w:val="bottom"/>
            <w:tcBorders>
              <w:bottom w:val="single" w:sz="8" w:color="0071CE"/>
            </w:tcBorders>
          </w:tcPr>
          <w:p>
            <w:pPr>
              <w:spacing w:after="0"/>
              <w:rPr>
                <w:sz w:val="7"/>
                <w:szCs w:val="7"/>
                <w:color w:val="auto"/>
              </w:rPr>
            </w:pPr>
          </w:p>
        </w:tc>
        <w:tc>
          <w:tcPr>
            <w:tcW w:w="40" w:type="dxa"/>
            <w:vAlign w:val="bottom"/>
            <w:tcBorders>
              <w:bottom w:val="single" w:sz="8" w:color="0071CE"/>
            </w:tcBorders>
          </w:tcPr>
          <w:p>
            <w:pPr>
              <w:spacing w:after="0"/>
              <w:rPr>
                <w:sz w:val="7"/>
                <w:szCs w:val="7"/>
                <w:color w:val="auto"/>
              </w:rPr>
            </w:pPr>
          </w:p>
        </w:tc>
        <w:tc>
          <w:tcPr>
            <w:tcW w:w="40" w:type="dxa"/>
            <w:vAlign w:val="bottom"/>
            <w:tcBorders>
              <w:bottom w:val="single" w:sz="8" w:color="0071CE"/>
            </w:tcBorders>
          </w:tcPr>
          <w:p>
            <w:pPr>
              <w:spacing w:after="0"/>
              <w:rPr>
                <w:sz w:val="7"/>
                <w:szCs w:val="7"/>
                <w:color w:val="auto"/>
              </w:rPr>
            </w:pPr>
          </w:p>
        </w:tc>
        <w:tc>
          <w:tcPr>
            <w:tcW w:w="320" w:type="dxa"/>
            <w:vAlign w:val="bottom"/>
            <w:tcBorders>
              <w:bottom w:val="single" w:sz="8" w:color="0071CE"/>
            </w:tcBorders>
          </w:tcPr>
          <w:p>
            <w:pPr>
              <w:spacing w:after="0"/>
              <w:rPr>
                <w:sz w:val="7"/>
                <w:szCs w:val="7"/>
                <w:color w:val="auto"/>
              </w:rPr>
            </w:pPr>
          </w:p>
        </w:tc>
        <w:tc>
          <w:tcPr>
            <w:tcW w:w="160" w:type="dxa"/>
            <w:vAlign w:val="bottom"/>
            <w:tcBorders>
              <w:bottom w:val="single" w:sz="8" w:color="0071CE"/>
            </w:tcBorders>
          </w:tcPr>
          <w:p>
            <w:pPr>
              <w:spacing w:after="0"/>
              <w:rPr>
                <w:sz w:val="7"/>
                <w:szCs w:val="7"/>
                <w:color w:val="auto"/>
              </w:rPr>
            </w:pPr>
          </w:p>
        </w:tc>
        <w:tc>
          <w:tcPr>
            <w:tcW w:w="20" w:type="dxa"/>
            <w:vAlign w:val="bottom"/>
            <w:tcBorders>
              <w:bottom w:val="single" w:sz="8" w:color="0071CE"/>
            </w:tcBorders>
          </w:tcPr>
          <w:p>
            <w:pPr>
              <w:spacing w:after="0"/>
              <w:rPr>
                <w:sz w:val="7"/>
                <w:szCs w:val="7"/>
                <w:color w:val="auto"/>
              </w:rPr>
            </w:pPr>
          </w:p>
        </w:tc>
        <w:tc>
          <w:tcPr>
            <w:tcW w:w="320" w:type="dxa"/>
            <w:vAlign w:val="bottom"/>
            <w:tcBorders>
              <w:bottom w:val="single" w:sz="8" w:color="0071CE"/>
            </w:tcBorders>
          </w:tcPr>
          <w:p>
            <w:pPr>
              <w:spacing w:after="0"/>
              <w:rPr>
                <w:sz w:val="7"/>
                <w:szCs w:val="7"/>
                <w:color w:val="auto"/>
              </w:rPr>
            </w:pPr>
          </w:p>
        </w:tc>
        <w:tc>
          <w:tcPr>
            <w:tcW w:w="80" w:type="dxa"/>
            <w:vAlign w:val="bottom"/>
            <w:tcBorders>
              <w:bottom w:val="single" w:sz="8" w:color="0071CE"/>
            </w:tcBorders>
          </w:tcPr>
          <w:p>
            <w:pPr>
              <w:spacing w:after="0"/>
              <w:rPr>
                <w:sz w:val="7"/>
                <w:szCs w:val="7"/>
                <w:color w:val="auto"/>
              </w:rPr>
            </w:pPr>
          </w:p>
        </w:tc>
        <w:tc>
          <w:tcPr>
            <w:tcW w:w="220" w:type="dxa"/>
            <w:vAlign w:val="bottom"/>
            <w:tcBorders>
              <w:bottom w:val="single" w:sz="8" w:color="0071CE"/>
            </w:tcBorders>
          </w:tcPr>
          <w:p>
            <w:pPr>
              <w:spacing w:after="0"/>
              <w:rPr>
                <w:sz w:val="7"/>
                <w:szCs w:val="7"/>
                <w:color w:val="auto"/>
              </w:rPr>
            </w:pPr>
          </w:p>
        </w:tc>
        <w:tc>
          <w:tcPr>
            <w:tcW w:w="60" w:type="dxa"/>
            <w:vAlign w:val="bottom"/>
            <w:tcBorders>
              <w:bottom w:val="single" w:sz="8" w:color="0071CE"/>
            </w:tcBorders>
          </w:tcPr>
          <w:p>
            <w:pPr>
              <w:spacing w:after="0"/>
              <w:rPr>
                <w:sz w:val="7"/>
                <w:szCs w:val="7"/>
                <w:color w:val="auto"/>
              </w:rPr>
            </w:pPr>
          </w:p>
        </w:tc>
        <w:tc>
          <w:tcPr>
            <w:tcW w:w="180" w:type="dxa"/>
            <w:vAlign w:val="bottom"/>
            <w:tcBorders>
              <w:bottom w:val="single" w:sz="8" w:color="0071CE"/>
            </w:tcBorders>
          </w:tcPr>
          <w:p>
            <w:pPr>
              <w:spacing w:after="0"/>
              <w:rPr>
                <w:sz w:val="7"/>
                <w:szCs w:val="7"/>
                <w:color w:val="auto"/>
              </w:rPr>
            </w:pPr>
          </w:p>
        </w:tc>
        <w:tc>
          <w:tcPr>
            <w:tcW w:w="160" w:type="dxa"/>
            <w:vAlign w:val="bottom"/>
            <w:tcBorders>
              <w:bottom w:val="single" w:sz="8" w:color="0071CE"/>
            </w:tcBorders>
          </w:tcPr>
          <w:p>
            <w:pPr>
              <w:spacing w:after="0"/>
              <w:rPr>
                <w:sz w:val="7"/>
                <w:szCs w:val="7"/>
                <w:color w:val="auto"/>
              </w:rPr>
            </w:pPr>
          </w:p>
        </w:tc>
        <w:tc>
          <w:tcPr>
            <w:tcW w:w="100" w:type="dxa"/>
            <w:vAlign w:val="bottom"/>
            <w:tcBorders>
              <w:bottom w:val="single" w:sz="8" w:color="0071CE"/>
            </w:tcBorders>
          </w:tcPr>
          <w:p>
            <w:pPr>
              <w:spacing w:after="0"/>
              <w:rPr>
                <w:sz w:val="7"/>
                <w:szCs w:val="7"/>
                <w:color w:val="auto"/>
              </w:rPr>
            </w:pPr>
          </w:p>
        </w:tc>
        <w:tc>
          <w:tcPr>
            <w:tcW w:w="100" w:type="dxa"/>
            <w:vAlign w:val="bottom"/>
            <w:tcBorders>
              <w:bottom w:val="single" w:sz="8" w:color="0071CE"/>
            </w:tcBorders>
          </w:tcPr>
          <w:p>
            <w:pPr>
              <w:spacing w:after="0"/>
              <w:rPr>
                <w:sz w:val="7"/>
                <w:szCs w:val="7"/>
                <w:color w:val="auto"/>
              </w:rPr>
            </w:pPr>
          </w:p>
        </w:tc>
        <w:tc>
          <w:tcPr>
            <w:tcW w:w="40" w:type="dxa"/>
            <w:vAlign w:val="bottom"/>
            <w:tcBorders>
              <w:bottom w:val="single" w:sz="8" w:color="0071CE"/>
            </w:tcBorders>
          </w:tcPr>
          <w:p>
            <w:pPr>
              <w:spacing w:after="0"/>
              <w:rPr>
                <w:sz w:val="7"/>
                <w:szCs w:val="7"/>
                <w:color w:val="auto"/>
              </w:rPr>
            </w:pPr>
          </w:p>
        </w:tc>
        <w:tc>
          <w:tcPr>
            <w:tcW w:w="160" w:type="dxa"/>
            <w:vAlign w:val="bottom"/>
            <w:tcBorders>
              <w:bottom w:val="single" w:sz="8" w:color="0071CE"/>
            </w:tcBorders>
          </w:tcPr>
          <w:p>
            <w:pPr>
              <w:spacing w:after="0"/>
              <w:rPr>
                <w:sz w:val="7"/>
                <w:szCs w:val="7"/>
                <w:color w:val="auto"/>
              </w:rPr>
            </w:pPr>
          </w:p>
        </w:tc>
        <w:tc>
          <w:tcPr>
            <w:tcW w:w="160" w:type="dxa"/>
            <w:vAlign w:val="bottom"/>
            <w:tcBorders>
              <w:bottom w:val="single" w:sz="8" w:color="0071CE"/>
            </w:tcBorders>
          </w:tcPr>
          <w:p>
            <w:pPr>
              <w:spacing w:after="0"/>
              <w:rPr>
                <w:sz w:val="7"/>
                <w:szCs w:val="7"/>
                <w:color w:val="auto"/>
              </w:rPr>
            </w:pPr>
          </w:p>
        </w:tc>
        <w:tc>
          <w:tcPr>
            <w:tcW w:w="240" w:type="dxa"/>
            <w:vAlign w:val="bottom"/>
            <w:tcBorders>
              <w:bottom w:val="single" w:sz="8" w:color="0071CE"/>
            </w:tcBorders>
          </w:tcPr>
          <w:p>
            <w:pPr>
              <w:spacing w:after="0"/>
              <w:rPr>
                <w:sz w:val="7"/>
                <w:szCs w:val="7"/>
                <w:color w:val="auto"/>
              </w:rPr>
            </w:pPr>
          </w:p>
        </w:tc>
        <w:tc>
          <w:tcPr>
            <w:tcW w:w="60" w:type="dxa"/>
            <w:vAlign w:val="bottom"/>
            <w:tcBorders>
              <w:bottom w:val="single" w:sz="8" w:color="0071CE"/>
            </w:tcBorders>
          </w:tcPr>
          <w:p>
            <w:pPr>
              <w:spacing w:after="0"/>
              <w:rPr>
                <w:sz w:val="7"/>
                <w:szCs w:val="7"/>
                <w:color w:val="auto"/>
              </w:rPr>
            </w:pPr>
          </w:p>
        </w:tc>
        <w:tc>
          <w:tcPr>
            <w:tcW w:w="20" w:type="dxa"/>
            <w:vAlign w:val="bottom"/>
            <w:tcBorders>
              <w:bottom w:val="single" w:sz="8" w:color="0071CE"/>
            </w:tcBorders>
          </w:tcPr>
          <w:p>
            <w:pPr>
              <w:spacing w:after="0"/>
              <w:rPr>
                <w:sz w:val="7"/>
                <w:szCs w:val="7"/>
                <w:color w:val="auto"/>
              </w:rPr>
            </w:pPr>
          </w:p>
        </w:tc>
        <w:tc>
          <w:tcPr>
            <w:tcW w:w="120" w:type="dxa"/>
            <w:vAlign w:val="bottom"/>
            <w:tcBorders>
              <w:bottom w:val="single" w:sz="8" w:color="0071CE"/>
            </w:tcBorders>
          </w:tcPr>
          <w:p>
            <w:pPr>
              <w:spacing w:after="0"/>
              <w:rPr>
                <w:sz w:val="7"/>
                <w:szCs w:val="7"/>
                <w:color w:val="auto"/>
              </w:rPr>
            </w:pPr>
          </w:p>
        </w:tc>
        <w:tc>
          <w:tcPr>
            <w:tcW w:w="200" w:type="dxa"/>
            <w:vAlign w:val="bottom"/>
            <w:tcBorders>
              <w:bottom w:val="single" w:sz="8" w:color="0071CE"/>
            </w:tcBorders>
          </w:tcPr>
          <w:p>
            <w:pPr>
              <w:spacing w:after="0"/>
              <w:rPr>
                <w:sz w:val="7"/>
                <w:szCs w:val="7"/>
                <w:color w:val="auto"/>
              </w:rPr>
            </w:pPr>
          </w:p>
        </w:tc>
        <w:tc>
          <w:tcPr>
            <w:tcW w:w="20" w:type="dxa"/>
            <w:vAlign w:val="bottom"/>
            <w:tcBorders>
              <w:bottom w:val="single" w:sz="8" w:color="0071CE"/>
            </w:tcBorders>
          </w:tcPr>
          <w:p>
            <w:pPr>
              <w:spacing w:after="0"/>
              <w:rPr>
                <w:sz w:val="7"/>
                <w:szCs w:val="7"/>
                <w:color w:val="auto"/>
              </w:rPr>
            </w:pPr>
          </w:p>
        </w:tc>
        <w:tc>
          <w:tcPr>
            <w:tcW w:w="40" w:type="dxa"/>
            <w:vAlign w:val="bottom"/>
            <w:tcBorders>
              <w:bottom w:val="single" w:sz="8" w:color="0071CE"/>
            </w:tcBorders>
          </w:tcPr>
          <w:p>
            <w:pPr>
              <w:spacing w:after="0"/>
              <w:rPr>
                <w:sz w:val="7"/>
                <w:szCs w:val="7"/>
                <w:color w:val="auto"/>
              </w:rPr>
            </w:pPr>
          </w:p>
        </w:tc>
        <w:tc>
          <w:tcPr>
            <w:tcW w:w="160" w:type="dxa"/>
            <w:vAlign w:val="bottom"/>
            <w:tcBorders>
              <w:bottom w:val="single" w:sz="8" w:color="0071CE"/>
            </w:tcBorders>
          </w:tcPr>
          <w:p>
            <w:pPr>
              <w:spacing w:after="0"/>
              <w:rPr>
                <w:sz w:val="7"/>
                <w:szCs w:val="7"/>
                <w:color w:val="auto"/>
              </w:rPr>
            </w:pPr>
          </w:p>
        </w:tc>
        <w:tc>
          <w:tcPr>
            <w:tcW w:w="760" w:type="dxa"/>
            <w:vAlign w:val="bottom"/>
            <w:tcBorders>
              <w:bottom w:val="single" w:sz="8" w:color="0071CE"/>
            </w:tcBorders>
          </w:tcPr>
          <w:p>
            <w:pPr>
              <w:spacing w:after="0"/>
              <w:rPr>
                <w:sz w:val="7"/>
                <w:szCs w:val="7"/>
                <w:color w:val="auto"/>
              </w:rPr>
            </w:pPr>
          </w:p>
        </w:tc>
        <w:tc>
          <w:tcPr>
            <w:tcW w:w="80" w:type="dxa"/>
            <w:vAlign w:val="bottom"/>
            <w:tcBorders>
              <w:bottom w:val="single" w:sz="8" w:color="0071CE"/>
            </w:tcBorders>
          </w:tcPr>
          <w:p>
            <w:pPr>
              <w:spacing w:after="0"/>
              <w:rPr>
                <w:sz w:val="7"/>
                <w:szCs w:val="7"/>
                <w:color w:val="auto"/>
              </w:rPr>
            </w:pPr>
          </w:p>
        </w:tc>
        <w:tc>
          <w:tcPr>
            <w:tcW w:w="60" w:type="dxa"/>
            <w:vAlign w:val="bottom"/>
            <w:tcBorders>
              <w:bottom w:val="single" w:sz="8" w:color="0071CE"/>
            </w:tcBorders>
          </w:tcPr>
          <w:p>
            <w:pPr>
              <w:spacing w:after="0"/>
              <w:rPr>
                <w:sz w:val="7"/>
                <w:szCs w:val="7"/>
                <w:color w:val="auto"/>
              </w:rPr>
            </w:pPr>
          </w:p>
        </w:tc>
        <w:tc>
          <w:tcPr>
            <w:tcW w:w="380" w:type="dxa"/>
            <w:vAlign w:val="bottom"/>
            <w:tcBorders>
              <w:bottom w:val="single" w:sz="8" w:color="0071CE"/>
            </w:tcBorders>
          </w:tcPr>
          <w:p>
            <w:pPr>
              <w:spacing w:after="0"/>
              <w:rPr>
                <w:sz w:val="7"/>
                <w:szCs w:val="7"/>
                <w:color w:val="auto"/>
              </w:rPr>
            </w:pPr>
          </w:p>
        </w:tc>
        <w:tc>
          <w:tcPr>
            <w:tcW w:w="600" w:type="dxa"/>
            <w:vAlign w:val="bottom"/>
            <w:tcBorders>
              <w:bottom w:val="single" w:sz="8" w:color="0071CE"/>
            </w:tcBorders>
          </w:tcPr>
          <w:p>
            <w:pPr>
              <w:spacing w:after="0"/>
              <w:rPr>
                <w:sz w:val="7"/>
                <w:szCs w:val="7"/>
                <w:color w:val="auto"/>
              </w:rPr>
            </w:pPr>
          </w:p>
        </w:tc>
        <w:tc>
          <w:tcPr>
            <w:tcW w:w="340" w:type="dxa"/>
            <w:vAlign w:val="bottom"/>
            <w:tcBorders>
              <w:bottom w:val="single" w:sz="8" w:color="0071CE"/>
            </w:tcBorders>
          </w:tcPr>
          <w:p>
            <w:pPr>
              <w:spacing w:after="0"/>
              <w:rPr>
                <w:sz w:val="7"/>
                <w:szCs w:val="7"/>
                <w:color w:val="auto"/>
              </w:rPr>
            </w:pPr>
          </w:p>
        </w:tc>
        <w:tc>
          <w:tcPr>
            <w:tcW w:w="240" w:type="dxa"/>
            <w:vAlign w:val="bottom"/>
            <w:tcBorders>
              <w:bottom w:val="single" w:sz="8" w:color="0071CE"/>
            </w:tcBorders>
          </w:tcPr>
          <w:p>
            <w:pPr>
              <w:spacing w:after="0"/>
              <w:rPr>
                <w:sz w:val="7"/>
                <w:szCs w:val="7"/>
                <w:color w:val="auto"/>
              </w:rPr>
            </w:pPr>
          </w:p>
        </w:tc>
        <w:tc>
          <w:tcPr>
            <w:tcW w:w="80" w:type="dxa"/>
            <w:vAlign w:val="bottom"/>
            <w:tcBorders>
              <w:bottom w:val="single" w:sz="8" w:color="0071CE"/>
            </w:tcBorders>
          </w:tcPr>
          <w:p>
            <w:pPr>
              <w:spacing w:after="0"/>
              <w:rPr>
                <w:sz w:val="7"/>
                <w:szCs w:val="7"/>
                <w:color w:val="auto"/>
              </w:rPr>
            </w:pPr>
          </w:p>
        </w:tc>
        <w:tc>
          <w:tcPr>
            <w:tcW w:w="440" w:type="dxa"/>
            <w:vAlign w:val="bottom"/>
            <w:tcBorders>
              <w:bottom w:val="single" w:sz="8" w:color="0071CE"/>
            </w:tcBorders>
          </w:tcPr>
          <w:p>
            <w:pPr>
              <w:spacing w:after="0"/>
              <w:rPr>
                <w:sz w:val="7"/>
                <w:szCs w:val="7"/>
                <w:color w:val="auto"/>
              </w:rPr>
            </w:pPr>
          </w:p>
        </w:tc>
        <w:tc>
          <w:tcPr>
            <w:tcW w:w="1720" w:type="dxa"/>
            <w:vAlign w:val="bottom"/>
            <w:tcBorders>
              <w:bottom w:val="single" w:sz="8" w:color="0071CE"/>
            </w:tcBorders>
          </w:tcPr>
          <w:p>
            <w:pPr>
              <w:spacing w:after="0"/>
              <w:rPr>
                <w:sz w:val="7"/>
                <w:szCs w:val="7"/>
                <w:color w:val="auto"/>
              </w:rPr>
            </w:pPr>
          </w:p>
        </w:tc>
        <w:tc>
          <w:tcPr>
            <w:tcW w:w="380" w:type="dxa"/>
            <w:vAlign w:val="bottom"/>
            <w:tcBorders>
              <w:bottom w:val="single" w:sz="8" w:color="0071CE"/>
            </w:tcBorders>
          </w:tcPr>
          <w:p>
            <w:pPr>
              <w:spacing w:after="0"/>
              <w:rPr>
                <w:sz w:val="7"/>
                <w:szCs w:val="7"/>
                <w:color w:val="auto"/>
              </w:rPr>
            </w:pPr>
          </w:p>
        </w:tc>
        <w:tc>
          <w:tcPr>
            <w:tcW w:w="80" w:type="dxa"/>
            <w:vAlign w:val="bottom"/>
            <w:tcBorders>
              <w:bottom w:val="single" w:sz="8" w:color="0071CE"/>
            </w:tcBorders>
          </w:tcPr>
          <w:p>
            <w:pPr>
              <w:spacing w:after="0"/>
              <w:rPr>
                <w:sz w:val="7"/>
                <w:szCs w:val="7"/>
                <w:color w:val="auto"/>
              </w:rPr>
            </w:pPr>
          </w:p>
        </w:tc>
        <w:tc>
          <w:tcPr>
            <w:tcW w:w="40" w:type="dxa"/>
            <w:vAlign w:val="bottom"/>
            <w:tcBorders>
              <w:bottom w:val="single" w:sz="8" w:color="0071CE"/>
            </w:tcBorders>
          </w:tcPr>
          <w:p>
            <w:pPr>
              <w:spacing w:after="0"/>
              <w:rPr>
                <w:sz w:val="7"/>
                <w:szCs w:val="7"/>
                <w:color w:val="auto"/>
              </w:rPr>
            </w:pPr>
          </w:p>
        </w:tc>
        <w:tc>
          <w:tcPr>
            <w:tcW w:w="1240" w:type="dxa"/>
            <w:vAlign w:val="bottom"/>
            <w:tcBorders>
              <w:bottom w:val="single" w:sz="8" w:color="0071CE"/>
            </w:tcBorders>
          </w:tcPr>
          <w:p>
            <w:pPr>
              <w:spacing w:after="0"/>
              <w:rPr>
                <w:sz w:val="7"/>
                <w:szCs w:val="7"/>
                <w:color w:val="auto"/>
              </w:rPr>
            </w:pPr>
          </w:p>
        </w:tc>
        <w:tc>
          <w:tcPr>
            <w:tcW w:w="360" w:type="dxa"/>
            <w:vAlign w:val="bottom"/>
          </w:tcPr>
          <w:p>
            <w:pPr>
              <w:spacing w:after="0"/>
              <w:rPr>
                <w:sz w:val="7"/>
                <w:szCs w:val="7"/>
                <w:color w:val="auto"/>
              </w:rPr>
            </w:pPr>
          </w:p>
        </w:tc>
      </w:tr>
      <w:tr>
        <w:trPr>
          <w:trHeight w:val="182"/>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FF"/>
              </w:rPr>
              <w:t>PROPOSAL 3: APPROVAL, ON AN ADVISORY BASIS, OF THE COMPENSATION OF OUR NAMED EXECUTIVE OFFICERS, AS</w:t>
            </w: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044E7C"/>
              </w:rPr>
              <w:t>73</w:t>
            </w:r>
          </w:p>
        </w:tc>
        <w:tc>
          <w:tcPr>
            <w:tcW w:w="36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9580" w:type="dxa"/>
            <w:vAlign w:val="bottom"/>
            <w:tcBorders>
              <w:top w:val="single" w:sz="8" w:color="0000FF"/>
            </w:tcBorders>
            <w:gridSpan w:val="40"/>
          </w:tcPr>
          <w:p>
            <w:pPr>
              <w:spacing w:after="0" w:line="169" w:lineRule="exact"/>
              <w:rPr>
                <w:sz w:val="20"/>
                <w:szCs w:val="20"/>
                <w:color w:val="auto"/>
              </w:rPr>
            </w:pPr>
            <w:r>
              <w:rPr>
                <w:rFonts w:ascii="Arial" w:cs="Arial" w:eastAsia="Arial" w:hAnsi="Arial"/>
                <w:sz w:val="16"/>
                <w:szCs w:val="16"/>
                <w:b w:val="1"/>
                <w:bCs w:val="1"/>
                <w:color w:val="0000FF"/>
              </w:rPr>
              <w:t>DISCLOSED IN THIS PROXY STATEMENT</w:t>
            </w: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8"/>
        </w:trPr>
        <w:tc>
          <w:tcPr>
            <w:tcW w:w="20" w:type="dxa"/>
            <w:vAlign w:val="bottom"/>
            <w:tcBorders>
              <w:bottom w:val="single" w:sz="8" w:color="0071CE"/>
            </w:tcBorders>
          </w:tcPr>
          <w:p>
            <w:pPr>
              <w:spacing w:after="0"/>
              <w:rPr>
                <w:sz w:val="4"/>
                <w:szCs w:val="4"/>
                <w:color w:val="auto"/>
              </w:rPr>
            </w:pPr>
          </w:p>
        </w:tc>
        <w:tc>
          <w:tcPr>
            <w:tcW w:w="160" w:type="dxa"/>
            <w:vAlign w:val="bottom"/>
            <w:tcBorders>
              <w:top w:val="single" w:sz="8" w:color="0000FF"/>
              <w:bottom w:val="single" w:sz="8" w:color="0071CE"/>
            </w:tcBorders>
          </w:tcPr>
          <w:p>
            <w:pPr>
              <w:spacing w:after="0"/>
              <w:rPr>
                <w:sz w:val="4"/>
                <w:szCs w:val="4"/>
                <w:color w:val="auto"/>
              </w:rPr>
            </w:pPr>
          </w:p>
        </w:tc>
        <w:tc>
          <w:tcPr>
            <w:tcW w:w="1100" w:type="dxa"/>
            <w:vAlign w:val="bottom"/>
            <w:tcBorders>
              <w:top w:val="single" w:sz="8" w:color="0000FF"/>
              <w:bottom w:val="single" w:sz="8" w:color="0071CE"/>
            </w:tcBorders>
          </w:tcPr>
          <w:p>
            <w:pPr>
              <w:spacing w:after="0"/>
              <w:rPr>
                <w:sz w:val="4"/>
                <w:szCs w:val="4"/>
                <w:color w:val="auto"/>
              </w:rPr>
            </w:pPr>
          </w:p>
        </w:tc>
        <w:tc>
          <w:tcPr>
            <w:tcW w:w="120" w:type="dxa"/>
            <w:vAlign w:val="bottom"/>
            <w:tcBorders>
              <w:top w:val="single" w:sz="8" w:color="0000FF"/>
              <w:bottom w:val="single" w:sz="8" w:color="0071CE"/>
            </w:tcBorders>
          </w:tcPr>
          <w:p>
            <w:pPr>
              <w:spacing w:after="0"/>
              <w:rPr>
                <w:sz w:val="4"/>
                <w:szCs w:val="4"/>
                <w:color w:val="auto"/>
              </w:rPr>
            </w:pPr>
          </w:p>
        </w:tc>
        <w:tc>
          <w:tcPr>
            <w:tcW w:w="20" w:type="dxa"/>
            <w:vAlign w:val="bottom"/>
            <w:tcBorders>
              <w:top w:val="single" w:sz="8" w:color="0000FF"/>
              <w:bottom w:val="single" w:sz="8" w:color="0071CE"/>
            </w:tcBorders>
          </w:tcPr>
          <w:p>
            <w:pPr>
              <w:spacing w:after="0"/>
              <w:rPr>
                <w:sz w:val="4"/>
                <w:szCs w:val="4"/>
                <w:color w:val="auto"/>
              </w:rPr>
            </w:pPr>
          </w:p>
        </w:tc>
        <w:tc>
          <w:tcPr>
            <w:tcW w:w="40" w:type="dxa"/>
            <w:vAlign w:val="bottom"/>
            <w:tcBorders>
              <w:top w:val="single" w:sz="8" w:color="0000FF"/>
              <w:bottom w:val="single" w:sz="8" w:color="0071CE"/>
            </w:tcBorders>
          </w:tcPr>
          <w:p>
            <w:pPr>
              <w:spacing w:after="0"/>
              <w:rPr>
                <w:sz w:val="4"/>
                <w:szCs w:val="4"/>
                <w:color w:val="auto"/>
              </w:rPr>
            </w:pPr>
          </w:p>
        </w:tc>
        <w:tc>
          <w:tcPr>
            <w:tcW w:w="40" w:type="dxa"/>
            <w:vAlign w:val="bottom"/>
            <w:tcBorders>
              <w:top w:val="single" w:sz="8" w:color="0000FF"/>
              <w:bottom w:val="single" w:sz="8" w:color="0071CE"/>
            </w:tcBorders>
          </w:tcPr>
          <w:p>
            <w:pPr>
              <w:spacing w:after="0"/>
              <w:rPr>
                <w:sz w:val="4"/>
                <w:szCs w:val="4"/>
                <w:color w:val="auto"/>
              </w:rPr>
            </w:pPr>
          </w:p>
        </w:tc>
        <w:tc>
          <w:tcPr>
            <w:tcW w:w="320" w:type="dxa"/>
            <w:vAlign w:val="bottom"/>
            <w:tcBorders>
              <w:top w:val="single" w:sz="8" w:color="0000FF"/>
              <w:bottom w:val="single" w:sz="8" w:color="0071CE"/>
            </w:tcBorders>
          </w:tcPr>
          <w:p>
            <w:pPr>
              <w:spacing w:after="0"/>
              <w:rPr>
                <w:sz w:val="4"/>
                <w:szCs w:val="4"/>
                <w:color w:val="auto"/>
              </w:rPr>
            </w:pPr>
          </w:p>
        </w:tc>
        <w:tc>
          <w:tcPr>
            <w:tcW w:w="160" w:type="dxa"/>
            <w:vAlign w:val="bottom"/>
            <w:tcBorders>
              <w:top w:val="single" w:sz="8" w:color="0000FF"/>
              <w:bottom w:val="single" w:sz="8" w:color="0071CE"/>
            </w:tcBorders>
          </w:tcPr>
          <w:p>
            <w:pPr>
              <w:spacing w:after="0"/>
              <w:rPr>
                <w:sz w:val="4"/>
                <w:szCs w:val="4"/>
                <w:color w:val="auto"/>
              </w:rPr>
            </w:pPr>
          </w:p>
        </w:tc>
        <w:tc>
          <w:tcPr>
            <w:tcW w:w="20" w:type="dxa"/>
            <w:vAlign w:val="bottom"/>
            <w:tcBorders>
              <w:top w:val="single" w:sz="8" w:color="0000FF"/>
              <w:bottom w:val="single" w:sz="8" w:color="0071CE"/>
            </w:tcBorders>
          </w:tcPr>
          <w:p>
            <w:pPr>
              <w:spacing w:after="0"/>
              <w:rPr>
                <w:sz w:val="4"/>
                <w:szCs w:val="4"/>
                <w:color w:val="auto"/>
              </w:rPr>
            </w:pPr>
          </w:p>
        </w:tc>
        <w:tc>
          <w:tcPr>
            <w:tcW w:w="320" w:type="dxa"/>
            <w:vAlign w:val="bottom"/>
            <w:tcBorders>
              <w:top w:val="single" w:sz="8" w:color="0000FF"/>
              <w:bottom w:val="single" w:sz="8" w:color="0071CE"/>
            </w:tcBorders>
          </w:tcPr>
          <w:p>
            <w:pPr>
              <w:spacing w:after="0"/>
              <w:rPr>
                <w:sz w:val="4"/>
                <w:szCs w:val="4"/>
                <w:color w:val="auto"/>
              </w:rPr>
            </w:pPr>
          </w:p>
        </w:tc>
        <w:tc>
          <w:tcPr>
            <w:tcW w:w="80" w:type="dxa"/>
            <w:vAlign w:val="bottom"/>
            <w:tcBorders>
              <w:top w:val="single" w:sz="8" w:color="0000FF"/>
              <w:bottom w:val="single" w:sz="8" w:color="0071CE"/>
            </w:tcBorders>
          </w:tcPr>
          <w:p>
            <w:pPr>
              <w:spacing w:after="0"/>
              <w:rPr>
                <w:sz w:val="4"/>
                <w:szCs w:val="4"/>
                <w:color w:val="auto"/>
              </w:rPr>
            </w:pPr>
          </w:p>
        </w:tc>
        <w:tc>
          <w:tcPr>
            <w:tcW w:w="220" w:type="dxa"/>
            <w:vAlign w:val="bottom"/>
            <w:tcBorders>
              <w:top w:val="single" w:sz="8" w:color="0000FF"/>
              <w:bottom w:val="single" w:sz="8" w:color="0071CE"/>
            </w:tcBorders>
          </w:tcPr>
          <w:p>
            <w:pPr>
              <w:spacing w:after="0"/>
              <w:rPr>
                <w:sz w:val="4"/>
                <w:szCs w:val="4"/>
                <w:color w:val="auto"/>
              </w:rPr>
            </w:pPr>
          </w:p>
        </w:tc>
        <w:tc>
          <w:tcPr>
            <w:tcW w:w="60" w:type="dxa"/>
            <w:vAlign w:val="bottom"/>
            <w:tcBorders>
              <w:top w:val="single" w:sz="8" w:color="0000FF"/>
              <w:bottom w:val="single" w:sz="8" w:color="0071CE"/>
            </w:tcBorders>
          </w:tcPr>
          <w:p>
            <w:pPr>
              <w:spacing w:after="0"/>
              <w:rPr>
                <w:sz w:val="4"/>
                <w:szCs w:val="4"/>
                <w:color w:val="auto"/>
              </w:rPr>
            </w:pPr>
          </w:p>
        </w:tc>
        <w:tc>
          <w:tcPr>
            <w:tcW w:w="180" w:type="dxa"/>
            <w:vAlign w:val="bottom"/>
            <w:tcBorders>
              <w:top w:val="single" w:sz="8" w:color="0000FF"/>
              <w:bottom w:val="single" w:sz="8" w:color="0071CE"/>
            </w:tcBorders>
          </w:tcPr>
          <w:p>
            <w:pPr>
              <w:spacing w:after="0"/>
              <w:rPr>
                <w:sz w:val="4"/>
                <w:szCs w:val="4"/>
                <w:color w:val="auto"/>
              </w:rPr>
            </w:pPr>
          </w:p>
        </w:tc>
        <w:tc>
          <w:tcPr>
            <w:tcW w:w="160" w:type="dxa"/>
            <w:vAlign w:val="bottom"/>
            <w:tcBorders>
              <w:top w:val="single" w:sz="8" w:color="0000FF"/>
              <w:bottom w:val="single" w:sz="8" w:color="0071CE"/>
            </w:tcBorders>
          </w:tcPr>
          <w:p>
            <w:pPr>
              <w:spacing w:after="0"/>
              <w:rPr>
                <w:sz w:val="4"/>
                <w:szCs w:val="4"/>
                <w:color w:val="auto"/>
              </w:rPr>
            </w:pPr>
          </w:p>
        </w:tc>
        <w:tc>
          <w:tcPr>
            <w:tcW w:w="100" w:type="dxa"/>
            <w:vAlign w:val="bottom"/>
            <w:tcBorders>
              <w:top w:val="single" w:sz="8" w:color="0000FF"/>
              <w:bottom w:val="single" w:sz="8" w:color="0071CE"/>
            </w:tcBorders>
          </w:tcPr>
          <w:p>
            <w:pPr>
              <w:spacing w:after="0"/>
              <w:rPr>
                <w:sz w:val="4"/>
                <w:szCs w:val="4"/>
                <w:color w:val="auto"/>
              </w:rPr>
            </w:pPr>
          </w:p>
        </w:tc>
        <w:tc>
          <w:tcPr>
            <w:tcW w:w="100" w:type="dxa"/>
            <w:vAlign w:val="bottom"/>
            <w:tcBorders>
              <w:top w:val="single" w:sz="8" w:color="0000FF"/>
              <w:bottom w:val="single" w:sz="8" w:color="0071CE"/>
            </w:tcBorders>
          </w:tcPr>
          <w:p>
            <w:pPr>
              <w:spacing w:after="0"/>
              <w:rPr>
                <w:sz w:val="4"/>
                <w:szCs w:val="4"/>
                <w:color w:val="auto"/>
              </w:rPr>
            </w:pPr>
          </w:p>
        </w:tc>
        <w:tc>
          <w:tcPr>
            <w:tcW w:w="40" w:type="dxa"/>
            <w:vAlign w:val="bottom"/>
            <w:tcBorders>
              <w:bottom w:val="single" w:sz="8" w:color="0071CE"/>
            </w:tcBorders>
          </w:tcPr>
          <w:p>
            <w:pPr>
              <w:spacing w:after="0"/>
              <w:rPr>
                <w:sz w:val="4"/>
                <w:szCs w:val="4"/>
                <w:color w:val="auto"/>
              </w:rPr>
            </w:pPr>
          </w:p>
        </w:tc>
        <w:tc>
          <w:tcPr>
            <w:tcW w:w="160" w:type="dxa"/>
            <w:vAlign w:val="bottom"/>
            <w:tcBorders>
              <w:bottom w:val="single" w:sz="8" w:color="0071CE"/>
            </w:tcBorders>
          </w:tcPr>
          <w:p>
            <w:pPr>
              <w:spacing w:after="0"/>
              <w:rPr>
                <w:sz w:val="4"/>
                <w:szCs w:val="4"/>
                <w:color w:val="auto"/>
              </w:rPr>
            </w:pPr>
          </w:p>
        </w:tc>
        <w:tc>
          <w:tcPr>
            <w:tcW w:w="160" w:type="dxa"/>
            <w:vAlign w:val="bottom"/>
            <w:tcBorders>
              <w:bottom w:val="single" w:sz="8" w:color="0071CE"/>
            </w:tcBorders>
          </w:tcPr>
          <w:p>
            <w:pPr>
              <w:spacing w:after="0"/>
              <w:rPr>
                <w:sz w:val="4"/>
                <w:szCs w:val="4"/>
                <w:color w:val="auto"/>
              </w:rPr>
            </w:pPr>
          </w:p>
        </w:tc>
        <w:tc>
          <w:tcPr>
            <w:tcW w:w="240" w:type="dxa"/>
            <w:vAlign w:val="bottom"/>
            <w:tcBorders>
              <w:bottom w:val="single" w:sz="8" w:color="0071CE"/>
            </w:tcBorders>
          </w:tcPr>
          <w:p>
            <w:pPr>
              <w:spacing w:after="0"/>
              <w:rPr>
                <w:sz w:val="4"/>
                <w:szCs w:val="4"/>
                <w:color w:val="auto"/>
              </w:rPr>
            </w:pPr>
          </w:p>
        </w:tc>
        <w:tc>
          <w:tcPr>
            <w:tcW w:w="60" w:type="dxa"/>
            <w:vAlign w:val="bottom"/>
            <w:tcBorders>
              <w:bottom w:val="single" w:sz="8" w:color="0071CE"/>
            </w:tcBorders>
          </w:tcPr>
          <w:p>
            <w:pPr>
              <w:spacing w:after="0"/>
              <w:rPr>
                <w:sz w:val="4"/>
                <w:szCs w:val="4"/>
                <w:color w:val="auto"/>
              </w:rPr>
            </w:pPr>
          </w:p>
        </w:tc>
        <w:tc>
          <w:tcPr>
            <w:tcW w:w="20" w:type="dxa"/>
            <w:vAlign w:val="bottom"/>
            <w:tcBorders>
              <w:bottom w:val="single" w:sz="8" w:color="0071CE"/>
            </w:tcBorders>
          </w:tcPr>
          <w:p>
            <w:pPr>
              <w:spacing w:after="0"/>
              <w:rPr>
                <w:sz w:val="4"/>
                <w:szCs w:val="4"/>
                <w:color w:val="auto"/>
              </w:rPr>
            </w:pPr>
          </w:p>
        </w:tc>
        <w:tc>
          <w:tcPr>
            <w:tcW w:w="120" w:type="dxa"/>
            <w:vAlign w:val="bottom"/>
            <w:tcBorders>
              <w:bottom w:val="single" w:sz="8" w:color="0071CE"/>
            </w:tcBorders>
          </w:tcPr>
          <w:p>
            <w:pPr>
              <w:spacing w:after="0"/>
              <w:rPr>
                <w:sz w:val="4"/>
                <w:szCs w:val="4"/>
                <w:color w:val="auto"/>
              </w:rPr>
            </w:pPr>
          </w:p>
        </w:tc>
        <w:tc>
          <w:tcPr>
            <w:tcW w:w="200" w:type="dxa"/>
            <w:vAlign w:val="bottom"/>
            <w:tcBorders>
              <w:bottom w:val="single" w:sz="8" w:color="0071CE"/>
            </w:tcBorders>
          </w:tcPr>
          <w:p>
            <w:pPr>
              <w:spacing w:after="0"/>
              <w:rPr>
                <w:sz w:val="4"/>
                <w:szCs w:val="4"/>
                <w:color w:val="auto"/>
              </w:rPr>
            </w:pPr>
          </w:p>
        </w:tc>
        <w:tc>
          <w:tcPr>
            <w:tcW w:w="20" w:type="dxa"/>
            <w:vAlign w:val="bottom"/>
            <w:tcBorders>
              <w:bottom w:val="single" w:sz="8" w:color="0071CE"/>
            </w:tcBorders>
          </w:tcPr>
          <w:p>
            <w:pPr>
              <w:spacing w:after="0"/>
              <w:rPr>
                <w:sz w:val="4"/>
                <w:szCs w:val="4"/>
                <w:color w:val="auto"/>
              </w:rPr>
            </w:pPr>
          </w:p>
        </w:tc>
        <w:tc>
          <w:tcPr>
            <w:tcW w:w="40" w:type="dxa"/>
            <w:vAlign w:val="bottom"/>
            <w:tcBorders>
              <w:bottom w:val="single" w:sz="8" w:color="0071CE"/>
            </w:tcBorders>
          </w:tcPr>
          <w:p>
            <w:pPr>
              <w:spacing w:after="0"/>
              <w:rPr>
                <w:sz w:val="4"/>
                <w:szCs w:val="4"/>
                <w:color w:val="auto"/>
              </w:rPr>
            </w:pPr>
          </w:p>
        </w:tc>
        <w:tc>
          <w:tcPr>
            <w:tcW w:w="160" w:type="dxa"/>
            <w:vAlign w:val="bottom"/>
            <w:tcBorders>
              <w:bottom w:val="single" w:sz="8" w:color="0071CE"/>
            </w:tcBorders>
          </w:tcPr>
          <w:p>
            <w:pPr>
              <w:spacing w:after="0"/>
              <w:rPr>
                <w:sz w:val="4"/>
                <w:szCs w:val="4"/>
                <w:color w:val="auto"/>
              </w:rPr>
            </w:pPr>
          </w:p>
        </w:tc>
        <w:tc>
          <w:tcPr>
            <w:tcW w:w="760" w:type="dxa"/>
            <w:vAlign w:val="bottom"/>
            <w:tcBorders>
              <w:bottom w:val="single" w:sz="8" w:color="0071CE"/>
            </w:tcBorders>
          </w:tcPr>
          <w:p>
            <w:pPr>
              <w:spacing w:after="0"/>
              <w:rPr>
                <w:sz w:val="4"/>
                <w:szCs w:val="4"/>
                <w:color w:val="auto"/>
              </w:rPr>
            </w:pPr>
          </w:p>
        </w:tc>
        <w:tc>
          <w:tcPr>
            <w:tcW w:w="80" w:type="dxa"/>
            <w:vAlign w:val="bottom"/>
            <w:tcBorders>
              <w:bottom w:val="single" w:sz="8" w:color="0071CE"/>
            </w:tcBorders>
          </w:tcPr>
          <w:p>
            <w:pPr>
              <w:spacing w:after="0"/>
              <w:rPr>
                <w:sz w:val="4"/>
                <w:szCs w:val="4"/>
                <w:color w:val="auto"/>
              </w:rPr>
            </w:pPr>
          </w:p>
        </w:tc>
        <w:tc>
          <w:tcPr>
            <w:tcW w:w="60" w:type="dxa"/>
            <w:vAlign w:val="bottom"/>
            <w:tcBorders>
              <w:bottom w:val="single" w:sz="8" w:color="0071CE"/>
            </w:tcBorders>
          </w:tcPr>
          <w:p>
            <w:pPr>
              <w:spacing w:after="0"/>
              <w:rPr>
                <w:sz w:val="4"/>
                <w:szCs w:val="4"/>
                <w:color w:val="auto"/>
              </w:rPr>
            </w:pPr>
          </w:p>
        </w:tc>
        <w:tc>
          <w:tcPr>
            <w:tcW w:w="380" w:type="dxa"/>
            <w:vAlign w:val="bottom"/>
            <w:tcBorders>
              <w:bottom w:val="single" w:sz="8" w:color="0071CE"/>
            </w:tcBorders>
          </w:tcPr>
          <w:p>
            <w:pPr>
              <w:spacing w:after="0"/>
              <w:rPr>
                <w:sz w:val="4"/>
                <w:szCs w:val="4"/>
                <w:color w:val="auto"/>
              </w:rPr>
            </w:pPr>
          </w:p>
        </w:tc>
        <w:tc>
          <w:tcPr>
            <w:tcW w:w="600" w:type="dxa"/>
            <w:vAlign w:val="bottom"/>
            <w:tcBorders>
              <w:bottom w:val="single" w:sz="8" w:color="0071CE"/>
            </w:tcBorders>
          </w:tcPr>
          <w:p>
            <w:pPr>
              <w:spacing w:after="0"/>
              <w:rPr>
                <w:sz w:val="4"/>
                <w:szCs w:val="4"/>
                <w:color w:val="auto"/>
              </w:rPr>
            </w:pPr>
          </w:p>
        </w:tc>
        <w:tc>
          <w:tcPr>
            <w:tcW w:w="340" w:type="dxa"/>
            <w:vAlign w:val="bottom"/>
            <w:tcBorders>
              <w:bottom w:val="single" w:sz="8" w:color="0071CE"/>
            </w:tcBorders>
          </w:tcPr>
          <w:p>
            <w:pPr>
              <w:spacing w:after="0"/>
              <w:rPr>
                <w:sz w:val="4"/>
                <w:szCs w:val="4"/>
                <w:color w:val="auto"/>
              </w:rPr>
            </w:pPr>
          </w:p>
        </w:tc>
        <w:tc>
          <w:tcPr>
            <w:tcW w:w="240" w:type="dxa"/>
            <w:vAlign w:val="bottom"/>
            <w:tcBorders>
              <w:bottom w:val="single" w:sz="8" w:color="0071CE"/>
            </w:tcBorders>
          </w:tcPr>
          <w:p>
            <w:pPr>
              <w:spacing w:after="0"/>
              <w:rPr>
                <w:sz w:val="4"/>
                <w:szCs w:val="4"/>
                <w:color w:val="auto"/>
              </w:rPr>
            </w:pPr>
          </w:p>
        </w:tc>
        <w:tc>
          <w:tcPr>
            <w:tcW w:w="80" w:type="dxa"/>
            <w:vAlign w:val="bottom"/>
            <w:tcBorders>
              <w:bottom w:val="single" w:sz="8" w:color="0071CE"/>
            </w:tcBorders>
          </w:tcPr>
          <w:p>
            <w:pPr>
              <w:spacing w:after="0"/>
              <w:rPr>
                <w:sz w:val="4"/>
                <w:szCs w:val="4"/>
                <w:color w:val="auto"/>
              </w:rPr>
            </w:pPr>
          </w:p>
        </w:tc>
        <w:tc>
          <w:tcPr>
            <w:tcW w:w="440" w:type="dxa"/>
            <w:vAlign w:val="bottom"/>
            <w:tcBorders>
              <w:bottom w:val="single" w:sz="8" w:color="0071CE"/>
            </w:tcBorders>
          </w:tcPr>
          <w:p>
            <w:pPr>
              <w:spacing w:after="0"/>
              <w:rPr>
                <w:sz w:val="4"/>
                <w:szCs w:val="4"/>
                <w:color w:val="auto"/>
              </w:rPr>
            </w:pPr>
          </w:p>
        </w:tc>
        <w:tc>
          <w:tcPr>
            <w:tcW w:w="1720" w:type="dxa"/>
            <w:vAlign w:val="bottom"/>
            <w:tcBorders>
              <w:bottom w:val="single" w:sz="8" w:color="0071CE"/>
            </w:tcBorders>
          </w:tcPr>
          <w:p>
            <w:pPr>
              <w:spacing w:after="0"/>
              <w:rPr>
                <w:sz w:val="4"/>
                <w:szCs w:val="4"/>
                <w:color w:val="auto"/>
              </w:rPr>
            </w:pPr>
          </w:p>
        </w:tc>
        <w:tc>
          <w:tcPr>
            <w:tcW w:w="380" w:type="dxa"/>
            <w:vAlign w:val="bottom"/>
            <w:tcBorders>
              <w:bottom w:val="single" w:sz="8" w:color="0071CE"/>
            </w:tcBorders>
          </w:tcPr>
          <w:p>
            <w:pPr>
              <w:spacing w:after="0"/>
              <w:rPr>
                <w:sz w:val="4"/>
                <w:szCs w:val="4"/>
                <w:color w:val="auto"/>
              </w:rPr>
            </w:pPr>
          </w:p>
        </w:tc>
        <w:tc>
          <w:tcPr>
            <w:tcW w:w="80" w:type="dxa"/>
            <w:vAlign w:val="bottom"/>
            <w:tcBorders>
              <w:bottom w:val="single" w:sz="8" w:color="0071CE"/>
            </w:tcBorders>
          </w:tcPr>
          <w:p>
            <w:pPr>
              <w:spacing w:after="0"/>
              <w:rPr>
                <w:sz w:val="4"/>
                <w:szCs w:val="4"/>
                <w:color w:val="auto"/>
              </w:rPr>
            </w:pPr>
          </w:p>
        </w:tc>
        <w:tc>
          <w:tcPr>
            <w:tcW w:w="40" w:type="dxa"/>
            <w:vAlign w:val="bottom"/>
            <w:tcBorders>
              <w:bottom w:val="single" w:sz="8" w:color="0071CE"/>
            </w:tcBorders>
          </w:tcPr>
          <w:p>
            <w:pPr>
              <w:spacing w:after="0"/>
              <w:rPr>
                <w:sz w:val="4"/>
                <w:szCs w:val="4"/>
                <w:color w:val="auto"/>
              </w:rPr>
            </w:pPr>
          </w:p>
        </w:tc>
        <w:tc>
          <w:tcPr>
            <w:tcW w:w="1240" w:type="dxa"/>
            <w:vAlign w:val="bottom"/>
            <w:tcBorders>
              <w:bottom w:val="single" w:sz="8" w:color="0071CE"/>
            </w:tcBorders>
          </w:tcPr>
          <w:p>
            <w:pPr>
              <w:spacing w:after="0"/>
              <w:rPr>
                <w:sz w:val="4"/>
                <w:szCs w:val="4"/>
                <w:color w:val="auto"/>
              </w:rPr>
            </w:pPr>
          </w:p>
        </w:tc>
        <w:tc>
          <w:tcPr>
            <w:tcW w:w="360" w:type="dxa"/>
            <w:vAlign w:val="bottom"/>
          </w:tcPr>
          <w:p>
            <w:pPr>
              <w:spacing w:after="0"/>
              <w:rPr>
                <w:sz w:val="4"/>
                <w:szCs w:val="4"/>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FF"/>
              </w:rPr>
              <w:t>PROPOSAL 4: APPROVAL OF THE PROPOSED AMENDMENT TO AMENDED AND RESTATED 2012 EMPLOYEE STOCK</w:t>
            </w: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044E7C"/>
              </w:rPr>
              <w:t>74</w:t>
            </w:r>
          </w:p>
        </w:tc>
        <w:tc>
          <w:tcPr>
            <w:tcW w:w="36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9120" w:type="dxa"/>
            <w:vAlign w:val="bottom"/>
            <w:tcBorders>
              <w:top w:val="single" w:sz="8" w:color="0000FF"/>
            </w:tcBorders>
            <w:gridSpan w:val="38"/>
          </w:tcPr>
          <w:p>
            <w:pPr>
              <w:spacing w:after="0" w:line="169" w:lineRule="exact"/>
              <w:rPr>
                <w:sz w:val="20"/>
                <w:szCs w:val="20"/>
                <w:color w:val="auto"/>
              </w:rPr>
            </w:pPr>
            <w:r>
              <w:rPr>
                <w:rFonts w:ascii="Arial" w:cs="Arial" w:eastAsia="Arial" w:hAnsi="Arial"/>
                <w:sz w:val="16"/>
                <w:szCs w:val="16"/>
                <w:b w:val="1"/>
                <w:bCs w:val="1"/>
                <w:color w:val="0000FF"/>
              </w:rPr>
              <w:t>PURCHASE PLAN</w:t>
            </w:r>
          </w:p>
        </w:tc>
        <w:tc>
          <w:tcPr>
            <w:tcW w:w="3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8"/>
        </w:trPr>
        <w:tc>
          <w:tcPr>
            <w:tcW w:w="20" w:type="dxa"/>
            <w:vAlign w:val="bottom"/>
            <w:tcBorders>
              <w:bottom w:val="single" w:sz="8" w:color="0071CE"/>
            </w:tcBorders>
          </w:tcPr>
          <w:p>
            <w:pPr>
              <w:spacing w:after="0"/>
              <w:rPr>
                <w:sz w:val="4"/>
                <w:szCs w:val="4"/>
                <w:color w:val="auto"/>
              </w:rPr>
            </w:pPr>
          </w:p>
        </w:tc>
        <w:tc>
          <w:tcPr>
            <w:tcW w:w="160" w:type="dxa"/>
            <w:vAlign w:val="bottom"/>
            <w:tcBorders>
              <w:top w:val="single" w:sz="8" w:color="0000FF"/>
              <w:bottom w:val="single" w:sz="8" w:color="0071CE"/>
            </w:tcBorders>
          </w:tcPr>
          <w:p>
            <w:pPr>
              <w:spacing w:after="0"/>
              <w:rPr>
                <w:sz w:val="4"/>
                <w:szCs w:val="4"/>
                <w:color w:val="auto"/>
              </w:rPr>
            </w:pPr>
          </w:p>
        </w:tc>
        <w:tc>
          <w:tcPr>
            <w:tcW w:w="1100" w:type="dxa"/>
            <w:vAlign w:val="bottom"/>
            <w:tcBorders>
              <w:top w:val="single" w:sz="8" w:color="0000FF"/>
              <w:bottom w:val="single" w:sz="8" w:color="0071CE"/>
            </w:tcBorders>
          </w:tcPr>
          <w:p>
            <w:pPr>
              <w:spacing w:after="0"/>
              <w:rPr>
                <w:sz w:val="4"/>
                <w:szCs w:val="4"/>
                <w:color w:val="auto"/>
              </w:rPr>
            </w:pPr>
          </w:p>
        </w:tc>
        <w:tc>
          <w:tcPr>
            <w:tcW w:w="120" w:type="dxa"/>
            <w:vAlign w:val="bottom"/>
            <w:tcBorders>
              <w:top w:val="single" w:sz="8" w:color="0000FF"/>
              <w:bottom w:val="single" w:sz="8" w:color="0071CE"/>
            </w:tcBorders>
          </w:tcPr>
          <w:p>
            <w:pPr>
              <w:spacing w:after="0"/>
              <w:rPr>
                <w:sz w:val="4"/>
                <w:szCs w:val="4"/>
                <w:color w:val="auto"/>
              </w:rPr>
            </w:pPr>
          </w:p>
        </w:tc>
        <w:tc>
          <w:tcPr>
            <w:tcW w:w="20" w:type="dxa"/>
            <w:vAlign w:val="bottom"/>
            <w:tcBorders>
              <w:top w:val="single" w:sz="8" w:color="0000FF"/>
              <w:bottom w:val="single" w:sz="8" w:color="0071CE"/>
            </w:tcBorders>
          </w:tcPr>
          <w:p>
            <w:pPr>
              <w:spacing w:after="0"/>
              <w:rPr>
                <w:sz w:val="4"/>
                <w:szCs w:val="4"/>
                <w:color w:val="auto"/>
              </w:rPr>
            </w:pPr>
          </w:p>
        </w:tc>
        <w:tc>
          <w:tcPr>
            <w:tcW w:w="40" w:type="dxa"/>
            <w:vAlign w:val="bottom"/>
            <w:tcBorders>
              <w:bottom w:val="single" w:sz="8" w:color="0071CE"/>
            </w:tcBorders>
          </w:tcPr>
          <w:p>
            <w:pPr>
              <w:spacing w:after="0"/>
              <w:rPr>
                <w:sz w:val="4"/>
                <w:szCs w:val="4"/>
                <w:color w:val="auto"/>
              </w:rPr>
            </w:pPr>
          </w:p>
        </w:tc>
        <w:tc>
          <w:tcPr>
            <w:tcW w:w="40" w:type="dxa"/>
            <w:vAlign w:val="bottom"/>
            <w:tcBorders>
              <w:bottom w:val="single" w:sz="8" w:color="0071CE"/>
            </w:tcBorders>
          </w:tcPr>
          <w:p>
            <w:pPr>
              <w:spacing w:after="0"/>
              <w:rPr>
                <w:sz w:val="4"/>
                <w:szCs w:val="4"/>
                <w:color w:val="auto"/>
              </w:rPr>
            </w:pPr>
          </w:p>
        </w:tc>
        <w:tc>
          <w:tcPr>
            <w:tcW w:w="320" w:type="dxa"/>
            <w:vAlign w:val="bottom"/>
            <w:tcBorders>
              <w:bottom w:val="single" w:sz="8" w:color="0071CE"/>
            </w:tcBorders>
          </w:tcPr>
          <w:p>
            <w:pPr>
              <w:spacing w:after="0"/>
              <w:rPr>
                <w:sz w:val="4"/>
                <w:szCs w:val="4"/>
                <w:color w:val="auto"/>
              </w:rPr>
            </w:pPr>
          </w:p>
        </w:tc>
        <w:tc>
          <w:tcPr>
            <w:tcW w:w="160" w:type="dxa"/>
            <w:vAlign w:val="bottom"/>
            <w:tcBorders>
              <w:bottom w:val="single" w:sz="8" w:color="0071CE"/>
            </w:tcBorders>
          </w:tcPr>
          <w:p>
            <w:pPr>
              <w:spacing w:after="0"/>
              <w:rPr>
                <w:sz w:val="4"/>
                <w:szCs w:val="4"/>
                <w:color w:val="auto"/>
              </w:rPr>
            </w:pPr>
          </w:p>
        </w:tc>
        <w:tc>
          <w:tcPr>
            <w:tcW w:w="20" w:type="dxa"/>
            <w:vAlign w:val="bottom"/>
            <w:tcBorders>
              <w:bottom w:val="single" w:sz="8" w:color="0071CE"/>
            </w:tcBorders>
          </w:tcPr>
          <w:p>
            <w:pPr>
              <w:spacing w:after="0"/>
              <w:rPr>
                <w:sz w:val="4"/>
                <w:szCs w:val="4"/>
                <w:color w:val="auto"/>
              </w:rPr>
            </w:pPr>
          </w:p>
        </w:tc>
        <w:tc>
          <w:tcPr>
            <w:tcW w:w="320" w:type="dxa"/>
            <w:vAlign w:val="bottom"/>
            <w:tcBorders>
              <w:bottom w:val="single" w:sz="8" w:color="0071CE"/>
            </w:tcBorders>
          </w:tcPr>
          <w:p>
            <w:pPr>
              <w:spacing w:after="0"/>
              <w:rPr>
                <w:sz w:val="4"/>
                <w:szCs w:val="4"/>
                <w:color w:val="auto"/>
              </w:rPr>
            </w:pPr>
          </w:p>
        </w:tc>
        <w:tc>
          <w:tcPr>
            <w:tcW w:w="80" w:type="dxa"/>
            <w:vAlign w:val="bottom"/>
            <w:tcBorders>
              <w:bottom w:val="single" w:sz="8" w:color="0071CE"/>
            </w:tcBorders>
          </w:tcPr>
          <w:p>
            <w:pPr>
              <w:spacing w:after="0"/>
              <w:rPr>
                <w:sz w:val="4"/>
                <w:szCs w:val="4"/>
                <w:color w:val="auto"/>
              </w:rPr>
            </w:pPr>
          </w:p>
        </w:tc>
        <w:tc>
          <w:tcPr>
            <w:tcW w:w="220" w:type="dxa"/>
            <w:vAlign w:val="bottom"/>
            <w:tcBorders>
              <w:bottom w:val="single" w:sz="8" w:color="0071CE"/>
            </w:tcBorders>
          </w:tcPr>
          <w:p>
            <w:pPr>
              <w:spacing w:after="0"/>
              <w:rPr>
                <w:sz w:val="4"/>
                <w:szCs w:val="4"/>
                <w:color w:val="auto"/>
              </w:rPr>
            </w:pPr>
          </w:p>
        </w:tc>
        <w:tc>
          <w:tcPr>
            <w:tcW w:w="60" w:type="dxa"/>
            <w:vAlign w:val="bottom"/>
            <w:tcBorders>
              <w:bottom w:val="single" w:sz="8" w:color="0071CE"/>
            </w:tcBorders>
          </w:tcPr>
          <w:p>
            <w:pPr>
              <w:spacing w:after="0"/>
              <w:rPr>
                <w:sz w:val="4"/>
                <w:szCs w:val="4"/>
                <w:color w:val="auto"/>
              </w:rPr>
            </w:pPr>
          </w:p>
        </w:tc>
        <w:tc>
          <w:tcPr>
            <w:tcW w:w="180" w:type="dxa"/>
            <w:vAlign w:val="bottom"/>
            <w:tcBorders>
              <w:bottom w:val="single" w:sz="8" w:color="0071CE"/>
            </w:tcBorders>
          </w:tcPr>
          <w:p>
            <w:pPr>
              <w:spacing w:after="0"/>
              <w:rPr>
                <w:sz w:val="4"/>
                <w:szCs w:val="4"/>
                <w:color w:val="auto"/>
              </w:rPr>
            </w:pPr>
          </w:p>
        </w:tc>
        <w:tc>
          <w:tcPr>
            <w:tcW w:w="160" w:type="dxa"/>
            <w:vAlign w:val="bottom"/>
            <w:tcBorders>
              <w:bottom w:val="single" w:sz="8" w:color="0071CE"/>
            </w:tcBorders>
          </w:tcPr>
          <w:p>
            <w:pPr>
              <w:spacing w:after="0"/>
              <w:rPr>
                <w:sz w:val="4"/>
                <w:szCs w:val="4"/>
                <w:color w:val="auto"/>
              </w:rPr>
            </w:pPr>
          </w:p>
        </w:tc>
        <w:tc>
          <w:tcPr>
            <w:tcW w:w="100" w:type="dxa"/>
            <w:vAlign w:val="bottom"/>
            <w:tcBorders>
              <w:bottom w:val="single" w:sz="8" w:color="0071CE"/>
            </w:tcBorders>
          </w:tcPr>
          <w:p>
            <w:pPr>
              <w:spacing w:after="0"/>
              <w:rPr>
                <w:sz w:val="4"/>
                <w:szCs w:val="4"/>
                <w:color w:val="auto"/>
              </w:rPr>
            </w:pPr>
          </w:p>
        </w:tc>
        <w:tc>
          <w:tcPr>
            <w:tcW w:w="100" w:type="dxa"/>
            <w:vAlign w:val="bottom"/>
            <w:tcBorders>
              <w:bottom w:val="single" w:sz="8" w:color="0071CE"/>
            </w:tcBorders>
          </w:tcPr>
          <w:p>
            <w:pPr>
              <w:spacing w:after="0"/>
              <w:rPr>
                <w:sz w:val="4"/>
                <w:szCs w:val="4"/>
                <w:color w:val="auto"/>
              </w:rPr>
            </w:pPr>
          </w:p>
        </w:tc>
        <w:tc>
          <w:tcPr>
            <w:tcW w:w="40" w:type="dxa"/>
            <w:vAlign w:val="bottom"/>
            <w:tcBorders>
              <w:bottom w:val="single" w:sz="8" w:color="0071CE"/>
            </w:tcBorders>
          </w:tcPr>
          <w:p>
            <w:pPr>
              <w:spacing w:after="0"/>
              <w:rPr>
                <w:sz w:val="4"/>
                <w:szCs w:val="4"/>
                <w:color w:val="auto"/>
              </w:rPr>
            </w:pPr>
          </w:p>
        </w:tc>
        <w:tc>
          <w:tcPr>
            <w:tcW w:w="160" w:type="dxa"/>
            <w:vAlign w:val="bottom"/>
            <w:tcBorders>
              <w:bottom w:val="single" w:sz="8" w:color="0071CE"/>
            </w:tcBorders>
          </w:tcPr>
          <w:p>
            <w:pPr>
              <w:spacing w:after="0"/>
              <w:rPr>
                <w:sz w:val="4"/>
                <w:szCs w:val="4"/>
                <w:color w:val="auto"/>
              </w:rPr>
            </w:pPr>
          </w:p>
        </w:tc>
        <w:tc>
          <w:tcPr>
            <w:tcW w:w="160" w:type="dxa"/>
            <w:vAlign w:val="bottom"/>
            <w:tcBorders>
              <w:bottom w:val="single" w:sz="8" w:color="0071CE"/>
            </w:tcBorders>
          </w:tcPr>
          <w:p>
            <w:pPr>
              <w:spacing w:after="0"/>
              <w:rPr>
                <w:sz w:val="4"/>
                <w:szCs w:val="4"/>
                <w:color w:val="auto"/>
              </w:rPr>
            </w:pPr>
          </w:p>
        </w:tc>
        <w:tc>
          <w:tcPr>
            <w:tcW w:w="240" w:type="dxa"/>
            <w:vAlign w:val="bottom"/>
            <w:tcBorders>
              <w:bottom w:val="single" w:sz="8" w:color="0071CE"/>
            </w:tcBorders>
          </w:tcPr>
          <w:p>
            <w:pPr>
              <w:spacing w:after="0"/>
              <w:rPr>
                <w:sz w:val="4"/>
                <w:szCs w:val="4"/>
                <w:color w:val="auto"/>
              </w:rPr>
            </w:pPr>
          </w:p>
        </w:tc>
        <w:tc>
          <w:tcPr>
            <w:tcW w:w="60" w:type="dxa"/>
            <w:vAlign w:val="bottom"/>
            <w:tcBorders>
              <w:bottom w:val="single" w:sz="8" w:color="0071CE"/>
            </w:tcBorders>
          </w:tcPr>
          <w:p>
            <w:pPr>
              <w:spacing w:after="0"/>
              <w:rPr>
                <w:sz w:val="4"/>
                <w:szCs w:val="4"/>
                <w:color w:val="auto"/>
              </w:rPr>
            </w:pPr>
          </w:p>
        </w:tc>
        <w:tc>
          <w:tcPr>
            <w:tcW w:w="20" w:type="dxa"/>
            <w:vAlign w:val="bottom"/>
            <w:tcBorders>
              <w:bottom w:val="single" w:sz="8" w:color="0071CE"/>
            </w:tcBorders>
          </w:tcPr>
          <w:p>
            <w:pPr>
              <w:spacing w:after="0"/>
              <w:rPr>
                <w:sz w:val="4"/>
                <w:szCs w:val="4"/>
                <w:color w:val="auto"/>
              </w:rPr>
            </w:pPr>
          </w:p>
        </w:tc>
        <w:tc>
          <w:tcPr>
            <w:tcW w:w="120" w:type="dxa"/>
            <w:vAlign w:val="bottom"/>
            <w:tcBorders>
              <w:bottom w:val="single" w:sz="8" w:color="0071CE"/>
            </w:tcBorders>
          </w:tcPr>
          <w:p>
            <w:pPr>
              <w:spacing w:after="0"/>
              <w:rPr>
                <w:sz w:val="4"/>
                <w:szCs w:val="4"/>
                <w:color w:val="auto"/>
              </w:rPr>
            </w:pPr>
          </w:p>
        </w:tc>
        <w:tc>
          <w:tcPr>
            <w:tcW w:w="200" w:type="dxa"/>
            <w:vAlign w:val="bottom"/>
            <w:tcBorders>
              <w:bottom w:val="single" w:sz="8" w:color="0071CE"/>
            </w:tcBorders>
          </w:tcPr>
          <w:p>
            <w:pPr>
              <w:spacing w:after="0"/>
              <w:rPr>
                <w:sz w:val="4"/>
                <w:szCs w:val="4"/>
                <w:color w:val="auto"/>
              </w:rPr>
            </w:pPr>
          </w:p>
        </w:tc>
        <w:tc>
          <w:tcPr>
            <w:tcW w:w="20" w:type="dxa"/>
            <w:vAlign w:val="bottom"/>
            <w:tcBorders>
              <w:bottom w:val="single" w:sz="8" w:color="0071CE"/>
            </w:tcBorders>
          </w:tcPr>
          <w:p>
            <w:pPr>
              <w:spacing w:after="0"/>
              <w:rPr>
                <w:sz w:val="4"/>
                <w:szCs w:val="4"/>
                <w:color w:val="auto"/>
              </w:rPr>
            </w:pPr>
          </w:p>
        </w:tc>
        <w:tc>
          <w:tcPr>
            <w:tcW w:w="40" w:type="dxa"/>
            <w:vAlign w:val="bottom"/>
            <w:tcBorders>
              <w:bottom w:val="single" w:sz="8" w:color="0071CE"/>
            </w:tcBorders>
          </w:tcPr>
          <w:p>
            <w:pPr>
              <w:spacing w:after="0"/>
              <w:rPr>
                <w:sz w:val="4"/>
                <w:szCs w:val="4"/>
                <w:color w:val="auto"/>
              </w:rPr>
            </w:pPr>
          </w:p>
        </w:tc>
        <w:tc>
          <w:tcPr>
            <w:tcW w:w="160" w:type="dxa"/>
            <w:vAlign w:val="bottom"/>
            <w:tcBorders>
              <w:bottom w:val="single" w:sz="8" w:color="0071CE"/>
            </w:tcBorders>
          </w:tcPr>
          <w:p>
            <w:pPr>
              <w:spacing w:after="0"/>
              <w:rPr>
                <w:sz w:val="4"/>
                <w:szCs w:val="4"/>
                <w:color w:val="auto"/>
              </w:rPr>
            </w:pPr>
          </w:p>
        </w:tc>
        <w:tc>
          <w:tcPr>
            <w:tcW w:w="760" w:type="dxa"/>
            <w:vAlign w:val="bottom"/>
            <w:tcBorders>
              <w:bottom w:val="single" w:sz="8" w:color="0071CE"/>
            </w:tcBorders>
          </w:tcPr>
          <w:p>
            <w:pPr>
              <w:spacing w:after="0"/>
              <w:rPr>
                <w:sz w:val="4"/>
                <w:szCs w:val="4"/>
                <w:color w:val="auto"/>
              </w:rPr>
            </w:pPr>
          </w:p>
        </w:tc>
        <w:tc>
          <w:tcPr>
            <w:tcW w:w="80" w:type="dxa"/>
            <w:vAlign w:val="bottom"/>
            <w:tcBorders>
              <w:bottom w:val="single" w:sz="8" w:color="0071CE"/>
            </w:tcBorders>
          </w:tcPr>
          <w:p>
            <w:pPr>
              <w:spacing w:after="0"/>
              <w:rPr>
                <w:sz w:val="4"/>
                <w:szCs w:val="4"/>
                <w:color w:val="auto"/>
              </w:rPr>
            </w:pPr>
          </w:p>
        </w:tc>
        <w:tc>
          <w:tcPr>
            <w:tcW w:w="60" w:type="dxa"/>
            <w:vAlign w:val="bottom"/>
            <w:tcBorders>
              <w:bottom w:val="single" w:sz="8" w:color="0071CE"/>
            </w:tcBorders>
          </w:tcPr>
          <w:p>
            <w:pPr>
              <w:spacing w:after="0"/>
              <w:rPr>
                <w:sz w:val="4"/>
                <w:szCs w:val="4"/>
                <w:color w:val="auto"/>
              </w:rPr>
            </w:pPr>
          </w:p>
        </w:tc>
        <w:tc>
          <w:tcPr>
            <w:tcW w:w="380" w:type="dxa"/>
            <w:vAlign w:val="bottom"/>
            <w:tcBorders>
              <w:bottom w:val="single" w:sz="8" w:color="0071CE"/>
            </w:tcBorders>
          </w:tcPr>
          <w:p>
            <w:pPr>
              <w:spacing w:after="0"/>
              <w:rPr>
                <w:sz w:val="4"/>
                <w:szCs w:val="4"/>
                <w:color w:val="auto"/>
              </w:rPr>
            </w:pPr>
          </w:p>
        </w:tc>
        <w:tc>
          <w:tcPr>
            <w:tcW w:w="600" w:type="dxa"/>
            <w:vAlign w:val="bottom"/>
            <w:tcBorders>
              <w:bottom w:val="single" w:sz="8" w:color="0071CE"/>
            </w:tcBorders>
          </w:tcPr>
          <w:p>
            <w:pPr>
              <w:spacing w:after="0"/>
              <w:rPr>
                <w:sz w:val="4"/>
                <w:szCs w:val="4"/>
                <w:color w:val="auto"/>
              </w:rPr>
            </w:pPr>
          </w:p>
        </w:tc>
        <w:tc>
          <w:tcPr>
            <w:tcW w:w="340" w:type="dxa"/>
            <w:vAlign w:val="bottom"/>
            <w:tcBorders>
              <w:bottom w:val="single" w:sz="8" w:color="0071CE"/>
            </w:tcBorders>
          </w:tcPr>
          <w:p>
            <w:pPr>
              <w:spacing w:after="0"/>
              <w:rPr>
                <w:sz w:val="4"/>
                <w:szCs w:val="4"/>
                <w:color w:val="auto"/>
              </w:rPr>
            </w:pPr>
          </w:p>
        </w:tc>
        <w:tc>
          <w:tcPr>
            <w:tcW w:w="240" w:type="dxa"/>
            <w:vAlign w:val="bottom"/>
            <w:tcBorders>
              <w:bottom w:val="single" w:sz="8" w:color="0071CE"/>
            </w:tcBorders>
          </w:tcPr>
          <w:p>
            <w:pPr>
              <w:spacing w:after="0"/>
              <w:rPr>
                <w:sz w:val="4"/>
                <w:szCs w:val="4"/>
                <w:color w:val="auto"/>
              </w:rPr>
            </w:pPr>
          </w:p>
        </w:tc>
        <w:tc>
          <w:tcPr>
            <w:tcW w:w="80" w:type="dxa"/>
            <w:vAlign w:val="bottom"/>
            <w:tcBorders>
              <w:bottom w:val="single" w:sz="8" w:color="0071CE"/>
            </w:tcBorders>
          </w:tcPr>
          <w:p>
            <w:pPr>
              <w:spacing w:after="0"/>
              <w:rPr>
                <w:sz w:val="4"/>
                <w:szCs w:val="4"/>
                <w:color w:val="auto"/>
              </w:rPr>
            </w:pPr>
          </w:p>
        </w:tc>
        <w:tc>
          <w:tcPr>
            <w:tcW w:w="440" w:type="dxa"/>
            <w:vAlign w:val="bottom"/>
            <w:tcBorders>
              <w:bottom w:val="single" w:sz="8" w:color="0071CE"/>
            </w:tcBorders>
          </w:tcPr>
          <w:p>
            <w:pPr>
              <w:spacing w:after="0"/>
              <w:rPr>
                <w:sz w:val="4"/>
                <w:szCs w:val="4"/>
                <w:color w:val="auto"/>
              </w:rPr>
            </w:pPr>
          </w:p>
        </w:tc>
        <w:tc>
          <w:tcPr>
            <w:tcW w:w="1720" w:type="dxa"/>
            <w:vAlign w:val="bottom"/>
            <w:tcBorders>
              <w:bottom w:val="single" w:sz="8" w:color="0071CE"/>
            </w:tcBorders>
          </w:tcPr>
          <w:p>
            <w:pPr>
              <w:spacing w:after="0"/>
              <w:rPr>
                <w:sz w:val="4"/>
                <w:szCs w:val="4"/>
                <w:color w:val="auto"/>
              </w:rPr>
            </w:pPr>
          </w:p>
        </w:tc>
        <w:tc>
          <w:tcPr>
            <w:tcW w:w="380" w:type="dxa"/>
            <w:vAlign w:val="bottom"/>
            <w:tcBorders>
              <w:bottom w:val="single" w:sz="8" w:color="0071CE"/>
            </w:tcBorders>
          </w:tcPr>
          <w:p>
            <w:pPr>
              <w:spacing w:after="0"/>
              <w:rPr>
                <w:sz w:val="4"/>
                <w:szCs w:val="4"/>
                <w:color w:val="auto"/>
              </w:rPr>
            </w:pPr>
          </w:p>
        </w:tc>
        <w:tc>
          <w:tcPr>
            <w:tcW w:w="80" w:type="dxa"/>
            <w:vAlign w:val="bottom"/>
            <w:tcBorders>
              <w:bottom w:val="single" w:sz="8" w:color="0071CE"/>
            </w:tcBorders>
          </w:tcPr>
          <w:p>
            <w:pPr>
              <w:spacing w:after="0"/>
              <w:rPr>
                <w:sz w:val="4"/>
                <w:szCs w:val="4"/>
                <w:color w:val="auto"/>
              </w:rPr>
            </w:pPr>
          </w:p>
        </w:tc>
        <w:tc>
          <w:tcPr>
            <w:tcW w:w="40" w:type="dxa"/>
            <w:vAlign w:val="bottom"/>
            <w:tcBorders>
              <w:bottom w:val="single" w:sz="8" w:color="0071CE"/>
            </w:tcBorders>
          </w:tcPr>
          <w:p>
            <w:pPr>
              <w:spacing w:after="0"/>
              <w:rPr>
                <w:sz w:val="4"/>
                <w:szCs w:val="4"/>
                <w:color w:val="auto"/>
              </w:rPr>
            </w:pPr>
          </w:p>
        </w:tc>
        <w:tc>
          <w:tcPr>
            <w:tcW w:w="1240" w:type="dxa"/>
            <w:vAlign w:val="bottom"/>
            <w:tcBorders>
              <w:bottom w:val="single" w:sz="8" w:color="0071CE"/>
            </w:tcBorders>
          </w:tcPr>
          <w:p>
            <w:pPr>
              <w:spacing w:after="0"/>
              <w:rPr>
                <w:sz w:val="4"/>
                <w:szCs w:val="4"/>
                <w:color w:val="auto"/>
              </w:rPr>
            </w:pPr>
          </w:p>
        </w:tc>
        <w:tc>
          <w:tcPr>
            <w:tcW w:w="360" w:type="dxa"/>
            <w:vAlign w:val="bottom"/>
          </w:tcPr>
          <w:p>
            <w:pPr>
              <w:spacing w:after="0"/>
              <w:rPr>
                <w:sz w:val="4"/>
                <w:szCs w:val="4"/>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EE"/>
              </w:rPr>
              <w:t>PROPOSAL 5: APPROVAL OF THE PROPOSED 2026 EMPLOYEE, DIRECTOR AND CONSULTANT EQUITY INCENTIVE PLAN</w:t>
            </w: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044E7C"/>
              </w:rPr>
              <w:t>77</w:t>
            </w:r>
          </w:p>
        </w:tc>
        <w:tc>
          <w:tcPr>
            <w:tcW w:w="360" w:type="dxa"/>
            <w:vAlign w:val="bottom"/>
          </w:tcPr>
          <w:p>
            <w:pPr>
              <w:spacing w:after="0"/>
              <w:rPr>
                <w:sz w:val="15"/>
                <w:szCs w:val="15"/>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10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32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320" w:type="dxa"/>
            <w:vAlign w:val="bottom"/>
            <w:tcBorders>
              <w:top w:val="single" w:sz="8" w:color="0000EE"/>
              <w:bottom w:val="single" w:sz="8" w:color="0071CE"/>
            </w:tcBorders>
          </w:tcPr>
          <w:p>
            <w:pPr>
              <w:spacing w:after="0"/>
              <w:rPr>
                <w:sz w:val="2"/>
                <w:szCs w:val="2"/>
                <w:color w:val="auto"/>
              </w:rPr>
            </w:pPr>
          </w:p>
        </w:tc>
        <w:tc>
          <w:tcPr>
            <w:tcW w:w="80" w:type="dxa"/>
            <w:vAlign w:val="bottom"/>
            <w:tcBorders>
              <w:top w:val="single" w:sz="8" w:color="0000EE"/>
              <w:bottom w:val="single" w:sz="8" w:color="0071CE"/>
            </w:tcBorders>
          </w:tcPr>
          <w:p>
            <w:pPr>
              <w:spacing w:after="0"/>
              <w:rPr>
                <w:sz w:val="2"/>
                <w:szCs w:val="2"/>
                <w:color w:val="auto"/>
              </w:rPr>
            </w:pPr>
          </w:p>
        </w:tc>
        <w:tc>
          <w:tcPr>
            <w:tcW w:w="22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18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00" w:type="dxa"/>
            <w:vAlign w:val="bottom"/>
            <w:tcBorders>
              <w:top w:val="single" w:sz="8" w:color="0000EE"/>
              <w:bottom w:val="single" w:sz="8" w:color="0071CE"/>
            </w:tcBorders>
          </w:tcPr>
          <w:p>
            <w:pPr>
              <w:spacing w:after="0"/>
              <w:rPr>
                <w:sz w:val="2"/>
                <w:szCs w:val="2"/>
                <w:color w:val="auto"/>
              </w:rPr>
            </w:pPr>
          </w:p>
        </w:tc>
        <w:tc>
          <w:tcPr>
            <w:tcW w:w="10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24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760" w:type="dxa"/>
            <w:vAlign w:val="bottom"/>
            <w:tcBorders>
              <w:top w:val="single" w:sz="8" w:color="0000EE"/>
              <w:bottom w:val="single" w:sz="8" w:color="0071CE"/>
            </w:tcBorders>
          </w:tcPr>
          <w:p>
            <w:pPr>
              <w:spacing w:after="0"/>
              <w:rPr>
                <w:sz w:val="2"/>
                <w:szCs w:val="2"/>
                <w:color w:val="auto"/>
              </w:rPr>
            </w:pPr>
          </w:p>
        </w:tc>
        <w:tc>
          <w:tcPr>
            <w:tcW w:w="8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380" w:type="dxa"/>
            <w:vAlign w:val="bottom"/>
            <w:tcBorders>
              <w:top w:val="single" w:sz="8" w:color="0000EE"/>
              <w:bottom w:val="single" w:sz="8" w:color="0071CE"/>
            </w:tcBorders>
          </w:tcPr>
          <w:p>
            <w:pPr>
              <w:spacing w:after="0"/>
              <w:rPr>
                <w:sz w:val="2"/>
                <w:szCs w:val="2"/>
                <w:color w:val="auto"/>
              </w:rPr>
            </w:pPr>
          </w:p>
        </w:tc>
        <w:tc>
          <w:tcPr>
            <w:tcW w:w="600" w:type="dxa"/>
            <w:vAlign w:val="bottom"/>
            <w:tcBorders>
              <w:top w:val="single" w:sz="8" w:color="0000EE"/>
              <w:bottom w:val="single" w:sz="8" w:color="0071CE"/>
            </w:tcBorders>
          </w:tcPr>
          <w:p>
            <w:pPr>
              <w:spacing w:after="0"/>
              <w:rPr>
                <w:sz w:val="2"/>
                <w:szCs w:val="2"/>
                <w:color w:val="auto"/>
              </w:rPr>
            </w:pPr>
          </w:p>
        </w:tc>
        <w:tc>
          <w:tcPr>
            <w:tcW w:w="340" w:type="dxa"/>
            <w:vAlign w:val="bottom"/>
            <w:tcBorders>
              <w:top w:val="single" w:sz="8" w:color="0000EE"/>
              <w:bottom w:val="single" w:sz="8" w:color="0071CE"/>
            </w:tcBorders>
          </w:tcPr>
          <w:p>
            <w:pPr>
              <w:spacing w:after="0"/>
              <w:rPr>
                <w:sz w:val="2"/>
                <w:szCs w:val="2"/>
                <w:color w:val="auto"/>
              </w:rPr>
            </w:pPr>
          </w:p>
        </w:tc>
        <w:tc>
          <w:tcPr>
            <w:tcW w:w="240" w:type="dxa"/>
            <w:vAlign w:val="bottom"/>
            <w:tcBorders>
              <w:top w:val="single" w:sz="8" w:color="0000EE"/>
              <w:bottom w:val="single" w:sz="8" w:color="0071CE"/>
            </w:tcBorders>
          </w:tcPr>
          <w:p>
            <w:pPr>
              <w:spacing w:after="0"/>
              <w:rPr>
                <w:sz w:val="2"/>
                <w:szCs w:val="2"/>
                <w:color w:val="auto"/>
              </w:rPr>
            </w:pPr>
          </w:p>
        </w:tc>
        <w:tc>
          <w:tcPr>
            <w:tcW w:w="80" w:type="dxa"/>
            <w:vAlign w:val="bottom"/>
            <w:tcBorders>
              <w:top w:val="single" w:sz="8" w:color="0000EE"/>
              <w:bottom w:val="single" w:sz="8" w:color="0071CE"/>
            </w:tcBorders>
          </w:tcPr>
          <w:p>
            <w:pPr>
              <w:spacing w:after="0"/>
              <w:rPr>
                <w:sz w:val="2"/>
                <w:szCs w:val="2"/>
                <w:color w:val="auto"/>
              </w:rPr>
            </w:pPr>
          </w:p>
        </w:tc>
        <w:tc>
          <w:tcPr>
            <w:tcW w:w="440" w:type="dxa"/>
            <w:vAlign w:val="bottom"/>
            <w:tcBorders>
              <w:top w:val="single" w:sz="8" w:color="0000EE"/>
              <w:bottom w:val="single" w:sz="8" w:color="0071CE"/>
            </w:tcBorders>
          </w:tcPr>
          <w:p>
            <w:pPr>
              <w:spacing w:after="0"/>
              <w:rPr>
                <w:sz w:val="2"/>
                <w:szCs w:val="2"/>
                <w:color w:val="auto"/>
              </w:rPr>
            </w:pPr>
          </w:p>
        </w:tc>
        <w:tc>
          <w:tcPr>
            <w:tcW w:w="1720" w:type="dxa"/>
            <w:vAlign w:val="bottom"/>
            <w:tcBorders>
              <w:top w:val="single" w:sz="8" w:color="0000EE"/>
              <w:bottom w:val="single" w:sz="8" w:color="0071CE"/>
            </w:tcBorders>
          </w:tcPr>
          <w:p>
            <w:pPr>
              <w:spacing w:after="0"/>
              <w:rPr>
                <w:sz w:val="2"/>
                <w:szCs w:val="2"/>
                <w:color w:val="auto"/>
              </w:rPr>
            </w:pPr>
          </w:p>
        </w:tc>
        <w:tc>
          <w:tcPr>
            <w:tcW w:w="380" w:type="dxa"/>
            <w:vAlign w:val="bottom"/>
            <w:tcBorders>
              <w:top w:val="single" w:sz="8" w:color="0000EE"/>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FF"/>
              </w:rPr>
              <w:t>CORPORATE CODE OF CONDUCT</w:t>
            </w: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003595"/>
              </w:rPr>
              <w:t>81</w:t>
            </w:r>
          </w:p>
        </w:tc>
        <w:tc>
          <w:tcPr>
            <w:tcW w:w="360" w:type="dxa"/>
            <w:vAlign w:val="bottom"/>
          </w:tcPr>
          <w:p>
            <w:pPr>
              <w:spacing w:after="0"/>
              <w:rPr>
                <w:sz w:val="15"/>
                <w:szCs w:val="15"/>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10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80" w:type="dxa"/>
            <w:vAlign w:val="bottom"/>
            <w:tcBorders>
              <w:top w:val="single" w:sz="8" w:color="0000FF"/>
              <w:bottom w:val="single" w:sz="8" w:color="0071CE"/>
            </w:tcBorders>
          </w:tcPr>
          <w:p>
            <w:pPr>
              <w:spacing w:after="0"/>
              <w:rPr>
                <w:sz w:val="2"/>
                <w:szCs w:val="2"/>
                <w:color w:val="auto"/>
              </w:rPr>
            </w:pPr>
          </w:p>
        </w:tc>
        <w:tc>
          <w:tcPr>
            <w:tcW w:w="22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18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00" w:type="dxa"/>
            <w:vAlign w:val="bottom"/>
            <w:tcBorders>
              <w:bottom w:val="single" w:sz="8" w:color="0071CE"/>
            </w:tcBorders>
          </w:tcPr>
          <w:p>
            <w:pPr>
              <w:spacing w:after="0"/>
              <w:rPr>
                <w:sz w:val="2"/>
                <w:szCs w:val="2"/>
                <w:color w:val="auto"/>
              </w:rPr>
            </w:pPr>
          </w:p>
        </w:tc>
        <w:tc>
          <w:tcPr>
            <w:tcW w:w="10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120" w:type="dxa"/>
            <w:vAlign w:val="bottom"/>
            <w:tcBorders>
              <w:bottom w:val="single" w:sz="8" w:color="0071CE"/>
            </w:tcBorders>
          </w:tcPr>
          <w:p>
            <w:pPr>
              <w:spacing w:after="0"/>
              <w:rPr>
                <w:sz w:val="2"/>
                <w:szCs w:val="2"/>
                <w:color w:val="auto"/>
              </w:rPr>
            </w:pPr>
          </w:p>
        </w:tc>
        <w:tc>
          <w:tcPr>
            <w:tcW w:w="20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76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EE"/>
              </w:rPr>
              <w:t>OTHER MATTERS</w:t>
            </w: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003595"/>
              </w:rPr>
              <w:t>81</w:t>
            </w:r>
          </w:p>
        </w:tc>
        <w:tc>
          <w:tcPr>
            <w:tcW w:w="360" w:type="dxa"/>
            <w:vAlign w:val="bottom"/>
          </w:tcPr>
          <w:p>
            <w:pPr>
              <w:spacing w:after="0"/>
              <w:rPr>
                <w:sz w:val="15"/>
                <w:szCs w:val="15"/>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10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32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32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22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18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00" w:type="dxa"/>
            <w:vAlign w:val="bottom"/>
            <w:tcBorders>
              <w:bottom w:val="single" w:sz="8" w:color="0071CE"/>
            </w:tcBorders>
          </w:tcPr>
          <w:p>
            <w:pPr>
              <w:spacing w:after="0"/>
              <w:rPr>
                <w:sz w:val="2"/>
                <w:szCs w:val="2"/>
                <w:color w:val="auto"/>
              </w:rPr>
            </w:pPr>
          </w:p>
        </w:tc>
        <w:tc>
          <w:tcPr>
            <w:tcW w:w="10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120" w:type="dxa"/>
            <w:vAlign w:val="bottom"/>
            <w:tcBorders>
              <w:bottom w:val="single" w:sz="8" w:color="0071CE"/>
            </w:tcBorders>
          </w:tcPr>
          <w:p>
            <w:pPr>
              <w:spacing w:after="0"/>
              <w:rPr>
                <w:sz w:val="2"/>
                <w:szCs w:val="2"/>
                <w:color w:val="auto"/>
              </w:rPr>
            </w:pPr>
          </w:p>
        </w:tc>
        <w:tc>
          <w:tcPr>
            <w:tcW w:w="200" w:type="dxa"/>
            <w:vAlign w:val="bottom"/>
            <w:tcBorders>
              <w:bottom w:val="single" w:sz="8" w:color="0071CE"/>
            </w:tcBorders>
          </w:tcPr>
          <w:p>
            <w:pPr>
              <w:spacing w:after="0"/>
              <w:rPr>
                <w:sz w:val="2"/>
                <w:szCs w:val="2"/>
                <w:color w:val="auto"/>
              </w:rPr>
            </w:pPr>
          </w:p>
        </w:tc>
        <w:tc>
          <w:tcPr>
            <w:tcW w:w="2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76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EE"/>
              </w:rPr>
              <w:t>STOCKHOLDER PROPOSALS AND NOMINATIONS FOR DIRECTOR</w:t>
            </w: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003595"/>
              </w:rPr>
              <w:t>81</w:t>
            </w:r>
          </w:p>
        </w:tc>
        <w:tc>
          <w:tcPr>
            <w:tcW w:w="360" w:type="dxa"/>
            <w:vAlign w:val="bottom"/>
          </w:tcPr>
          <w:p>
            <w:pPr>
              <w:spacing w:after="0"/>
              <w:rPr>
                <w:sz w:val="15"/>
                <w:szCs w:val="15"/>
                <w:color w:val="auto"/>
              </w:rPr>
            </w:pP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10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32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320" w:type="dxa"/>
            <w:vAlign w:val="bottom"/>
            <w:tcBorders>
              <w:top w:val="single" w:sz="8" w:color="0000EE"/>
              <w:bottom w:val="single" w:sz="8" w:color="0071CE"/>
            </w:tcBorders>
          </w:tcPr>
          <w:p>
            <w:pPr>
              <w:spacing w:after="0"/>
              <w:rPr>
                <w:sz w:val="2"/>
                <w:szCs w:val="2"/>
                <w:color w:val="auto"/>
              </w:rPr>
            </w:pPr>
          </w:p>
        </w:tc>
        <w:tc>
          <w:tcPr>
            <w:tcW w:w="80" w:type="dxa"/>
            <w:vAlign w:val="bottom"/>
            <w:tcBorders>
              <w:top w:val="single" w:sz="8" w:color="0000EE"/>
              <w:bottom w:val="single" w:sz="8" w:color="0071CE"/>
            </w:tcBorders>
          </w:tcPr>
          <w:p>
            <w:pPr>
              <w:spacing w:after="0"/>
              <w:rPr>
                <w:sz w:val="2"/>
                <w:szCs w:val="2"/>
                <w:color w:val="auto"/>
              </w:rPr>
            </w:pPr>
          </w:p>
        </w:tc>
        <w:tc>
          <w:tcPr>
            <w:tcW w:w="22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18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00" w:type="dxa"/>
            <w:vAlign w:val="bottom"/>
            <w:tcBorders>
              <w:top w:val="single" w:sz="8" w:color="0000EE"/>
              <w:bottom w:val="single" w:sz="8" w:color="0071CE"/>
            </w:tcBorders>
          </w:tcPr>
          <w:p>
            <w:pPr>
              <w:spacing w:after="0"/>
              <w:rPr>
                <w:sz w:val="2"/>
                <w:szCs w:val="2"/>
                <w:color w:val="auto"/>
              </w:rPr>
            </w:pPr>
          </w:p>
        </w:tc>
        <w:tc>
          <w:tcPr>
            <w:tcW w:w="10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24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760" w:type="dxa"/>
            <w:vAlign w:val="bottom"/>
            <w:tcBorders>
              <w:top w:val="single" w:sz="8" w:color="0000EE"/>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EE"/>
              </w:rPr>
              <w:t>APPENDIX A - GAAP TO NON-GAAP RECONCILIATION</w:t>
            </w:r>
          </w:p>
        </w:tc>
        <w:tc>
          <w:tcPr>
            <w:tcW w:w="1600" w:type="dxa"/>
            <w:vAlign w:val="bottom"/>
            <w:gridSpan w:val="2"/>
          </w:tcPr>
          <w:p>
            <w:pPr>
              <w:jc w:val="right"/>
              <w:ind w:right="380"/>
              <w:spacing w:after="0" w:line="183" w:lineRule="exact"/>
              <w:rPr>
                <w:sz w:val="20"/>
                <w:szCs w:val="20"/>
                <w:color w:val="auto"/>
              </w:rPr>
            </w:pPr>
            <w:r>
              <w:rPr>
                <w:rFonts w:ascii="Arial" w:cs="Arial" w:eastAsia="Arial" w:hAnsi="Arial"/>
                <w:sz w:val="16"/>
                <w:szCs w:val="16"/>
                <w:b w:val="1"/>
                <w:bCs w:val="1"/>
                <w:color w:val="003595"/>
              </w:rPr>
              <w:t>A-1</w:t>
            </w: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10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32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320" w:type="dxa"/>
            <w:vAlign w:val="bottom"/>
            <w:tcBorders>
              <w:top w:val="single" w:sz="8" w:color="0000EE"/>
              <w:bottom w:val="single" w:sz="8" w:color="0071CE"/>
            </w:tcBorders>
          </w:tcPr>
          <w:p>
            <w:pPr>
              <w:spacing w:after="0"/>
              <w:rPr>
                <w:sz w:val="2"/>
                <w:szCs w:val="2"/>
                <w:color w:val="auto"/>
              </w:rPr>
            </w:pPr>
          </w:p>
        </w:tc>
        <w:tc>
          <w:tcPr>
            <w:tcW w:w="80" w:type="dxa"/>
            <w:vAlign w:val="bottom"/>
            <w:tcBorders>
              <w:top w:val="single" w:sz="8" w:color="0000EE"/>
              <w:bottom w:val="single" w:sz="8" w:color="0071CE"/>
            </w:tcBorders>
          </w:tcPr>
          <w:p>
            <w:pPr>
              <w:spacing w:after="0"/>
              <w:rPr>
                <w:sz w:val="2"/>
                <w:szCs w:val="2"/>
                <w:color w:val="auto"/>
              </w:rPr>
            </w:pPr>
          </w:p>
        </w:tc>
        <w:tc>
          <w:tcPr>
            <w:tcW w:w="22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18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00" w:type="dxa"/>
            <w:vAlign w:val="bottom"/>
            <w:tcBorders>
              <w:top w:val="single" w:sz="8" w:color="0000EE"/>
              <w:bottom w:val="single" w:sz="8" w:color="0071CE"/>
            </w:tcBorders>
          </w:tcPr>
          <w:p>
            <w:pPr>
              <w:spacing w:after="0"/>
              <w:rPr>
                <w:sz w:val="2"/>
                <w:szCs w:val="2"/>
                <w:color w:val="auto"/>
              </w:rPr>
            </w:pPr>
          </w:p>
        </w:tc>
        <w:tc>
          <w:tcPr>
            <w:tcW w:w="100" w:type="dxa"/>
            <w:vAlign w:val="bottom"/>
            <w:tcBorders>
              <w:top w:val="single" w:sz="8" w:color="0000EE"/>
              <w:bottom w:val="single" w:sz="8" w:color="0071CE"/>
            </w:tcBorders>
          </w:tcPr>
          <w:p>
            <w:pPr>
              <w:spacing w:after="0"/>
              <w:rPr>
                <w:sz w:val="2"/>
                <w:szCs w:val="2"/>
                <w:color w:val="auto"/>
              </w:rPr>
            </w:pPr>
          </w:p>
        </w:tc>
        <w:tc>
          <w:tcPr>
            <w:tcW w:w="4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160" w:type="dxa"/>
            <w:vAlign w:val="bottom"/>
            <w:tcBorders>
              <w:top w:val="single" w:sz="8" w:color="0000EE"/>
              <w:bottom w:val="single" w:sz="8" w:color="0071CE"/>
            </w:tcBorders>
          </w:tcPr>
          <w:p>
            <w:pPr>
              <w:spacing w:after="0"/>
              <w:rPr>
                <w:sz w:val="2"/>
                <w:szCs w:val="2"/>
                <w:color w:val="auto"/>
              </w:rPr>
            </w:pPr>
          </w:p>
        </w:tc>
        <w:tc>
          <w:tcPr>
            <w:tcW w:w="240" w:type="dxa"/>
            <w:vAlign w:val="bottom"/>
            <w:tcBorders>
              <w:top w:val="single" w:sz="8" w:color="0000EE"/>
              <w:bottom w:val="single" w:sz="8" w:color="0071CE"/>
            </w:tcBorders>
          </w:tcPr>
          <w:p>
            <w:pPr>
              <w:spacing w:after="0"/>
              <w:rPr>
                <w:sz w:val="2"/>
                <w:szCs w:val="2"/>
                <w:color w:val="auto"/>
              </w:rPr>
            </w:pPr>
          </w:p>
        </w:tc>
        <w:tc>
          <w:tcPr>
            <w:tcW w:w="6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120" w:type="dxa"/>
            <w:vAlign w:val="bottom"/>
            <w:tcBorders>
              <w:top w:val="single" w:sz="8" w:color="0000EE"/>
              <w:bottom w:val="single" w:sz="8" w:color="0071CE"/>
            </w:tcBorders>
          </w:tcPr>
          <w:p>
            <w:pPr>
              <w:spacing w:after="0"/>
              <w:rPr>
                <w:sz w:val="2"/>
                <w:szCs w:val="2"/>
                <w:color w:val="auto"/>
              </w:rPr>
            </w:pPr>
          </w:p>
        </w:tc>
        <w:tc>
          <w:tcPr>
            <w:tcW w:w="200" w:type="dxa"/>
            <w:vAlign w:val="bottom"/>
            <w:tcBorders>
              <w:top w:val="single" w:sz="8" w:color="0000EE"/>
              <w:bottom w:val="single" w:sz="8" w:color="0071CE"/>
            </w:tcBorders>
          </w:tcPr>
          <w:p>
            <w:pPr>
              <w:spacing w:after="0"/>
              <w:rPr>
                <w:sz w:val="2"/>
                <w:szCs w:val="2"/>
                <w:color w:val="auto"/>
              </w:rPr>
            </w:pPr>
          </w:p>
        </w:tc>
        <w:tc>
          <w:tcPr>
            <w:tcW w:w="20" w:type="dxa"/>
            <w:vAlign w:val="bottom"/>
            <w:tcBorders>
              <w:top w:val="single" w:sz="8" w:color="0000EE"/>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60" w:type="dxa"/>
            <w:vAlign w:val="bottom"/>
            <w:tcBorders>
              <w:bottom w:val="single" w:sz="8" w:color="0071CE"/>
            </w:tcBorders>
          </w:tcPr>
          <w:p>
            <w:pPr>
              <w:spacing w:after="0"/>
              <w:rPr>
                <w:sz w:val="2"/>
                <w:szCs w:val="2"/>
                <w:color w:val="auto"/>
              </w:rPr>
            </w:pPr>
          </w:p>
        </w:tc>
        <w:tc>
          <w:tcPr>
            <w:tcW w:w="76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6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60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FF"/>
              </w:rPr>
              <w:t>APPENDIX B - AMENDED AND RESTATED 2012 EMPLOYEE STOCK PURCHASE PLAN</w:t>
            </w:r>
          </w:p>
        </w:tc>
        <w:tc>
          <w:tcPr>
            <w:tcW w:w="1600" w:type="dxa"/>
            <w:vAlign w:val="bottom"/>
            <w:gridSpan w:val="2"/>
          </w:tcPr>
          <w:p>
            <w:pPr>
              <w:jc w:val="right"/>
              <w:ind w:right="380"/>
              <w:spacing w:after="0" w:line="183" w:lineRule="exact"/>
              <w:rPr>
                <w:sz w:val="20"/>
                <w:szCs w:val="20"/>
                <w:color w:val="auto"/>
              </w:rPr>
            </w:pPr>
            <w:r>
              <w:rPr>
                <w:rFonts w:ascii="Arial" w:cs="Arial" w:eastAsia="Arial" w:hAnsi="Arial"/>
                <w:sz w:val="16"/>
                <w:szCs w:val="16"/>
                <w:b w:val="1"/>
                <w:bCs w:val="1"/>
                <w:color w:val="003595"/>
              </w:rPr>
              <w:t>B-1</w:t>
            </w: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10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80" w:type="dxa"/>
            <w:vAlign w:val="bottom"/>
            <w:tcBorders>
              <w:top w:val="single" w:sz="8" w:color="0000FF"/>
              <w:bottom w:val="single" w:sz="8" w:color="0071CE"/>
            </w:tcBorders>
          </w:tcPr>
          <w:p>
            <w:pPr>
              <w:spacing w:after="0"/>
              <w:rPr>
                <w:sz w:val="2"/>
                <w:szCs w:val="2"/>
                <w:color w:val="auto"/>
              </w:rPr>
            </w:pPr>
          </w:p>
        </w:tc>
        <w:tc>
          <w:tcPr>
            <w:tcW w:w="22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18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4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760" w:type="dxa"/>
            <w:vAlign w:val="bottom"/>
            <w:tcBorders>
              <w:top w:val="single" w:sz="8" w:color="0000FF"/>
              <w:bottom w:val="single" w:sz="8" w:color="0071CE"/>
            </w:tcBorders>
          </w:tcPr>
          <w:p>
            <w:pPr>
              <w:spacing w:after="0"/>
              <w:rPr>
                <w:sz w:val="2"/>
                <w:szCs w:val="2"/>
                <w:color w:val="auto"/>
              </w:rPr>
            </w:pPr>
          </w:p>
        </w:tc>
        <w:tc>
          <w:tcPr>
            <w:tcW w:w="8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380" w:type="dxa"/>
            <w:vAlign w:val="bottom"/>
            <w:tcBorders>
              <w:top w:val="single" w:sz="8" w:color="0000FF"/>
              <w:bottom w:val="single" w:sz="8" w:color="0071CE"/>
            </w:tcBorders>
          </w:tcPr>
          <w:p>
            <w:pPr>
              <w:spacing w:after="0"/>
              <w:rPr>
                <w:sz w:val="2"/>
                <w:szCs w:val="2"/>
                <w:color w:val="auto"/>
              </w:rPr>
            </w:pPr>
          </w:p>
        </w:tc>
        <w:tc>
          <w:tcPr>
            <w:tcW w:w="600" w:type="dxa"/>
            <w:vAlign w:val="bottom"/>
            <w:tcBorders>
              <w:top w:val="single" w:sz="8" w:color="0000FF"/>
              <w:bottom w:val="single" w:sz="8" w:color="0071CE"/>
            </w:tcBorders>
          </w:tcPr>
          <w:p>
            <w:pPr>
              <w:spacing w:after="0"/>
              <w:rPr>
                <w:sz w:val="2"/>
                <w:szCs w:val="2"/>
                <w:color w:val="auto"/>
              </w:rPr>
            </w:pPr>
          </w:p>
        </w:tc>
        <w:tc>
          <w:tcPr>
            <w:tcW w:w="340" w:type="dxa"/>
            <w:vAlign w:val="bottom"/>
            <w:tcBorders>
              <w:top w:val="single" w:sz="8" w:color="0000FF"/>
              <w:bottom w:val="single" w:sz="8" w:color="0071CE"/>
            </w:tcBorders>
          </w:tcPr>
          <w:p>
            <w:pPr>
              <w:spacing w:after="0"/>
              <w:rPr>
                <w:sz w:val="2"/>
                <w:szCs w:val="2"/>
                <w:color w:val="auto"/>
              </w:rPr>
            </w:pPr>
          </w:p>
        </w:tc>
        <w:tc>
          <w:tcPr>
            <w:tcW w:w="24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9620" w:type="dxa"/>
            <w:vAlign w:val="bottom"/>
            <w:gridSpan w:val="41"/>
          </w:tcPr>
          <w:p>
            <w:pPr>
              <w:spacing w:after="0" w:line="183" w:lineRule="exact"/>
              <w:rPr>
                <w:sz w:val="20"/>
                <w:szCs w:val="20"/>
                <w:color w:val="auto"/>
              </w:rPr>
            </w:pPr>
            <w:r>
              <w:rPr>
                <w:rFonts w:ascii="Arial" w:cs="Arial" w:eastAsia="Arial" w:hAnsi="Arial"/>
                <w:sz w:val="16"/>
                <w:szCs w:val="16"/>
                <w:b w:val="1"/>
                <w:bCs w:val="1"/>
                <w:color w:val="0000FF"/>
              </w:rPr>
              <w:t>APPENDIX C - 2026 EMPLOYEE, DIRECTOR AND CONSULTANT EQUITY INCENTIVE PLAN</w:t>
            </w:r>
          </w:p>
        </w:tc>
        <w:tc>
          <w:tcPr>
            <w:tcW w:w="1600" w:type="dxa"/>
            <w:vAlign w:val="bottom"/>
            <w:gridSpan w:val="2"/>
          </w:tcPr>
          <w:p>
            <w:pPr>
              <w:jc w:val="right"/>
              <w:ind w:right="380"/>
              <w:spacing w:after="0" w:line="183" w:lineRule="exact"/>
              <w:rPr>
                <w:sz w:val="20"/>
                <w:szCs w:val="20"/>
                <w:color w:val="auto"/>
              </w:rPr>
            </w:pPr>
            <w:r>
              <w:rPr>
                <w:rFonts w:ascii="Arial" w:cs="Arial" w:eastAsia="Arial" w:hAnsi="Arial"/>
                <w:sz w:val="16"/>
                <w:szCs w:val="16"/>
                <w:b w:val="1"/>
                <w:bCs w:val="1"/>
                <w:color w:val="003595"/>
              </w:rPr>
              <w:t>C-1</w:t>
            </w:r>
          </w:p>
        </w:tc>
      </w:tr>
      <w:tr>
        <w:trPr>
          <w:trHeight w:val="34"/>
        </w:trPr>
        <w:tc>
          <w:tcPr>
            <w:tcW w:w="20" w:type="dxa"/>
            <w:vAlign w:val="bottom"/>
            <w:tcBorders>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10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320" w:type="dxa"/>
            <w:vAlign w:val="bottom"/>
            <w:tcBorders>
              <w:top w:val="single" w:sz="8" w:color="0000FF"/>
              <w:bottom w:val="single" w:sz="8" w:color="0071CE"/>
            </w:tcBorders>
          </w:tcPr>
          <w:p>
            <w:pPr>
              <w:spacing w:after="0"/>
              <w:rPr>
                <w:sz w:val="2"/>
                <w:szCs w:val="2"/>
                <w:color w:val="auto"/>
              </w:rPr>
            </w:pPr>
          </w:p>
        </w:tc>
        <w:tc>
          <w:tcPr>
            <w:tcW w:w="80" w:type="dxa"/>
            <w:vAlign w:val="bottom"/>
            <w:tcBorders>
              <w:top w:val="single" w:sz="8" w:color="0000FF"/>
              <w:bottom w:val="single" w:sz="8" w:color="0071CE"/>
            </w:tcBorders>
          </w:tcPr>
          <w:p>
            <w:pPr>
              <w:spacing w:after="0"/>
              <w:rPr>
                <w:sz w:val="2"/>
                <w:szCs w:val="2"/>
                <w:color w:val="auto"/>
              </w:rPr>
            </w:pPr>
          </w:p>
        </w:tc>
        <w:tc>
          <w:tcPr>
            <w:tcW w:w="22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18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10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24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120" w:type="dxa"/>
            <w:vAlign w:val="bottom"/>
            <w:tcBorders>
              <w:top w:val="single" w:sz="8" w:color="0000FF"/>
              <w:bottom w:val="single" w:sz="8" w:color="0071CE"/>
            </w:tcBorders>
          </w:tcPr>
          <w:p>
            <w:pPr>
              <w:spacing w:after="0"/>
              <w:rPr>
                <w:sz w:val="2"/>
                <w:szCs w:val="2"/>
                <w:color w:val="auto"/>
              </w:rPr>
            </w:pPr>
          </w:p>
        </w:tc>
        <w:tc>
          <w:tcPr>
            <w:tcW w:w="200" w:type="dxa"/>
            <w:vAlign w:val="bottom"/>
            <w:tcBorders>
              <w:top w:val="single" w:sz="8" w:color="0000FF"/>
              <w:bottom w:val="single" w:sz="8" w:color="0071CE"/>
            </w:tcBorders>
          </w:tcPr>
          <w:p>
            <w:pPr>
              <w:spacing w:after="0"/>
              <w:rPr>
                <w:sz w:val="2"/>
                <w:szCs w:val="2"/>
                <w:color w:val="auto"/>
              </w:rPr>
            </w:pPr>
          </w:p>
        </w:tc>
        <w:tc>
          <w:tcPr>
            <w:tcW w:w="20" w:type="dxa"/>
            <w:vAlign w:val="bottom"/>
            <w:tcBorders>
              <w:top w:val="single" w:sz="8" w:color="0000FF"/>
              <w:bottom w:val="single" w:sz="8" w:color="0071CE"/>
            </w:tcBorders>
          </w:tcPr>
          <w:p>
            <w:pPr>
              <w:spacing w:after="0"/>
              <w:rPr>
                <w:sz w:val="2"/>
                <w:szCs w:val="2"/>
                <w:color w:val="auto"/>
              </w:rPr>
            </w:pPr>
          </w:p>
        </w:tc>
        <w:tc>
          <w:tcPr>
            <w:tcW w:w="40" w:type="dxa"/>
            <w:vAlign w:val="bottom"/>
            <w:tcBorders>
              <w:top w:val="single" w:sz="8" w:color="0000FF"/>
              <w:bottom w:val="single" w:sz="8" w:color="0071CE"/>
            </w:tcBorders>
          </w:tcPr>
          <w:p>
            <w:pPr>
              <w:spacing w:after="0"/>
              <w:rPr>
                <w:sz w:val="2"/>
                <w:szCs w:val="2"/>
                <w:color w:val="auto"/>
              </w:rPr>
            </w:pPr>
          </w:p>
        </w:tc>
        <w:tc>
          <w:tcPr>
            <w:tcW w:w="160" w:type="dxa"/>
            <w:vAlign w:val="bottom"/>
            <w:tcBorders>
              <w:top w:val="single" w:sz="8" w:color="0000FF"/>
              <w:bottom w:val="single" w:sz="8" w:color="0071CE"/>
            </w:tcBorders>
          </w:tcPr>
          <w:p>
            <w:pPr>
              <w:spacing w:after="0"/>
              <w:rPr>
                <w:sz w:val="2"/>
                <w:szCs w:val="2"/>
                <w:color w:val="auto"/>
              </w:rPr>
            </w:pPr>
          </w:p>
        </w:tc>
        <w:tc>
          <w:tcPr>
            <w:tcW w:w="760" w:type="dxa"/>
            <w:vAlign w:val="bottom"/>
            <w:tcBorders>
              <w:top w:val="single" w:sz="8" w:color="0000FF"/>
              <w:bottom w:val="single" w:sz="8" w:color="0071CE"/>
            </w:tcBorders>
          </w:tcPr>
          <w:p>
            <w:pPr>
              <w:spacing w:after="0"/>
              <w:rPr>
                <w:sz w:val="2"/>
                <w:szCs w:val="2"/>
                <w:color w:val="auto"/>
              </w:rPr>
            </w:pPr>
          </w:p>
        </w:tc>
        <w:tc>
          <w:tcPr>
            <w:tcW w:w="80" w:type="dxa"/>
            <w:vAlign w:val="bottom"/>
            <w:tcBorders>
              <w:top w:val="single" w:sz="8" w:color="0000FF"/>
              <w:bottom w:val="single" w:sz="8" w:color="0071CE"/>
            </w:tcBorders>
          </w:tcPr>
          <w:p>
            <w:pPr>
              <w:spacing w:after="0"/>
              <w:rPr>
                <w:sz w:val="2"/>
                <w:szCs w:val="2"/>
                <w:color w:val="auto"/>
              </w:rPr>
            </w:pPr>
          </w:p>
        </w:tc>
        <w:tc>
          <w:tcPr>
            <w:tcW w:w="60" w:type="dxa"/>
            <w:vAlign w:val="bottom"/>
            <w:tcBorders>
              <w:top w:val="single" w:sz="8" w:color="0000FF"/>
              <w:bottom w:val="single" w:sz="8" w:color="0071CE"/>
            </w:tcBorders>
          </w:tcPr>
          <w:p>
            <w:pPr>
              <w:spacing w:after="0"/>
              <w:rPr>
                <w:sz w:val="2"/>
                <w:szCs w:val="2"/>
                <w:color w:val="auto"/>
              </w:rPr>
            </w:pPr>
          </w:p>
        </w:tc>
        <w:tc>
          <w:tcPr>
            <w:tcW w:w="380" w:type="dxa"/>
            <w:vAlign w:val="bottom"/>
            <w:tcBorders>
              <w:top w:val="single" w:sz="8" w:color="0000FF"/>
              <w:bottom w:val="single" w:sz="8" w:color="0071CE"/>
            </w:tcBorders>
          </w:tcPr>
          <w:p>
            <w:pPr>
              <w:spacing w:after="0"/>
              <w:rPr>
                <w:sz w:val="2"/>
                <w:szCs w:val="2"/>
                <w:color w:val="auto"/>
              </w:rPr>
            </w:pPr>
          </w:p>
        </w:tc>
        <w:tc>
          <w:tcPr>
            <w:tcW w:w="600" w:type="dxa"/>
            <w:vAlign w:val="bottom"/>
            <w:tcBorders>
              <w:top w:val="single" w:sz="8" w:color="0000FF"/>
              <w:bottom w:val="single" w:sz="8" w:color="0071CE"/>
            </w:tcBorders>
          </w:tcPr>
          <w:p>
            <w:pPr>
              <w:spacing w:after="0"/>
              <w:rPr>
                <w:sz w:val="2"/>
                <w:szCs w:val="2"/>
                <w:color w:val="auto"/>
              </w:rPr>
            </w:pPr>
          </w:p>
        </w:tc>
        <w:tc>
          <w:tcPr>
            <w:tcW w:w="340" w:type="dxa"/>
            <w:vAlign w:val="bottom"/>
            <w:tcBorders>
              <w:top w:val="single" w:sz="8" w:color="0000FF"/>
              <w:bottom w:val="single" w:sz="8" w:color="0071CE"/>
            </w:tcBorders>
          </w:tcPr>
          <w:p>
            <w:pPr>
              <w:spacing w:after="0"/>
              <w:rPr>
                <w:sz w:val="2"/>
                <w:szCs w:val="2"/>
                <w:color w:val="auto"/>
              </w:rPr>
            </w:pPr>
          </w:p>
        </w:tc>
        <w:tc>
          <w:tcPr>
            <w:tcW w:w="240" w:type="dxa"/>
            <w:vAlign w:val="bottom"/>
            <w:tcBorders>
              <w:top w:val="single" w:sz="8" w:color="0000FF"/>
              <w:bottom w:val="single" w:sz="8" w:color="0071CE"/>
            </w:tcBorders>
          </w:tcPr>
          <w:p>
            <w:pPr>
              <w:spacing w:after="0"/>
              <w:rPr>
                <w:sz w:val="2"/>
                <w:szCs w:val="2"/>
                <w:color w:val="auto"/>
              </w:rPr>
            </w:pPr>
          </w:p>
        </w:tc>
        <w:tc>
          <w:tcPr>
            <w:tcW w:w="80" w:type="dxa"/>
            <w:vAlign w:val="bottom"/>
            <w:tcBorders>
              <w:top w:val="single" w:sz="8" w:color="0000FF"/>
              <w:bottom w:val="single" w:sz="8" w:color="0071CE"/>
            </w:tcBorders>
          </w:tcPr>
          <w:p>
            <w:pPr>
              <w:spacing w:after="0"/>
              <w:rPr>
                <w:sz w:val="2"/>
                <w:szCs w:val="2"/>
                <w:color w:val="auto"/>
              </w:rPr>
            </w:pPr>
          </w:p>
        </w:tc>
        <w:tc>
          <w:tcPr>
            <w:tcW w:w="440" w:type="dxa"/>
            <w:vAlign w:val="bottom"/>
            <w:tcBorders>
              <w:bottom w:val="single" w:sz="8" w:color="0071CE"/>
            </w:tcBorders>
          </w:tcPr>
          <w:p>
            <w:pPr>
              <w:spacing w:after="0"/>
              <w:rPr>
                <w:sz w:val="2"/>
                <w:szCs w:val="2"/>
                <w:color w:val="auto"/>
              </w:rPr>
            </w:pPr>
          </w:p>
        </w:tc>
        <w:tc>
          <w:tcPr>
            <w:tcW w:w="1720" w:type="dxa"/>
            <w:vAlign w:val="bottom"/>
            <w:tcBorders>
              <w:bottom w:val="single" w:sz="8" w:color="0071CE"/>
            </w:tcBorders>
          </w:tcPr>
          <w:p>
            <w:pPr>
              <w:spacing w:after="0"/>
              <w:rPr>
                <w:sz w:val="2"/>
                <w:szCs w:val="2"/>
                <w:color w:val="auto"/>
              </w:rPr>
            </w:pPr>
          </w:p>
        </w:tc>
        <w:tc>
          <w:tcPr>
            <w:tcW w:w="380" w:type="dxa"/>
            <w:vAlign w:val="bottom"/>
            <w:tcBorders>
              <w:bottom w:val="single" w:sz="8" w:color="0071CE"/>
            </w:tcBorders>
          </w:tcPr>
          <w:p>
            <w:pPr>
              <w:spacing w:after="0"/>
              <w:rPr>
                <w:sz w:val="2"/>
                <w:szCs w:val="2"/>
                <w:color w:val="auto"/>
              </w:rPr>
            </w:pPr>
          </w:p>
        </w:tc>
        <w:tc>
          <w:tcPr>
            <w:tcW w:w="80" w:type="dxa"/>
            <w:vAlign w:val="bottom"/>
            <w:tcBorders>
              <w:bottom w:val="single" w:sz="8" w:color="0071CE"/>
            </w:tcBorders>
          </w:tcPr>
          <w:p>
            <w:pPr>
              <w:spacing w:after="0"/>
              <w:rPr>
                <w:sz w:val="2"/>
                <w:szCs w:val="2"/>
                <w:color w:val="auto"/>
              </w:rPr>
            </w:pPr>
          </w:p>
        </w:tc>
        <w:tc>
          <w:tcPr>
            <w:tcW w:w="40" w:type="dxa"/>
            <w:vAlign w:val="bottom"/>
            <w:tcBorders>
              <w:bottom w:val="single" w:sz="8" w:color="0071CE"/>
            </w:tcBorders>
          </w:tcPr>
          <w:p>
            <w:pPr>
              <w:spacing w:after="0"/>
              <w:rPr>
                <w:sz w:val="2"/>
                <w:szCs w:val="2"/>
                <w:color w:val="auto"/>
              </w:rPr>
            </w:pPr>
          </w:p>
        </w:tc>
        <w:tc>
          <w:tcPr>
            <w:tcW w:w="1240" w:type="dxa"/>
            <w:vAlign w:val="bottom"/>
            <w:tcBorders>
              <w:bottom w:val="single" w:sz="8" w:color="0071CE"/>
            </w:tcBorders>
          </w:tcPr>
          <w:p>
            <w:pPr>
              <w:spacing w:after="0"/>
              <w:rPr>
                <w:sz w:val="2"/>
                <w:szCs w:val="2"/>
                <w:color w:val="auto"/>
              </w:rPr>
            </w:pPr>
          </w:p>
        </w:tc>
        <w:tc>
          <w:tcPr>
            <w:tcW w:w="360" w:type="dxa"/>
            <w:vAlign w:val="bottom"/>
          </w:tcPr>
          <w:p>
            <w:pPr>
              <w:spacing w:after="0"/>
              <w:rPr>
                <w:sz w:val="2"/>
                <w:szCs w:val="2"/>
                <w:color w:val="auto"/>
              </w:rPr>
            </w:pPr>
          </w:p>
        </w:tc>
      </w:tr>
      <w:tr>
        <w:trPr>
          <w:trHeight w:val="959"/>
        </w:trPr>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b w:val="1"/>
          <w:bCs w:val="1"/>
          <w:color w:val="00359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900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summary highlights information about Myriad Genetics, Inc. and its upcoming 2026 Annual Meeting of Stockholders ("Annual Meeting") contained elsewhere in this proxy statement or in our corporate governance documents published on our website at investor.myriad.com/corporate-governance. This summary does not contain all the information that you should consider, and you should read the entire proxy statement carefully before voting. Page references are provided to help you find further information in this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217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Time and Date: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Place:</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Record Date: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Mailing Date: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Voting:</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8:00 a.m. Mountain Daylight Time on Thursday,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29210</wp:posOffset>
            </wp:positionV>
            <wp:extent cx="57175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107"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Annual Meeting will be a completely virtual meeting. There will be no physical meeting location and the meeting will only be conducted via live webcast at the following address: www.virtualshareholdermeeting.com/MYGN2026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-20320</wp:posOffset>
            </wp:positionV>
            <wp:extent cx="57175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Wednesday, April 8, 2026 (as of the close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29210</wp:posOffset>
            </wp:positionV>
            <wp:extent cx="57175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754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 was first mailed or made available to stockholders on or about 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29210</wp:posOffset>
            </wp:positionV>
            <wp:extent cx="5717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107"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Stockholders as of the record date are entitled to vote. Each share of common stock is entitled to one vote for each director nominee and one vote for each of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-20320</wp:posOffset>
            </wp:positionV>
            <wp:extent cx="5717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720"/>
            <w:col w:w="8980"/>
          </w:cols>
          <w:pgMar w:left="320" w:top="763" w:right="3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Voting Matters and Board Recommendations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80" w:type="dxa"/>
            <w:vAlign w:val="bottom"/>
            <w:gridSpan w:val="2"/>
            <w:vMerge w:val="restart"/>
            <w:shd w:val="clear" w:color="auto" w:fill="003595"/>
          </w:tcPr>
          <w:p>
            <w:pPr>
              <w:ind w:left="20"/>
              <w:spacing w:after="0"/>
              <w:rPr>
                <w:sz w:val="20"/>
                <w:szCs w:val="20"/>
                <w:color w:val="auto"/>
              </w:rPr>
            </w:pPr>
            <w:r>
              <w:rPr>
                <w:rFonts w:ascii="Arial" w:cs="Arial" w:eastAsia="Arial" w:hAnsi="Arial"/>
                <w:sz w:val="16"/>
                <w:szCs w:val="16"/>
                <w:b w:val="1"/>
                <w:bCs w:val="1"/>
                <w:color w:val="FFFFFF"/>
              </w:rPr>
              <w:t>Proposals</w:t>
            </w:r>
          </w:p>
        </w:tc>
        <w:tc>
          <w:tcPr>
            <w:tcW w:w="2720" w:type="dxa"/>
            <w:vAlign w:val="bottom"/>
            <w:shd w:val="clear" w:color="auto" w:fill="003595"/>
          </w:tcPr>
          <w:p>
            <w:pPr>
              <w:ind w:left="700"/>
              <w:spacing w:after="0"/>
              <w:rPr>
                <w:sz w:val="20"/>
                <w:szCs w:val="20"/>
                <w:color w:val="auto"/>
              </w:rPr>
            </w:pPr>
            <w:r>
              <w:rPr>
                <w:rFonts w:ascii="Arial" w:cs="Arial" w:eastAsia="Arial" w:hAnsi="Arial"/>
                <w:sz w:val="16"/>
                <w:szCs w:val="16"/>
                <w:b w:val="1"/>
                <w:bCs w:val="1"/>
                <w:color w:val="FFFFFF"/>
              </w:rPr>
              <w:t>Board Vote</w:t>
            </w:r>
          </w:p>
        </w:tc>
        <w:tc>
          <w:tcPr>
            <w:tcW w:w="640" w:type="dxa"/>
            <w:vAlign w:val="bottom"/>
            <w:gridSpan w:val="3"/>
            <w:vMerge w:val="restart"/>
            <w:shd w:val="clear" w:color="auto" w:fill="003595"/>
          </w:tcPr>
          <w:p>
            <w:pPr>
              <w:ind w:left="20"/>
              <w:spacing w:after="0"/>
              <w:rPr>
                <w:sz w:val="20"/>
                <w:szCs w:val="20"/>
                <w:color w:val="auto"/>
              </w:rPr>
            </w:pPr>
            <w:r>
              <w:rPr>
                <w:rFonts w:ascii="Arial" w:cs="Arial" w:eastAsia="Arial" w:hAnsi="Arial"/>
                <w:sz w:val="16"/>
                <w:szCs w:val="16"/>
                <w:b w:val="1"/>
                <w:bCs w:val="1"/>
                <w:color w:val="FFFFFF"/>
              </w:rPr>
              <w:t>Page</w:t>
            </w:r>
          </w:p>
        </w:tc>
        <w:tc>
          <w:tcPr>
            <w:tcW w:w="0" w:type="dxa"/>
            <w:vAlign w:val="bottom"/>
          </w:tcPr>
          <w:p>
            <w:pPr>
              <w:spacing w:after="0"/>
              <w:rPr>
                <w:sz w:val="1"/>
                <w:szCs w:val="1"/>
                <w:color w:val="auto"/>
              </w:rPr>
            </w:pPr>
          </w:p>
        </w:tc>
      </w:tr>
      <w:tr>
        <w:trPr>
          <w:trHeight w:val="115"/>
        </w:trPr>
        <w:tc>
          <w:tcPr>
            <w:tcW w:w="7880" w:type="dxa"/>
            <w:vAlign w:val="bottom"/>
            <w:gridSpan w:val="2"/>
            <w:vMerge w:val="continue"/>
            <w:shd w:val="clear" w:color="auto" w:fill="003595"/>
          </w:tcPr>
          <w:p>
            <w:pPr>
              <w:spacing w:after="0"/>
              <w:rPr>
                <w:sz w:val="9"/>
                <w:szCs w:val="9"/>
                <w:color w:val="auto"/>
              </w:rPr>
            </w:pPr>
          </w:p>
        </w:tc>
        <w:tc>
          <w:tcPr>
            <w:tcW w:w="2720" w:type="dxa"/>
            <w:vAlign w:val="bottom"/>
            <w:vMerge w:val="restart"/>
            <w:shd w:val="clear" w:color="auto" w:fill="003595"/>
          </w:tcPr>
          <w:p>
            <w:pPr>
              <w:ind w:left="700"/>
              <w:spacing w:after="0"/>
              <w:rPr>
                <w:sz w:val="20"/>
                <w:szCs w:val="20"/>
                <w:color w:val="auto"/>
              </w:rPr>
            </w:pPr>
            <w:r>
              <w:rPr>
                <w:rFonts w:ascii="Arial" w:cs="Arial" w:eastAsia="Arial" w:hAnsi="Arial"/>
                <w:sz w:val="16"/>
                <w:szCs w:val="16"/>
                <w:b w:val="1"/>
                <w:bCs w:val="1"/>
                <w:color w:val="FFFFFF"/>
              </w:rPr>
              <w:t>Recommendation</w:t>
            </w:r>
          </w:p>
        </w:tc>
        <w:tc>
          <w:tcPr>
            <w:tcW w:w="640" w:type="dxa"/>
            <w:vAlign w:val="bottom"/>
            <w:gridSpan w:val="3"/>
            <w:vMerge w:val="continue"/>
            <w:shd w:val="clear" w:color="auto" w:fill="003595"/>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80" w:type="dxa"/>
            <w:vAlign w:val="bottom"/>
            <w:shd w:val="clear" w:color="auto" w:fill="003595"/>
          </w:tcPr>
          <w:p>
            <w:pPr>
              <w:spacing w:after="0"/>
              <w:rPr>
                <w:sz w:val="10"/>
                <w:szCs w:val="10"/>
                <w:color w:val="auto"/>
              </w:rPr>
            </w:pPr>
          </w:p>
        </w:tc>
        <w:tc>
          <w:tcPr>
            <w:tcW w:w="7700" w:type="dxa"/>
            <w:vAlign w:val="bottom"/>
            <w:shd w:val="clear" w:color="auto" w:fill="003595"/>
          </w:tcPr>
          <w:p>
            <w:pPr>
              <w:spacing w:after="0"/>
              <w:rPr>
                <w:sz w:val="10"/>
                <w:szCs w:val="10"/>
                <w:color w:val="auto"/>
              </w:rPr>
            </w:pPr>
          </w:p>
        </w:tc>
        <w:tc>
          <w:tcPr>
            <w:tcW w:w="2720" w:type="dxa"/>
            <w:vAlign w:val="bottom"/>
            <w:vMerge w:val="continue"/>
            <w:shd w:val="clear" w:color="auto" w:fill="003595"/>
          </w:tcPr>
          <w:p>
            <w:pPr>
              <w:spacing w:after="0"/>
              <w:rPr>
                <w:sz w:val="10"/>
                <w:szCs w:val="10"/>
                <w:color w:val="auto"/>
              </w:rPr>
            </w:pPr>
          </w:p>
        </w:tc>
        <w:tc>
          <w:tcPr>
            <w:tcW w:w="200" w:type="dxa"/>
            <w:vAlign w:val="bottom"/>
            <w:shd w:val="clear" w:color="auto" w:fill="003595"/>
          </w:tcPr>
          <w:p>
            <w:pPr>
              <w:spacing w:after="0"/>
              <w:rPr>
                <w:sz w:val="10"/>
                <w:szCs w:val="10"/>
                <w:color w:val="auto"/>
              </w:rPr>
            </w:pPr>
          </w:p>
        </w:tc>
        <w:tc>
          <w:tcPr>
            <w:tcW w:w="180" w:type="dxa"/>
            <w:vAlign w:val="bottom"/>
            <w:shd w:val="clear" w:color="auto" w:fill="003595"/>
          </w:tcPr>
          <w:p>
            <w:pPr>
              <w:spacing w:after="0"/>
              <w:rPr>
                <w:sz w:val="10"/>
                <w:szCs w:val="10"/>
                <w:color w:val="auto"/>
              </w:rPr>
            </w:pPr>
          </w:p>
        </w:tc>
        <w:tc>
          <w:tcPr>
            <w:tcW w:w="260" w:type="dxa"/>
            <w:vAlign w:val="bottom"/>
            <w:shd w:val="clear" w:color="auto" w:fill="003595"/>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0" w:type="dxa"/>
            <w:vAlign w:val="bottom"/>
          </w:tcPr>
          <w:p>
            <w:pPr>
              <w:ind w:left="20"/>
              <w:spacing w:after="0"/>
              <w:rPr>
                <w:sz w:val="20"/>
                <w:szCs w:val="20"/>
                <w:color w:val="auto"/>
              </w:rPr>
            </w:pPr>
            <w:r>
              <w:rPr>
                <w:rFonts w:ascii="Arial" w:cs="Arial" w:eastAsia="Arial" w:hAnsi="Arial"/>
                <w:sz w:val="16"/>
                <w:szCs w:val="16"/>
                <w:color w:val="003595"/>
              </w:rPr>
              <w:t>1.</w:t>
            </w:r>
          </w:p>
        </w:tc>
        <w:tc>
          <w:tcPr>
            <w:tcW w:w="7700" w:type="dxa"/>
            <w:vAlign w:val="bottom"/>
          </w:tcPr>
          <w:p>
            <w:pPr>
              <w:ind w:left="20"/>
              <w:spacing w:after="0"/>
              <w:rPr>
                <w:sz w:val="20"/>
                <w:szCs w:val="20"/>
                <w:color w:val="auto"/>
              </w:rPr>
            </w:pPr>
            <w:r>
              <w:rPr>
                <w:rFonts w:ascii="Arial" w:cs="Arial" w:eastAsia="Arial" w:hAnsi="Arial"/>
                <w:sz w:val="16"/>
                <w:szCs w:val="16"/>
                <w:color w:val="003595"/>
              </w:rPr>
              <w:t>Elect Three Directors</w:t>
            </w:r>
          </w:p>
        </w:tc>
        <w:tc>
          <w:tcPr>
            <w:tcW w:w="2720" w:type="dxa"/>
            <w:vAlign w:val="bottom"/>
          </w:tcPr>
          <w:p>
            <w:pPr>
              <w:ind w:left="700"/>
              <w:spacing w:after="0"/>
              <w:rPr>
                <w:sz w:val="20"/>
                <w:szCs w:val="20"/>
                <w:color w:val="auto"/>
              </w:rPr>
            </w:pPr>
            <w:r>
              <w:rPr>
                <w:rFonts w:ascii="Arial" w:cs="Arial" w:eastAsia="Arial" w:hAnsi="Arial"/>
                <w:sz w:val="16"/>
                <w:szCs w:val="16"/>
                <w:color w:val="auto"/>
              </w:rPr>
              <w:t>FOR EACH NOMINEE</w:t>
            </w:r>
          </w:p>
        </w:tc>
        <w:tc>
          <w:tcPr>
            <w:tcW w:w="640" w:type="dxa"/>
            <w:vAlign w:val="bottom"/>
            <w:gridSpan w:val="3"/>
          </w:tcPr>
          <w:p>
            <w:pPr>
              <w:ind w:left="20"/>
              <w:spacing w:after="0"/>
              <w:rPr>
                <w:sz w:val="20"/>
                <w:szCs w:val="20"/>
                <w:color w:val="auto"/>
              </w:rPr>
            </w:pPr>
            <w:r>
              <w:rPr>
                <w:rFonts w:ascii="Arial" w:cs="Arial" w:eastAsia="Arial" w:hAnsi="Arial"/>
                <w:sz w:val="16"/>
                <w:szCs w:val="16"/>
                <w:color w:val="003595"/>
              </w:rPr>
              <w:t>P. 70</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3595"/>
            </w:tcBorders>
          </w:tcPr>
          <w:p>
            <w:pPr>
              <w:spacing w:after="0"/>
              <w:rPr>
                <w:sz w:val="2"/>
                <w:szCs w:val="2"/>
                <w:color w:val="auto"/>
              </w:rPr>
            </w:pPr>
          </w:p>
        </w:tc>
        <w:tc>
          <w:tcPr>
            <w:tcW w:w="7700" w:type="dxa"/>
            <w:vAlign w:val="bottom"/>
            <w:tcBorders>
              <w:bottom w:val="single" w:sz="8" w:color="003595"/>
            </w:tcBorders>
          </w:tcPr>
          <w:p>
            <w:pPr>
              <w:spacing w:after="0"/>
              <w:rPr>
                <w:sz w:val="2"/>
                <w:szCs w:val="2"/>
                <w:color w:val="auto"/>
              </w:rPr>
            </w:pPr>
          </w:p>
        </w:tc>
        <w:tc>
          <w:tcPr>
            <w:tcW w:w="2720" w:type="dxa"/>
            <w:vAlign w:val="bottom"/>
            <w:tcBorders>
              <w:bottom w:val="single" w:sz="8" w:color="003595"/>
            </w:tcBorders>
          </w:tcPr>
          <w:p>
            <w:pPr>
              <w:spacing w:after="0"/>
              <w:rPr>
                <w:sz w:val="2"/>
                <w:szCs w:val="2"/>
                <w:color w:val="auto"/>
              </w:rPr>
            </w:pPr>
          </w:p>
        </w:tc>
        <w:tc>
          <w:tcPr>
            <w:tcW w:w="200" w:type="dxa"/>
            <w:vAlign w:val="bottom"/>
            <w:tcBorders>
              <w:bottom w:val="single" w:sz="8" w:color="003595"/>
            </w:tcBorders>
          </w:tcPr>
          <w:p>
            <w:pPr>
              <w:spacing w:after="0"/>
              <w:rPr>
                <w:sz w:val="2"/>
                <w:szCs w:val="2"/>
                <w:color w:val="auto"/>
              </w:rPr>
            </w:pPr>
          </w:p>
        </w:tc>
        <w:tc>
          <w:tcPr>
            <w:tcW w:w="180" w:type="dxa"/>
            <w:vAlign w:val="bottom"/>
            <w:tcBorders>
              <w:top w:val="single" w:sz="8" w:color="003595"/>
              <w:bottom w:val="single" w:sz="8" w:color="003595"/>
            </w:tcBorders>
          </w:tcPr>
          <w:p>
            <w:pPr>
              <w:spacing w:after="0"/>
              <w:rPr>
                <w:sz w:val="2"/>
                <w:szCs w:val="2"/>
                <w:color w:val="auto"/>
              </w:rPr>
            </w:pPr>
          </w:p>
        </w:tc>
        <w:tc>
          <w:tcPr>
            <w:tcW w:w="26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0" w:type="dxa"/>
            <w:vAlign w:val="bottom"/>
          </w:tcPr>
          <w:p>
            <w:pPr>
              <w:ind w:left="20"/>
              <w:spacing w:after="0" w:line="183" w:lineRule="exact"/>
              <w:rPr>
                <w:sz w:val="20"/>
                <w:szCs w:val="20"/>
                <w:color w:val="auto"/>
              </w:rPr>
            </w:pPr>
            <w:r>
              <w:rPr>
                <w:rFonts w:ascii="Arial" w:cs="Arial" w:eastAsia="Arial" w:hAnsi="Arial"/>
                <w:sz w:val="16"/>
                <w:szCs w:val="16"/>
                <w:color w:val="003595"/>
              </w:rPr>
              <w:t>2.</w:t>
            </w:r>
          </w:p>
        </w:tc>
        <w:tc>
          <w:tcPr>
            <w:tcW w:w="7700" w:type="dxa"/>
            <w:vAlign w:val="bottom"/>
          </w:tcPr>
          <w:p>
            <w:pPr>
              <w:ind w:left="20"/>
              <w:spacing w:after="0" w:line="183" w:lineRule="exact"/>
              <w:rPr>
                <w:sz w:val="20"/>
                <w:szCs w:val="20"/>
                <w:color w:val="auto"/>
              </w:rPr>
            </w:pPr>
            <w:r>
              <w:rPr>
                <w:rFonts w:ascii="Arial" w:cs="Arial" w:eastAsia="Arial" w:hAnsi="Arial"/>
                <w:sz w:val="16"/>
                <w:szCs w:val="16"/>
                <w:color w:val="003595"/>
              </w:rPr>
              <w:t>Ratification of Ernst &amp; Young LLP as our Independent Registered Public Accounting Firm for 2026</w:t>
            </w:r>
          </w:p>
        </w:tc>
        <w:tc>
          <w:tcPr>
            <w:tcW w:w="2720" w:type="dxa"/>
            <w:vAlign w:val="bottom"/>
          </w:tcPr>
          <w:p>
            <w:pPr>
              <w:ind w:left="700"/>
              <w:spacing w:after="0" w:line="183" w:lineRule="exact"/>
              <w:rPr>
                <w:sz w:val="20"/>
                <w:szCs w:val="20"/>
                <w:color w:val="auto"/>
              </w:rPr>
            </w:pPr>
            <w:r>
              <w:rPr>
                <w:rFonts w:ascii="Arial" w:cs="Arial" w:eastAsia="Arial" w:hAnsi="Arial"/>
                <w:sz w:val="16"/>
                <w:szCs w:val="16"/>
                <w:color w:val="auto"/>
              </w:rPr>
              <w:t>FOR</w:t>
            </w:r>
          </w:p>
        </w:tc>
        <w:tc>
          <w:tcPr>
            <w:tcW w:w="640" w:type="dxa"/>
            <w:vAlign w:val="bottom"/>
            <w:gridSpan w:val="3"/>
          </w:tcPr>
          <w:p>
            <w:pPr>
              <w:ind w:left="20"/>
              <w:spacing w:after="0" w:line="183" w:lineRule="exact"/>
              <w:rPr>
                <w:sz w:val="20"/>
                <w:szCs w:val="20"/>
                <w:color w:val="auto"/>
              </w:rPr>
            </w:pPr>
            <w:r>
              <w:rPr>
                <w:rFonts w:ascii="Arial" w:cs="Arial" w:eastAsia="Arial" w:hAnsi="Arial"/>
                <w:sz w:val="16"/>
                <w:szCs w:val="16"/>
                <w:color w:val="003595"/>
              </w:rPr>
              <w:t>P. 71</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3595"/>
            </w:tcBorders>
          </w:tcPr>
          <w:p>
            <w:pPr>
              <w:spacing w:after="0"/>
              <w:rPr>
                <w:sz w:val="2"/>
                <w:szCs w:val="2"/>
                <w:color w:val="auto"/>
              </w:rPr>
            </w:pPr>
          </w:p>
        </w:tc>
        <w:tc>
          <w:tcPr>
            <w:tcW w:w="7700" w:type="dxa"/>
            <w:vAlign w:val="bottom"/>
            <w:tcBorders>
              <w:bottom w:val="single" w:sz="8" w:color="003595"/>
            </w:tcBorders>
          </w:tcPr>
          <w:p>
            <w:pPr>
              <w:spacing w:after="0"/>
              <w:rPr>
                <w:sz w:val="2"/>
                <w:szCs w:val="2"/>
                <w:color w:val="auto"/>
              </w:rPr>
            </w:pPr>
          </w:p>
        </w:tc>
        <w:tc>
          <w:tcPr>
            <w:tcW w:w="2720" w:type="dxa"/>
            <w:vAlign w:val="bottom"/>
            <w:tcBorders>
              <w:bottom w:val="single" w:sz="8" w:color="003595"/>
            </w:tcBorders>
          </w:tcPr>
          <w:p>
            <w:pPr>
              <w:spacing w:after="0"/>
              <w:rPr>
                <w:sz w:val="2"/>
                <w:szCs w:val="2"/>
                <w:color w:val="auto"/>
              </w:rPr>
            </w:pPr>
          </w:p>
        </w:tc>
        <w:tc>
          <w:tcPr>
            <w:tcW w:w="200" w:type="dxa"/>
            <w:vAlign w:val="bottom"/>
            <w:tcBorders>
              <w:bottom w:val="single" w:sz="8" w:color="003595"/>
            </w:tcBorders>
          </w:tcPr>
          <w:p>
            <w:pPr>
              <w:spacing w:after="0"/>
              <w:rPr>
                <w:sz w:val="2"/>
                <w:szCs w:val="2"/>
                <w:color w:val="auto"/>
              </w:rPr>
            </w:pPr>
          </w:p>
        </w:tc>
        <w:tc>
          <w:tcPr>
            <w:tcW w:w="180" w:type="dxa"/>
            <w:vAlign w:val="bottom"/>
            <w:tcBorders>
              <w:top w:val="single" w:sz="8" w:color="003595"/>
              <w:bottom w:val="single" w:sz="8" w:color="003595"/>
            </w:tcBorders>
          </w:tcPr>
          <w:p>
            <w:pPr>
              <w:spacing w:after="0"/>
              <w:rPr>
                <w:sz w:val="2"/>
                <w:szCs w:val="2"/>
                <w:color w:val="auto"/>
              </w:rPr>
            </w:pPr>
          </w:p>
        </w:tc>
        <w:tc>
          <w:tcPr>
            <w:tcW w:w="26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0" w:type="dxa"/>
            <w:vAlign w:val="bottom"/>
          </w:tcPr>
          <w:p>
            <w:pPr>
              <w:ind w:left="20"/>
              <w:spacing w:after="0" w:line="183" w:lineRule="exact"/>
              <w:rPr>
                <w:sz w:val="20"/>
                <w:szCs w:val="20"/>
                <w:color w:val="auto"/>
              </w:rPr>
            </w:pPr>
            <w:r>
              <w:rPr>
                <w:rFonts w:ascii="Arial" w:cs="Arial" w:eastAsia="Arial" w:hAnsi="Arial"/>
                <w:sz w:val="16"/>
                <w:szCs w:val="16"/>
                <w:color w:val="003595"/>
              </w:rPr>
              <w:t>3.</w:t>
            </w:r>
          </w:p>
        </w:tc>
        <w:tc>
          <w:tcPr>
            <w:tcW w:w="7700" w:type="dxa"/>
            <w:vAlign w:val="bottom"/>
          </w:tcPr>
          <w:p>
            <w:pPr>
              <w:ind w:left="20"/>
              <w:spacing w:after="0" w:line="183" w:lineRule="exact"/>
              <w:rPr>
                <w:sz w:val="20"/>
                <w:szCs w:val="20"/>
                <w:color w:val="auto"/>
              </w:rPr>
            </w:pPr>
            <w:r>
              <w:rPr>
                <w:rFonts w:ascii="Arial" w:cs="Arial" w:eastAsia="Arial" w:hAnsi="Arial"/>
                <w:sz w:val="16"/>
                <w:szCs w:val="16"/>
                <w:color w:val="003595"/>
              </w:rPr>
              <w:t>Advisory Vote to Approve Executive Compensation</w:t>
            </w:r>
          </w:p>
        </w:tc>
        <w:tc>
          <w:tcPr>
            <w:tcW w:w="2720" w:type="dxa"/>
            <w:vAlign w:val="bottom"/>
          </w:tcPr>
          <w:p>
            <w:pPr>
              <w:ind w:left="700"/>
              <w:spacing w:after="0" w:line="183" w:lineRule="exact"/>
              <w:rPr>
                <w:sz w:val="20"/>
                <w:szCs w:val="20"/>
                <w:color w:val="auto"/>
              </w:rPr>
            </w:pPr>
            <w:r>
              <w:rPr>
                <w:rFonts w:ascii="Arial" w:cs="Arial" w:eastAsia="Arial" w:hAnsi="Arial"/>
                <w:sz w:val="16"/>
                <w:szCs w:val="16"/>
                <w:color w:val="auto"/>
              </w:rPr>
              <w:t>FOR</w:t>
            </w:r>
          </w:p>
        </w:tc>
        <w:tc>
          <w:tcPr>
            <w:tcW w:w="640" w:type="dxa"/>
            <w:vAlign w:val="bottom"/>
            <w:gridSpan w:val="3"/>
          </w:tcPr>
          <w:p>
            <w:pPr>
              <w:ind w:left="20"/>
              <w:spacing w:after="0" w:line="183" w:lineRule="exact"/>
              <w:rPr>
                <w:sz w:val="20"/>
                <w:szCs w:val="20"/>
                <w:color w:val="auto"/>
              </w:rPr>
            </w:pPr>
            <w:r>
              <w:rPr>
                <w:rFonts w:ascii="Arial" w:cs="Arial" w:eastAsia="Arial" w:hAnsi="Arial"/>
                <w:sz w:val="16"/>
                <w:szCs w:val="16"/>
                <w:color w:val="003595"/>
              </w:rPr>
              <w:t>P. 73</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3595"/>
            </w:tcBorders>
          </w:tcPr>
          <w:p>
            <w:pPr>
              <w:spacing w:after="0"/>
              <w:rPr>
                <w:sz w:val="2"/>
                <w:szCs w:val="2"/>
                <w:color w:val="auto"/>
              </w:rPr>
            </w:pPr>
          </w:p>
        </w:tc>
        <w:tc>
          <w:tcPr>
            <w:tcW w:w="7700" w:type="dxa"/>
            <w:vAlign w:val="bottom"/>
            <w:tcBorders>
              <w:bottom w:val="single" w:sz="8" w:color="003595"/>
            </w:tcBorders>
          </w:tcPr>
          <w:p>
            <w:pPr>
              <w:spacing w:after="0"/>
              <w:rPr>
                <w:sz w:val="2"/>
                <w:szCs w:val="2"/>
                <w:color w:val="auto"/>
              </w:rPr>
            </w:pPr>
          </w:p>
        </w:tc>
        <w:tc>
          <w:tcPr>
            <w:tcW w:w="2720" w:type="dxa"/>
            <w:vAlign w:val="bottom"/>
            <w:tcBorders>
              <w:bottom w:val="single" w:sz="8" w:color="003595"/>
            </w:tcBorders>
          </w:tcPr>
          <w:p>
            <w:pPr>
              <w:spacing w:after="0"/>
              <w:rPr>
                <w:sz w:val="2"/>
                <w:szCs w:val="2"/>
                <w:color w:val="auto"/>
              </w:rPr>
            </w:pPr>
          </w:p>
        </w:tc>
        <w:tc>
          <w:tcPr>
            <w:tcW w:w="200" w:type="dxa"/>
            <w:vAlign w:val="bottom"/>
            <w:tcBorders>
              <w:bottom w:val="single" w:sz="8" w:color="003595"/>
            </w:tcBorders>
          </w:tcPr>
          <w:p>
            <w:pPr>
              <w:spacing w:after="0"/>
              <w:rPr>
                <w:sz w:val="2"/>
                <w:szCs w:val="2"/>
                <w:color w:val="auto"/>
              </w:rPr>
            </w:pPr>
          </w:p>
        </w:tc>
        <w:tc>
          <w:tcPr>
            <w:tcW w:w="180" w:type="dxa"/>
            <w:vAlign w:val="bottom"/>
            <w:tcBorders>
              <w:top w:val="single" w:sz="8" w:color="003595"/>
              <w:bottom w:val="single" w:sz="8" w:color="003595"/>
            </w:tcBorders>
          </w:tcPr>
          <w:p>
            <w:pPr>
              <w:spacing w:after="0"/>
              <w:rPr>
                <w:sz w:val="2"/>
                <w:szCs w:val="2"/>
                <w:color w:val="auto"/>
              </w:rPr>
            </w:pPr>
          </w:p>
        </w:tc>
        <w:tc>
          <w:tcPr>
            <w:tcW w:w="26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0" w:type="dxa"/>
            <w:vAlign w:val="bottom"/>
          </w:tcPr>
          <w:p>
            <w:pPr>
              <w:ind w:left="20"/>
              <w:spacing w:after="0" w:line="183" w:lineRule="exact"/>
              <w:rPr>
                <w:sz w:val="20"/>
                <w:szCs w:val="20"/>
                <w:color w:val="auto"/>
              </w:rPr>
            </w:pPr>
            <w:r>
              <w:rPr>
                <w:rFonts w:ascii="Arial" w:cs="Arial" w:eastAsia="Arial" w:hAnsi="Arial"/>
                <w:sz w:val="16"/>
                <w:szCs w:val="16"/>
                <w:color w:val="003595"/>
              </w:rPr>
              <w:t>4.</w:t>
            </w:r>
          </w:p>
        </w:tc>
        <w:tc>
          <w:tcPr>
            <w:tcW w:w="7700" w:type="dxa"/>
            <w:vAlign w:val="bottom"/>
          </w:tcPr>
          <w:p>
            <w:pPr>
              <w:ind w:left="20"/>
              <w:spacing w:after="0" w:line="183" w:lineRule="exact"/>
              <w:rPr>
                <w:sz w:val="20"/>
                <w:szCs w:val="20"/>
                <w:color w:val="auto"/>
              </w:rPr>
            </w:pPr>
            <w:r>
              <w:rPr>
                <w:rFonts w:ascii="Arial" w:cs="Arial" w:eastAsia="Arial" w:hAnsi="Arial"/>
                <w:sz w:val="16"/>
                <w:szCs w:val="16"/>
                <w:color w:val="003595"/>
              </w:rPr>
              <w:t>Approve Amendment to Amended and Restated 2012 Employee Stock Purchase Plan</w:t>
            </w:r>
          </w:p>
        </w:tc>
        <w:tc>
          <w:tcPr>
            <w:tcW w:w="2720" w:type="dxa"/>
            <w:vAlign w:val="bottom"/>
          </w:tcPr>
          <w:p>
            <w:pPr>
              <w:ind w:left="700"/>
              <w:spacing w:after="0" w:line="183" w:lineRule="exact"/>
              <w:rPr>
                <w:sz w:val="20"/>
                <w:szCs w:val="20"/>
                <w:color w:val="auto"/>
              </w:rPr>
            </w:pPr>
            <w:r>
              <w:rPr>
                <w:rFonts w:ascii="Arial" w:cs="Arial" w:eastAsia="Arial" w:hAnsi="Arial"/>
                <w:sz w:val="16"/>
                <w:szCs w:val="16"/>
                <w:color w:val="auto"/>
              </w:rPr>
              <w:t>FOR</w:t>
            </w:r>
          </w:p>
        </w:tc>
        <w:tc>
          <w:tcPr>
            <w:tcW w:w="640" w:type="dxa"/>
            <w:vAlign w:val="bottom"/>
            <w:gridSpan w:val="3"/>
          </w:tcPr>
          <w:p>
            <w:pPr>
              <w:ind w:left="20"/>
              <w:spacing w:after="0" w:line="183" w:lineRule="exact"/>
              <w:rPr>
                <w:sz w:val="20"/>
                <w:szCs w:val="20"/>
                <w:color w:val="auto"/>
              </w:rPr>
            </w:pPr>
            <w:r>
              <w:rPr>
                <w:rFonts w:ascii="Arial" w:cs="Arial" w:eastAsia="Arial" w:hAnsi="Arial"/>
                <w:sz w:val="16"/>
                <w:szCs w:val="16"/>
                <w:color w:val="003595"/>
              </w:rPr>
              <w:t>P. 74</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3595"/>
            </w:tcBorders>
          </w:tcPr>
          <w:p>
            <w:pPr>
              <w:spacing w:after="0"/>
              <w:rPr>
                <w:sz w:val="2"/>
                <w:szCs w:val="2"/>
                <w:color w:val="auto"/>
              </w:rPr>
            </w:pPr>
          </w:p>
        </w:tc>
        <w:tc>
          <w:tcPr>
            <w:tcW w:w="7700" w:type="dxa"/>
            <w:vAlign w:val="bottom"/>
            <w:tcBorders>
              <w:bottom w:val="single" w:sz="8" w:color="003595"/>
            </w:tcBorders>
          </w:tcPr>
          <w:p>
            <w:pPr>
              <w:spacing w:after="0"/>
              <w:rPr>
                <w:sz w:val="2"/>
                <w:szCs w:val="2"/>
                <w:color w:val="auto"/>
              </w:rPr>
            </w:pPr>
          </w:p>
        </w:tc>
        <w:tc>
          <w:tcPr>
            <w:tcW w:w="2720" w:type="dxa"/>
            <w:vAlign w:val="bottom"/>
            <w:tcBorders>
              <w:bottom w:val="single" w:sz="8" w:color="003595"/>
            </w:tcBorders>
          </w:tcPr>
          <w:p>
            <w:pPr>
              <w:spacing w:after="0"/>
              <w:rPr>
                <w:sz w:val="2"/>
                <w:szCs w:val="2"/>
                <w:color w:val="auto"/>
              </w:rPr>
            </w:pPr>
          </w:p>
        </w:tc>
        <w:tc>
          <w:tcPr>
            <w:tcW w:w="200" w:type="dxa"/>
            <w:vAlign w:val="bottom"/>
            <w:tcBorders>
              <w:bottom w:val="single" w:sz="8" w:color="003595"/>
            </w:tcBorders>
          </w:tcPr>
          <w:p>
            <w:pPr>
              <w:spacing w:after="0"/>
              <w:rPr>
                <w:sz w:val="2"/>
                <w:szCs w:val="2"/>
                <w:color w:val="auto"/>
              </w:rPr>
            </w:pPr>
          </w:p>
        </w:tc>
        <w:tc>
          <w:tcPr>
            <w:tcW w:w="180" w:type="dxa"/>
            <w:vAlign w:val="bottom"/>
            <w:tcBorders>
              <w:top w:val="single" w:sz="8" w:color="003595"/>
              <w:bottom w:val="single" w:sz="8" w:color="003595"/>
            </w:tcBorders>
          </w:tcPr>
          <w:p>
            <w:pPr>
              <w:spacing w:after="0"/>
              <w:rPr>
                <w:sz w:val="2"/>
                <w:szCs w:val="2"/>
                <w:color w:val="auto"/>
              </w:rPr>
            </w:pPr>
          </w:p>
        </w:tc>
        <w:tc>
          <w:tcPr>
            <w:tcW w:w="26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0" w:type="dxa"/>
            <w:vAlign w:val="bottom"/>
          </w:tcPr>
          <w:p>
            <w:pPr>
              <w:ind w:left="20"/>
              <w:spacing w:after="0" w:line="183" w:lineRule="exact"/>
              <w:rPr>
                <w:sz w:val="20"/>
                <w:szCs w:val="20"/>
                <w:color w:val="auto"/>
              </w:rPr>
            </w:pPr>
            <w:r>
              <w:rPr>
                <w:rFonts w:ascii="Arial" w:cs="Arial" w:eastAsia="Arial" w:hAnsi="Arial"/>
                <w:sz w:val="16"/>
                <w:szCs w:val="16"/>
                <w:color w:val="003595"/>
              </w:rPr>
              <w:t>5.</w:t>
            </w:r>
          </w:p>
        </w:tc>
        <w:tc>
          <w:tcPr>
            <w:tcW w:w="7700" w:type="dxa"/>
            <w:vAlign w:val="bottom"/>
          </w:tcPr>
          <w:p>
            <w:pPr>
              <w:ind w:left="20"/>
              <w:spacing w:after="0" w:line="183" w:lineRule="exact"/>
              <w:rPr>
                <w:sz w:val="20"/>
                <w:szCs w:val="20"/>
                <w:color w:val="auto"/>
              </w:rPr>
            </w:pPr>
            <w:r>
              <w:rPr>
                <w:rFonts w:ascii="Arial" w:cs="Arial" w:eastAsia="Arial" w:hAnsi="Arial"/>
                <w:sz w:val="16"/>
                <w:szCs w:val="16"/>
                <w:color w:val="003595"/>
              </w:rPr>
              <w:t>Approve 2026 Employee, Director and Consultant Equity Incentive Plan</w:t>
            </w:r>
          </w:p>
        </w:tc>
        <w:tc>
          <w:tcPr>
            <w:tcW w:w="2720" w:type="dxa"/>
            <w:vAlign w:val="bottom"/>
          </w:tcPr>
          <w:p>
            <w:pPr>
              <w:ind w:left="700"/>
              <w:spacing w:after="0" w:line="183" w:lineRule="exact"/>
              <w:rPr>
                <w:sz w:val="20"/>
                <w:szCs w:val="20"/>
                <w:color w:val="auto"/>
              </w:rPr>
            </w:pPr>
            <w:r>
              <w:rPr>
                <w:rFonts w:ascii="Arial" w:cs="Arial" w:eastAsia="Arial" w:hAnsi="Arial"/>
                <w:sz w:val="16"/>
                <w:szCs w:val="16"/>
                <w:color w:val="auto"/>
              </w:rPr>
              <w:t>FOR</w:t>
            </w:r>
          </w:p>
        </w:tc>
        <w:tc>
          <w:tcPr>
            <w:tcW w:w="640" w:type="dxa"/>
            <w:vAlign w:val="bottom"/>
            <w:gridSpan w:val="3"/>
          </w:tcPr>
          <w:p>
            <w:pPr>
              <w:ind w:left="20"/>
              <w:spacing w:after="0" w:line="183" w:lineRule="exact"/>
              <w:rPr>
                <w:sz w:val="20"/>
                <w:szCs w:val="20"/>
                <w:color w:val="auto"/>
              </w:rPr>
            </w:pPr>
            <w:r>
              <w:rPr>
                <w:rFonts w:ascii="Arial" w:cs="Arial" w:eastAsia="Arial" w:hAnsi="Arial"/>
                <w:sz w:val="16"/>
                <w:szCs w:val="16"/>
                <w:color w:val="003595"/>
              </w:rPr>
              <w:t>P. 77</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3595"/>
            </w:tcBorders>
          </w:tcPr>
          <w:p>
            <w:pPr>
              <w:spacing w:after="0"/>
              <w:rPr>
                <w:sz w:val="2"/>
                <w:szCs w:val="2"/>
                <w:color w:val="auto"/>
              </w:rPr>
            </w:pPr>
          </w:p>
        </w:tc>
        <w:tc>
          <w:tcPr>
            <w:tcW w:w="7700" w:type="dxa"/>
            <w:vAlign w:val="bottom"/>
            <w:tcBorders>
              <w:bottom w:val="single" w:sz="8" w:color="003595"/>
            </w:tcBorders>
          </w:tcPr>
          <w:p>
            <w:pPr>
              <w:spacing w:after="0"/>
              <w:rPr>
                <w:sz w:val="2"/>
                <w:szCs w:val="2"/>
                <w:color w:val="auto"/>
              </w:rPr>
            </w:pPr>
          </w:p>
        </w:tc>
        <w:tc>
          <w:tcPr>
            <w:tcW w:w="2720" w:type="dxa"/>
            <w:vAlign w:val="bottom"/>
            <w:tcBorders>
              <w:bottom w:val="single" w:sz="8" w:color="003595"/>
            </w:tcBorders>
          </w:tcPr>
          <w:p>
            <w:pPr>
              <w:spacing w:after="0"/>
              <w:rPr>
                <w:sz w:val="2"/>
                <w:szCs w:val="2"/>
                <w:color w:val="auto"/>
              </w:rPr>
            </w:pPr>
          </w:p>
        </w:tc>
        <w:tc>
          <w:tcPr>
            <w:tcW w:w="200" w:type="dxa"/>
            <w:vAlign w:val="bottom"/>
            <w:tcBorders>
              <w:bottom w:val="single" w:sz="8" w:color="0A2299"/>
            </w:tcBorders>
          </w:tcPr>
          <w:p>
            <w:pPr>
              <w:spacing w:after="0"/>
              <w:rPr>
                <w:sz w:val="2"/>
                <w:szCs w:val="2"/>
                <w:color w:val="auto"/>
              </w:rPr>
            </w:pPr>
          </w:p>
        </w:tc>
        <w:tc>
          <w:tcPr>
            <w:tcW w:w="180" w:type="dxa"/>
            <w:vAlign w:val="bottom"/>
            <w:tcBorders>
              <w:top w:val="single" w:sz="8" w:color="003595"/>
              <w:bottom w:val="single" w:sz="8" w:color="0A2299"/>
            </w:tcBorders>
          </w:tcPr>
          <w:p>
            <w:pPr>
              <w:spacing w:after="0"/>
              <w:rPr>
                <w:sz w:val="2"/>
                <w:szCs w:val="2"/>
                <w:color w:val="auto"/>
              </w:rPr>
            </w:pPr>
          </w:p>
        </w:tc>
        <w:tc>
          <w:tcPr>
            <w:tcW w:w="260" w:type="dxa"/>
            <w:vAlign w:val="bottom"/>
            <w:tcBorders>
              <w:bottom w:val="single" w:sz="8" w:color="0A229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 xml:space="preserve">How Do I Vote </w:t>
      </w:r>
      <w:r>
        <w:rPr>
          <w:rFonts w:ascii="Arial" w:cs="Arial" w:eastAsia="Arial" w:hAnsi="Arial"/>
          <w:sz w:val="20"/>
          <w:szCs w:val="20"/>
          <w:color w:val="000000"/>
        </w:rPr>
        <w:t>(page</w:t>
      </w:r>
      <w:r>
        <w:rPr>
          <w:rFonts w:ascii="Arial" w:cs="Arial" w:eastAsia="Arial" w:hAnsi="Arial"/>
          <w:sz w:val="20"/>
          <w:szCs w:val="20"/>
          <w:b w:val="1"/>
          <w:bCs w:val="1"/>
          <w:color w:val="003595"/>
        </w:rPr>
        <w:t xml:space="preserve"> </w:t>
      </w:r>
      <w:r>
        <w:rPr>
          <w:rFonts w:ascii="Arial" w:cs="Arial" w:eastAsia="Arial" w:hAnsi="Arial"/>
          <w:sz w:val="20"/>
          <w:szCs w:val="20"/>
          <w:u w:val="single" w:color="auto"/>
          <w:color w:val="0000FF"/>
        </w:rPr>
        <w:t>7</w:t>
      </w:r>
      <w:r>
        <w:rPr>
          <w:rFonts w:ascii="Arial" w:cs="Arial" w:eastAsia="Arial" w:hAnsi="Arial"/>
          <w:sz w:val="20"/>
          <w:szCs w:val="20"/>
          <w:color w:val="000000"/>
        </w:rPr>
        <w:t>)</w:t>
      </w:r>
    </w:p>
    <w:p>
      <w:pPr>
        <w:spacing w:after="0" w:line="2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Your vote is important. Please exercise your right as a stockholder and submit your proxy as soon as possible. You may vote if you were a stockholder as of the close of business on April 8, 2026.</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You may cast your votes by any of the following methods: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60" w:type="dxa"/>
            <w:vAlign w:val="bottom"/>
          </w:tcPr>
          <w:p>
            <w:pPr>
              <w:ind w:left="20"/>
              <w:spacing w:after="0"/>
              <w:rPr>
                <w:sz w:val="20"/>
                <w:szCs w:val="20"/>
                <w:color w:val="auto"/>
              </w:rPr>
            </w:pPr>
            <w:r>
              <w:rPr>
                <w:rFonts w:ascii="Arial" w:cs="Arial" w:eastAsia="Arial" w:hAnsi="Arial"/>
                <w:sz w:val="16"/>
                <w:szCs w:val="16"/>
                <w:b w:val="1"/>
                <w:bCs w:val="1"/>
                <w:color w:val="003595"/>
              </w:rPr>
              <w:t>Via the Internet</w:t>
            </w:r>
          </w:p>
        </w:tc>
        <w:tc>
          <w:tcPr>
            <w:tcW w:w="7500" w:type="dxa"/>
            <w:vAlign w:val="bottom"/>
          </w:tcPr>
          <w:p>
            <w:pPr>
              <w:ind w:left="580"/>
              <w:spacing w:after="0"/>
              <w:rPr>
                <w:sz w:val="20"/>
                <w:szCs w:val="20"/>
                <w:color w:val="auto"/>
              </w:rPr>
            </w:pPr>
            <w:r>
              <w:rPr>
                <w:rFonts w:ascii="Arial" w:cs="Arial" w:eastAsia="Arial" w:hAnsi="Arial"/>
                <w:sz w:val="16"/>
                <w:szCs w:val="16"/>
                <w:color w:val="auto"/>
              </w:rPr>
              <w:t>www.proxyvote.com</w:t>
            </w:r>
          </w:p>
        </w:tc>
      </w:tr>
      <w:tr>
        <w:trPr>
          <w:trHeight w:val="215"/>
        </w:trPr>
        <w:tc>
          <w:tcPr>
            <w:tcW w:w="1760" w:type="dxa"/>
            <w:vAlign w:val="bottom"/>
          </w:tcPr>
          <w:p>
            <w:pPr>
              <w:spacing w:after="0"/>
              <w:rPr>
                <w:sz w:val="18"/>
                <w:szCs w:val="18"/>
                <w:color w:val="auto"/>
              </w:rPr>
            </w:pPr>
          </w:p>
        </w:tc>
        <w:tc>
          <w:tcPr>
            <w:tcW w:w="7500" w:type="dxa"/>
            <w:vAlign w:val="bottom"/>
          </w:tcPr>
          <w:p>
            <w:pPr>
              <w:ind w:left="580"/>
              <w:spacing w:after="0"/>
              <w:rPr>
                <w:sz w:val="20"/>
                <w:szCs w:val="20"/>
                <w:color w:val="auto"/>
              </w:rPr>
            </w:pPr>
            <w:r>
              <w:rPr>
                <w:rFonts w:ascii="Arial" w:cs="Arial" w:eastAsia="Arial" w:hAnsi="Arial"/>
                <w:sz w:val="16"/>
                <w:szCs w:val="16"/>
                <w:color w:val="auto"/>
              </w:rPr>
              <w:t>until 11:59 p.m. Eastern Daylight Time (EDT) on Wednesday, June 3, 2026.</w:t>
            </w:r>
          </w:p>
        </w:tc>
      </w:tr>
      <w:tr>
        <w:trPr>
          <w:trHeight w:val="29"/>
        </w:trPr>
        <w:tc>
          <w:tcPr>
            <w:tcW w:w="1760" w:type="dxa"/>
            <w:vAlign w:val="bottom"/>
            <w:tcBorders>
              <w:bottom w:val="single" w:sz="8" w:color="003595"/>
            </w:tcBorders>
          </w:tcPr>
          <w:p>
            <w:pPr>
              <w:spacing w:after="0"/>
              <w:rPr>
                <w:sz w:val="2"/>
                <w:szCs w:val="2"/>
                <w:color w:val="auto"/>
              </w:rPr>
            </w:pPr>
          </w:p>
        </w:tc>
        <w:tc>
          <w:tcPr>
            <w:tcW w:w="7500" w:type="dxa"/>
            <w:vAlign w:val="bottom"/>
            <w:tcBorders>
              <w:bottom w:val="single" w:sz="8" w:color="003595"/>
            </w:tcBorders>
          </w:tcPr>
          <w:p>
            <w:pPr>
              <w:spacing w:after="0"/>
              <w:rPr>
                <w:sz w:val="2"/>
                <w:szCs w:val="2"/>
                <w:color w:val="auto"/>
              </w:rPr>
            </w:pPr>
          </w:p>
        </w:tc>
      </w:tr>
      <w:tr>
        <w:trPr>
          <w:trHeight w:val="195"/>
        </w:trPr>
        <w:tc>
          <w:tcPr>
            <w:tcW w:w="1760" w:type="dxa"/>
            <w:vAlign w:val="bottom"/>
          </w:tcPr>
          <w:p>
            <w:pPr>
              <w:ind w:left="40"/>
              <w:spacing w:after="0"/>
              <w:rPr>
                <w:sz w:val="20"/>
                <w:szCs w:val="20"/>
                <w:color w:val="auto"/>
              </w:rPr>
            </w:pPr>
            <w:r>
              <w:rPr>
                <w:rFonts w:ascii="Arial" w:cs="Arial" w:eastAsia="Arial" w:hAnsi="Arial"/>
                <w:sz w:val="16"/>
                <w:szCs w:val="16"/>
                <w:b w:val="1"/>
                <w:bCs w:val="1"/>
                <w:color w:val="003595"/>
              </w:rPr>
              <w:t>By Telephone</w:t>
            </w:r>
          </w:p>
        </w:tc>
        <w:tc>
          <w:tcPr>
            <w:tcW w:w="7500" w:type="dxa"/>
            <w:vAlign w:val="bottom"/>
          </w:tcPr>
          <w:p>
            <w:pPr>
              <w:ind w:left="580"/>
              <w:spacing w:after="0"/>
              <w:rPr>
                <w:sz w:val="20"/>
                <w:szCs w:val="20"/>
                <w:color w:val="auto"/>
              </w:rPr>
            </w:pPr>
            <w:r>
              <w:rPr>
                <w:rFonts w:ascii="Arial" w:cs="Arial" w:eastAsia="Arial" w:hAnsi="Arial"/>
                <w:sz w:val="16"/>
                <w:szCs w:val="16"/>
                <w:color w:val="auto"/>
              </w:rPr>
              <w:t>Call the phone number located on your Notice or on the top of your proxy card until 11:59 p.m.</w:t>
            </w:r>
          </w:p>
        </w:tc>
      </w:tr>
      <w:tr>
        <w:trPr>
          <w:trHeight w:val="215"/>
        </w:trPr>
        <w:tc>
          <w:tcPr>
            <w:tcW w:w="1760" w:type="dxa"/>
            <w:vAlign w:val="bottom"/>
          </w:tcPr>
          <w:p>
            <w:pPr>
              <w:spacing w:after="0"/>
              <w:rPr>
                <w:sz w:val="18"/>
                <w:szCs w:val="18"/>
                <w:color w:val="auto"/>
              </w:rPr>
            </w:pPr>
          </w:p>
        </w:tc>
        <w:tc>
          <w:tcPr>
            <w:tcW w:w="7500" w:type="dxa"/>
            <w:vAlign w:val="bottom"/>
          </w:tcPr>
          <w:p>
            <w:pPr>
              <w:ind w:left="580"/>
              <w:spacing w:after="0"/>
              <w:rPr>
                <w:sz w:val="20"/>
                <w:szCs w:val="20"/>
                <w:color w:val="auto"/>
              </w:rPr>
            </w:pPr>
            <w:r>
              <w:rPr>
                <w:rFonts w:ascii="Arial" w:cs="Arial" w:eastAsia="Arial" w:hAnsi="Arial"/>
                <w:sz w:val="16"/>
                <w:szCs w:val="16"/>
                <w:color w:val="auto"/>
              </w:rPr>
              <w:t>EDT on Wednesday, June 3, 2026.</w:t>
            </w:r>
          </w:p>
        </w:tc>
      </w:tr>
      <w:tr>
        <w:trPr>
          <w:trHeight w:val="29"/>
        </w:trPr>
        <w:tc>
          <w:tcPr>
            <w:tcW w:w="1760" w:type="dxa"/>
            <w:vAlign w:val="bottom"/>
            <w:tcBorders>
              <w:bottom w:val="single" w:sz="8" w:color="003595"/>
            </w:tcBorders>
          </w:tcPr>
          <w:p>
            <w:pPr>
              <w:spacing w:after="0"/>
              <w:rPr>
                <w:sz w:val="2"/>
                <w:szCs w:val="2"/>
                <w:color w:val="auto"/>
              </w:rPr>
            </w:pPr>
          </w:p>
        </w:tc>
        <w:tc>
          <w:tcPr>
            <w:tcW w:w="7500" w:type="dxa"/>
            <w:vAlign w:val="bottom"/>
            <w:tcBorders>
              <w:bottom w:val="single" w:sz="8" w:color="003595"/>
            </w:tcBorders>
          </w:tcPr>
          <w:p>
            <w:pPr>
              <w:spacing w:after="0"/>
              <w:rPr>
                <w:sz w:val="2"/>
                <w:szCs w:val="2"/>
                <w:color w:val="auto"/>
              </w:rPr>
            </w:pPr>
          </w:p>
        </w:tc>
      </w:tr>
      <w:tr>
        <w:trPr>
          <w:trHeight w:val="195"/>
        </w:trPr>
        <w:tc>
          <w:tcPr>
            <w:tcW w:w="1760" w:type="dxa"/>
            <w:vAlign w:val="bottom"/>
          </w:tcPr>
          <w:p>
            <w:pPr>
              <w:ind w:left="20"/>
              <w:spacing w:after="0"/>
              <w:rPr>
                <w:sz w:val="20"/>
                <w:szCs w:val="20"/>
                <w:color w:val="auto"/>
              </w:rPr>
            </w:pPr>
            <w:r>
              <w:rPr>
                <w:rFonts w:ascii="Arial" w:cs="Arial" w:eastAsia="Arial" w:hAnsi="Arial"/>
                <w:sz w:val="16"/>
                <w:szCs w:val="16"/>
                <w:b w:val="1"/>
                <w:bCs w:val="1"/>
                <w:color w:val="003595"/>
              </w:rPr>
              <w:t>By Mail</w:t>
            </w:r>
          </w:p>
        </w:tc>
        <w:tc>
          <w:tcPr>
            <w:tcW w:w="7500" w:type="dxa"/>
            <w:vAlign w:val="bottom"/>
          </w:tcPr>
          <w:p>
            <w:pPr>
              <w:ind w:left="580"/>
              <w:spacing w:after="0"/>
              <w:rPr>
                <w:sz w:val="20"/>
                <w:szCs w:val="20"/>
                <w:color w:val="auto"/>
              </w:rPr>
            </w:pPr>
            <w:r>
              <w:rPr>
                <w:rFonts w:ascii="Arial" w:cs="Arial" w:eastAsia="Arial" w:hAnsi="Arial"/>
                <w:sz w:val="16"/>
                <w:szCs w:val="16"/>
                <w:color w:val="auto"/>
              </w:rPr>
              <w:t>Complete, sign, date and return your proxy card or voting instruction card so that it is received</w:t>
            </w:r>
          </w:p>
        </w:tc>
      </w:tr>
      <w:tr>
        <w:trPr>
          <w:trHeight w:val="215"/>
        </w:trPr>
        <w:tc>
          <w:tcPr>
            <w:tcW w:w="1760" w:type="dxa"/>
            <w:vAlign w:val="bottom"/>
          </w:tcPr>
          <w:p>
            <w:pPr>
              <w:spacing w:after="0"/>
              <w:rPr>
                <w:sz w:val="18"/>
                <w:szCs w:val="18"/>
                <w:color w:val="auto"/>
              </w:rPr>
            </w:pPr>
          </w:p>
        </w:tc>
        <w:tc>
          <w:tcPr>
            <w:tcW w:w="7500" w:type="dxa"/>
            <w:vAlign w:val="bottom"/>
          </w:tcPr>
          <w:p>
            <w:pPr>
              <w:ind w:left="580"/>
              <w:spacing w:after="0"/>
              <w:rPr>
                <w:sz w:val="20"/>
                <w:szCs w:val="20"/>
                <w:color w:val="auto"/>
              </w:rPr>
            </w:pPr>
            <w:r>
              <w:rPr>
                <w:rFonts w:ascii="Arial" w:cs="Arial" w:eastAsia="Arial" w:hAnsi="Arial"/>
                <w:sz w:val="16"/>
                <w:szCs w:val="16"/>
                <w:color w:val="auto"/>
              </w:rPr>
              <w:t>before the polls close on Thursday, June 4, 2026.</w:t>
            </w:r>
          </w:p>
        </w:tc>
      </w:tr>
      <w:tr>
        <w:trPr>
          <w:trHeight w:val="29"/>
        </w:trPr>
        <w:tc>
          <w:tcPr>
            <w:tcW w:w="1760" w:type="dxa"/>
            <w:vAlign w:val="bottom"/>
            <w:tcBorders>
              <w:bottom w:val="single" w:sz="8" w:color="003595"/>
            </w:tcBorders>
          </w:tcPr>
          <w:p>
            <w:pPr>
              <w:spacing w:after="0"/>
              <w:rPr>
                <w:sz w:val="2"/>
                <w:szCs w:val="2"/>
                <w:color w:val="auto"/>
              </w:rPr>
            </w:pPr>
          </w:p>
        </w:tc>
        <w:tc>
          <w:tcPr>
            <w:tcW w:w="7500" w:type="dxa"/>
            <w:vAlign w:val="bottom"/>
            <w:tcBorders>
              <w:bottom w:val="single" w:sz="8" w:color="003595"/>
            </w:tcBorders>
          </w:tcPr>
          <w:p>
            <w:pPr>
              <w:spacing w:after="0"/>
              <w:rPr>
                <w:sz w:val="2"/>
                <w:szCs w:val="2"/>
                <w:color w:val="auto"/>
              </w:rPr>
            </w:pPr>
          </w:p>
        </w:tc>
      </w:tr>
      <w:tr>
        <w:trPr>
          <w:trHeight w:val="195"/>
        </w:trPr>
        <w:tc>
          <w:tcPr>
            <w:tcW w:w="1760" w:type="dxa"/>
            <w:vAlign w:val="bottom"/>
          </w:tcPr>
          <w:p>
            <w:pPr>
              <w:ind w:left="20"/>
              <w:spacing w:after="0"/>
              <w:rPr>
                <w:sz w:val="20"/>
                <w:szCs w:val="20"/>
                <w:color w:val="auto"/>
              </w:rPr>
            </w:pPr>
            <w:r>
              <w:rPr>
                <w:rFonts w:ascii="Arial" w:cs="Arial" w:eastAsia="Arial" w:hAnsi="Arial"/>
                <w:sz w:val="16"/>
                <w:szCs w:val="16"/>
                <w:b w:val="1"/>
                <w:bCs w:val="1"/>
                <w:color w:val="003595"/>
              </w:rPr>
              <w:t>In-Person</w:t>
            </w:r>
          </w:p>
        </w:tc>
        <w:tc>
          <w:tcPr>
            <w:tcW w:w="7500" w:type="dxa"/>
            <w:vAlign w:val="bottom"/>
          </w:tcPr>
          <w:p>
            <w:pPr>
              <w:ind w:left="580"/>
              <w:spacing w:after="0"/>
              <w:rPr>
                <w:sz w:val="20"/>
                <w:szCs w:val="20"/>
                <w:color w:val="auto"/>
              </w:rPr>
            </w:pPr>
            <w:r>
              <w:rPr>
                <w:rFonts w:ascii="Arial" w:cs="Arial" w:eastAsia="Arial" w:hAnsi="Arial"/>
                <w:sz w:val="16"/>
                <w:szCs w:val="16"/>
                <w:color w:val="auto"/>
              </w:rPr>
              <w:t>Whether you are a stockholder of record or hold your shares in "street name," you may</w:t>
            </w:r>
          </w:p>
        </w:tc>
      </w:tr>
      <w:tr>
        <w:trPr>
          <w:trHeight w:val="203"/>
        </w:trPr>
        <w:tc>
          <w:tcPr>
            <w:tcW w:w="1760" w:type="dxa"/>
            <w:vAlign w:val="bottom"/>
          </w:tcPr>
          <w:p>
            <w:pPr>
              <w:spacing w:after="0"/>
              <w:rPr>
                <w:sz w:val="17"/>
                <w:szCs w:val="17"/>
                <w:color w:val="auto"/>
              </w:rPr>
            </w:pPr>
          </w:p>
        </w:tc>
        <w:tc>
          <w:tcPr>
            <w:tcW w:w="7500" w:type="dxa"/>
            <w:vAlign w:val="bottom"/>
          </w:tcPr>
          <w:p>
            <w:pPr>
              <w:ind w:left="580"/>
              <w:spacing w:after="0"/>
              <w:rPr>
                <w:sz w:val="20"/>
                <w:szCs w:val="20"/>
                <w:color w:val="auto"/>
              </w:rPr>
            </w:pPr>
            <w:r>
              <w:rPr>
                <w:rFonts w:ascii="Arial" w:cs="Arial" w:eastAsia="Arial" w:hAnsi="Arial"/>
                <w:sz w:val="16"/>
                <w:szCs w:val="16"/>
                <w:color w:val="auto"/>
              </w:rPr>
              <w:t>participate in and vote online at the Annual Meeting. You will need to enter your 16-digit control</w:t>
            </w:r>
          </w:p>
        </w:tc>
      </w:tr>
      <w:tr>
        <w:trPr>
          <w:trHeight w:val="189"/>
        </w:trPr>
        <w:tc>
          <w:tcPr>
            <w:tcW w:w="1760" w:type="dxa"/>
            <w:vAlign w:val="bottom"/>
          </w:tcPr>
          <w:p>
            <w:pPr>
              <w:spacing w:after="0"/>
              <w:rPr>
                <w:sz w:val="16"/>
                <w:szCs w:val="16"/>
                <w:color w:val="auto"/>
              </w:rPr>
            </w:pPr>
          </w:p>
        </w:tc>
        <w:tc>
          <w:tcPr>
            <w:tcW w:w="7500" w:type="dxa"/>
            <w:vAlign w:val="bottom"/>
          </w:tcPr>
          <w:p>
            <w:pPr>
              <w:ind w:left="580"/>
              <w:spacing w:after="0"/>
              <w:rPr>
                <w:sz w:val="20"/>
                <w:szCs w:val="20"/>
                <w:color w:val="auto"/>
              </w:rPr>
            </w:pPr>
            <w:r>
              <w:rPr>
                <w:rFonts w:ascii="Arial" w:cs="Arial" w:eastAsia="Arial" w:hAnsi="Arial"/>
                <w:sz w:val="16"/>
                <w:szCs w:val="16"/>
                <w:color w:val="auto"/>
              </w:rPr>
              <w:t>number to vote your shares at the Annual Meeting. Please visit</w:t>
            </w:r>
          </w:p>
        </w:tc>
      </w:tr>
      <w:tr>
        <w:trPr>
          <w:trHeight w:val="189"/>
        </w:trPr>
        <w:tc>
          <w:tcPr>
            <w:tcW w:w="1760" w:type="dxa"/>
            <w:vAlign w:val="bottom"/>
          </w:tcPr>
          <w:p>
            <w:pPr>
              <w:spacing w:after="0"/>
              <w:rPr>
                <w:sz w:val="16"/>
                <w:szCs w:val="16"/>
                <w:color w:val="auto"/>
              </w:rPr>
            </w:pPr>
          </w:p>
        </w:tc>
        <w:tc>
          <w:tcPr>
            <w:tcW w:w="7500" w:type="dxa"/>
            <w:vAlign w:val="bottom"/>
          </w:tcPr>
          <w:p>
            <w:pPr>
              <w:ind w:left="580"/>
              <w:spacing w:after="0"/>
              <w:rPr>
                <w:sz w:val="20"/>
                <w:szCs w:val="20"/>
                <w:color w:val="auto"/>
              </w:rPr>
            </w:pPr>
            <w:r>
              <w:rPr>
                <w:rFonts w:ascii="Arial" w:cs="Arial" w:eastAsia="Arial" w:hAnsi="Arial"/>
                <w:sz w:val="16"/>
                <w:szCs w:val="16"/>
                <w:color w:val="auto"/>
              </w:rPr>
              <w:t>www.virtualshareholdermeeting.com/MYGN2026 for instructions on how to attend the Annual</w:t>
            </w:r>
          </w:p>
        </w:tc>
      </w:tr>
      <w:tr>
        <w:trPr>
          <w:trHeight w:val="203"/>
        </w:trPr>
        <w:tc>
          <w:tcPr>
            <w:tcW w:w="1760" w:type="dxa"/>
            <w:vAlign w:val="bottom"/>
          </w:tcPr>
          <w:p>
            <w:pPr>
              <w:spacing w:after="0"/>
              <w:rPr>
                <w:sz w:val="17"/>
                <w:szCs w:val="17"/>
                <w:color w:val="auto"/>
              </w:rPr>
            </w:pPr>
          </w:p>
        </w:tc>
        <w:tc>
          <w:tcPr>
            <w:tcW w:w="7500" w:type="dxa"/>
            <w:vAlign w:val="bottom"/>
          </w:tcPr>
          <w:p>
            <w:pPr>
              <w:ind w:left="580"/>
              <w:spacing w:after="0"/>
              <w:rPr>
                <w:sz w:val="20"/>
                <w:szCs w:val="20"/>
                <w:color w:val="auto"/>
              </w:rPr>
            </w:pPr>
            <w:r>
              <w:rPr>
                <w:rFonts w:ascii="Arial" w:cs="Arial" w:eastAsia="Arial" w:hAnsi="Arial"/>
                <w:sz w:val="16"/>
                <w:szCs w:val="16"/>
                <w:color w:val="auto"/>
              </w:rPr>
              <w:t>Meeting live over the Internet. To vote during the Annual Meeting when the polls open use the</w:t>
            </w:r>
          </w:p>
        </w:tc>
      </w:tr>
      <w:tr>
        <w:trPr>
          <w:trHeight w:val="224"/>
        </w:trPr>
        <w:tc>
          <w:tcPr>
            <w:tcW w:w="1760" w:type="dxa"/>
            <w:vAlign w:val="bottom"/>
            <w:tcBorders>
              <w:bottom w:val="single" w:sz="8" w:color="003595"/>
            </w:tcBorders>
          </w:tcPr>
          <w:p>
            <w:pPr>
              <w:spacing w:after="0"/>
              <w:rPr>
                <w:sz w:val="19"/>
                <w:szCs w:val="19"/>
                <w:color w:val="auto"/>
              </w:rPr>
            </w:pPr>
          </w:p>
        </w:tc>
        <w:tc>
          <w:tcPr>
            <w:tcW w:w="7500" w:type="dxa"/>
            <w:vAlign w:val="bottom"/>
            <w:tcBorders>
              <w:bottom w:val="single" w:sz="8" w:color="003595"/>
            </w:tcBorders>
          </w:tcPr>
          <w:p>
            <w:pPr>
              <w:ind w:left="580"/>
              <w:spacing w:after="0"/>
              <w:rPr>
                <w:sz w:val="20"/>
                <w:szCs w:val="20"/>
                <w:color w:val="auto"/>
              </w:rPr>
            </w:pPr>
            <w:r>
              <w:rPr>
                <w:rFonts w:ascii="Arial" w:cs="Arial" w:eastAsia="Arial" w:hAnsi="Arial"/>
                <w:sz w:val="16"/>
                <w:szCs w:val="16"/>
                <w:color w:val="auto"/>
              </w:rPr>
              <w:t>"vote" button on the interface.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-788035</wp:posOffset>
            </wp:positionV>
            <wp:extent cx="8890" cy="788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788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889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30035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-1370965</wp:posOffset>
            </wp:positionV>
            <wp:extent cx="889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color w:val="003595"/>
        </w:rPr>
        <w:t xml:space="preserve">Board Members and Director Nominees </w:t>
      </w:r>
      <w:r>
        <w:rPr>
          <w:rFonts w:ascii="Arial" w:cs="Arial" w:eastAsia="Arial" w:hAnsi="Arial"/>
          <w:sz w:val="20"/>
          <w:szCs w:val="20"/>
          <w:color w:val="000000"/>
        </w:rPr>
        <w:t>(page</w:t>
      </w:r>
      <w:r>
        <w:rPr>
          <w:rFonts w:ascii="Arial" w:cs="Arial" w:eastAsia="Arial" w:hAnsi="Arial"/>
          <w:sz w:val="20"/>
          <w:szCs w:val="20"/>
          <w:b w:val="1"/>
          <w:bCs w:val="1"/>
          <w:color w:val="003595"/>
        </w:rPr>
        <w:t xml:space="preserve"> </w:t>
      </w:r>
      <w:r>
        <w:rPr>
          <w:rFonts w:ascii="Arial" w:cs="Arial" w:eastAsia="Arial" w:hAnsi="Arial"/>
          <w:sz w:val="20"/>
          <w:szCs w:val="20"/>
          <w:u w:val="single" w:color="auto"/>
          <w:color w:val="0000FF"/>
        </w:rPr>
        <w:t>12</w:t>
      </w:r>
      <w:r>
        <w:rPr>
          <w:rFonts w:ascii="Arial" w:cs="Arial" w:eastAsia="Arial" w:hAnsi="Arial"/>
          <w:sz w:val="20"/>
          <w:szCs w:val="20"/>
          <w:color w:val="000000"/>
        </w:rPr>
        <w: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60" w:type="dxa"/>
            <w:vAlign w:val="bottom"/>
            <w:shd w:val="clear" w:color="auto" w:fill="003595"/>
          </w:tcPr>
          <w:p>
            <w:pPr>
              <w:spacing w:after="0"/>
              <w:rPr>
                <w:sz w:val="17"/>
                <w:szCs w:val="17"/>
                <w:color w:val="auto"/>
              </w:rPr>
            </w:pPr>
          </w:p>
        </w:tc>
        <w:tc>
          <w:tcPr>
            <w:tcW w:w="3660" w:type="dxa"/>
            <w:vAlign w:val="bottom"/>
            <w:shd w:val="clear" w:color="auto" w:fill="003595"/>
          </w:tcPr>
          <w:p>
            <w:pPr>
              <w:spacing w:after="0"/>
              <w:rPr>
                <w:sz w:val="17"/>
                <w:szCs w:val="17"/>
                <w:color w:val="auto"/>
              </w:rPr>
            </w:pPr>
          </w:p>
        </w:tc>
        <w:tc>
          <w:tcPr>
            <w:tcW w:w="900" w:type="dxa"/>
            <w:vAlign w:val="bottom"/>
            <w:vMerge w:val="restart"/>
            <w:shd w:val="clear" w:color="auto" w:fill="003595"/>
          </w:tcPr>
          <w:p>
            <w:pPr>
              <w:jc w:val="center"/>
              <w:spacing w:after="0"/>
              <w:rPr>
                <w:sz w:val="20"/>
                <w:szCs w:val="20"/>
                <w:color w:val="auto"/>
              </w:rPr>
            </w:pPr>
            <w:r>
              <w:rPr>
                <w:rFonts w:ascii="Arial" w:cs="Arial" w:eastAsia="Arial" w:hAnsi="Arial"/>
                <w:sz w:val="16"/>
                <w:szCs w:val="16"/>
                <w:b w:val="1"/>
                <w:bCs w:val="1"/>
                <w:color w:val="FFFFFF"/>
              </w:rPr>
              <w:t>Director</w:t>
            </w:r>
          </w:p>
        </w:tc>
        <w:tc>
          <w:tcPr>
            <w:tcW w:w="1240" w:type="dxa"/>
            <w:vAlign w:val="bottom"/>
            <w:shd w:val="clear" w:color="auto" w:fill="003595"/>
          </w:tcPr>
          <w:p>
            <w:pPr>
              <w:spacing w:after="0"/>
              <w:rPr>
                <w:sz w:val="17"/>
                <w:szCs w:val="17"/>
                <w:color w:val="auto"/>
              </w:rPr>
            </w:pPr>
          </w:p>
        </w:tc>
        <w:tc>
          <w:tcPr>
            <w:tcW w:w="1300" w:type="dxa"/>
            <w:vAlign w:val="bottom"/>
            <w:vMerge w:val="restart"/>
            <w:shd w:val="clear" w:color="auto" w:fill="003595"/>
          </w:tcPr>
          <w:p>
            <w:pPr>
              <w:jc w:val="center"/>
              <w:spacing w:after="0"/>
              <w:rPr>
                <w:sz w:val="20"/>
                <w:szCs w:val="20"/>
                <w:color w:val="auto"/>
              </w:rPr>
            </w:pPr>
            <w:r>
              <w:rPr>
                <w:rFonts w:ascii="Arial" w:cs="Arial" w:eastAsia="Arial" w:hAnsi="Arial"/>
                <w:sz w:val="16"/>
                <w:szCs w:val="16"/>
                <w:b w:val="1"/>
                <w:bCs w:val="1"/>
                <w:color w:val="FFFFFF"/>
              </w:rPr>
              <w:t>Board</w:t>
            </w:r>
          </w:p>
        </w:tc>
        <w:tc>
          <w:tcPr>
            <w:tcW w:w="118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Other Public</w:t>
            </w:r>
          </w:p>
        </w:tc>
        <w:tc>
          <w:tcPr>
            <w:tcW w:w="0" w:type="dxa"/>
            <w:vAlign w:val="bottom"/>
          </w:tcPr>
          <w:p>
            <w:pPr>
              <w:spacing w:after="0"/>
              <w:rPr>
                <w:sz w:val="1"/>
                <w:szCs w:val="1"/>
                <w:color w:val="auto"/>
              </w:rPr>
            </w:pPr>
          </w:p>
        </w:tc>
      </w:tr>
      <w:tr>
        <w:trPr>
          <w:trHeight w:val="95"/>
        </w:trPr>
        <w:tc>
          <w:tcPr>
            <w:tcW w:w="2960" w:type="dxa"/>
            <w:vAlign w:val="bottom"/>
            <w:vMerge w:val="restart"/>
            <w:shd w:val="clear" w:color="auto" w:fill="003595"/>
          </w:tcPr>
          <w:p>
            <w:pPr>
              <w:ind w:left="1260"/>
              <w:spacing w:after="0"/>
              <w:rPr>
                <w:sz w:val="20"/>
                <w:szCs w:val="20"/>
                <w:color w:val="auto"/>
              </w:rPr>
            </w:pPr>
            <w:r>
              <w:rPr>
                <w:rFonts w:ascii="Arial" w:cs="Arial" w:eastAsia="Arial" w:hAnsi="Arial"/>
                <w:sz w:val="16"/>
                <w:szCs w:val="16"/>
                <w:b w:val="1"/>
                <w:bCs w:val="1"/>
                <w:color w:val="FFFFFF"/>
              </w:rPr>
              <w:t>Name</w:t>
            </w:r>
          </w:p>
        </w:tc>
        <w:tc>
          <w:tcPr>
            <w:tcW w:w="3660" w:type="dxa"/>
            <w:vAlign w:val="bottom"/>
            <w:vMerge w:val="restart"/>
            <w:shd w:val="clear" w:color="auto" w:fill="003595"/>
          </w:tcPr>
          <w:p>
            <w:pPr>
              <w:ind w:left="980"/>
              <w:spacing w:after="0"/>
              <w:rPr>
                <w:sz w:val="20"/>
                <w:szCs w:val="20"/>
                <w:color w:val="auto"/>
              </w:rPr>
            </w:pPr>
            <w:r>
              <w:rPr>
                <w:rFonts w:ascii="Arial" w:cs="Arial" w:eastAsia="Arial" w:hAnsi="Arial"/>
                <w:sz w:val="16"/>
                <w:szCs w:val="16"/>
                <w:b w:val="1"/>
                <w:bCs w:val="1"/>
                <w:color w:val="FFFFFF"/>
              </w:rPr>
              <w:t>Principal Occupation</w:t>
            </w:r>
          </w:p>
        </w:tc>
        <w:tc>
          <w:tcPr>
            <w:tcW w:w="900" w:type="dxa"/>
            <w:vAlign w:val="bottom"/>
            <w:vMerge w:val="continue"/>
            <w:shd w:val="clear" w:color="auto" w:fill="003595"/>
          </w:tcPr>
          <w:p>
            <w:pPr>
              <w:spacing w:after="0"/>
              <w:rPr>
                <w:sz w:val="8"/>
                <w:szCs w:val="8"/>
                <w:color w:val="auto"/>
              </w:rPr>
            </w:pPr>
          </w:p>
        </w:tc>
        <w:tc>
          <w:tcPr>
            <w:tcW w:w="1240" w:type="dxa"/>
            <w:vAlign w:val="bottom"/>
            <w:vMerge w:val="restart"/>
            <w:shd w:val="clear" w:color="auto" w:fill="003595"/>
          </w:tcPr>
          <w:p>
            <w:pPr>
              <w:jc w:val="center"/>
              <w:spacing w:after="0"/>
              <w:rPr>
                <w:sz w:val="20"/>
                <w:szCs w:val="20"/>
                <w:color w:val="auto"/>
              </w:rPr>
            </w:pPr>
            <w:r>
              <w:rPr>
                <w:rFonts w:ascii="Arial" w:cs="Arial" w:eastAsia="Arial" w:hAnsi="Arial"/>
                <w:sz w:val="16"/>
                <w:szCs w:val="16"/>
                <w:b w:val="1"/>
                <w:bCs w:val="1"/>
                <w:color w:val="FFFFFF"/>
              </w:rPr>
              <w:t>Independent</w:t>
            </w:r>
          </w:p>
        </w:tc>
        <w:tc>
          <w:tcPr>
            <w:tcW w:w="1300" w:type="dxa"/>
            <w:vAlign w:val="bottom"/>
            <w:vMerge w:val="continue"/>
            <w:shd w:val="clear" w:color="auto" w:fill="003595"/>
          </w:tcPr>
          <w:p>
            <w:pPr>
              <w:spacing w:after="0"/>
              <w:rPr>
                <w:sz w:val="8"/>
                <w:szCs w:val="8"/>
                <w:color w:val="auto"/>
              </w:rPr>
            </w:pPr>
          </w:p>
        </w:tc>
        <w:tc>
          <w:tcPr>
            <w:tcW w:w="1180" w:type="dxa"/>
            <w:vAlign w:val="bottom"/>
            <w:vMerge w:val="restart"/>
            <w:shd w:val="clear" w:color="auto" w:fill="003595"/>
          </w:tcPr>
          <w:p>
            <w:pPr>
              <w:jc w:val="center"/>
              <w:spacing w:after="0"/>
              <w:rPr>
                <w:sz w:val="20"/>
                <w:szCs w:val="20"/>
                <w:color w:val="auto"/>
              </w:rPr>
            </w:pPr>
            <w:r>
              <w:rPr>
                <w:rFonts w:ascii="Arial" w:cs="Arial" w:eastAsia="Arial" w:hAnsi="Arial"/>
                <w:sz w:val="16"/>
                <w:szCs w:val="16"/>
                <w:b w:val="1"/>
                <w:bCs w:val="1"/>
                <w:color w:val="FFFFFF"/>
              </w:rPr>
              <w:t>Company</w:t>
            </w:r>
          </w:p>
        </w:tc>
        <w:tc>
          <w:tcPr>
            <w:tcW w:w="0" w:type="dxa"/>
            <w:vAlign w:val="bottom"/>
          </w:tcPr>
          <w:p>
            <w:pPr>
              <w:spacing w:after="0"/>
              <w:rPr>
                <w:sz w:val="1"/>
                <w:szCs w:val="1"/>
                <w:color w:val="auto"/>
              </w:rPr>
            </w:pPr>
          </w:p>
        </w:tc>
      </w:tr>
      <w:tr>
        <w:trPr>
          <w:trHeight w:val="94"/>
        </w:trPr>
        <w:tc>
          <w:tcPr>
            <w:tcW w:w="2960" w:type="dxa"/>
            <w:vAlign w:val="bottom"/>
            <w:vMerge w:val="continue"/>
            <w:shd w:val="clear" w:color="auto" w:fill="003595"/>
          </w:tcPr>
          <w:p>
            <w:pPr>
              <w:spacing w:after="0"/>
              <w:rPr>
                <w:sz w:val="8"/>
                <w:szCs w:val="8"/>
                <w:color w:val="auto"/>
              </w:rPr>
            </w:pPr>
          </w:p>
        </w:tc>
        <w:tc>
          <w:tcPr>
            <w:tcW w:w="3660" w:type="dxa"/>
            <w:vAlign w:val="bottom"/>
            <w:vMerge w:val="continue"/>
            <w:shd w:val="clear" w:color="auto" w:fill="003595"/>
          </w:tcPr>
          <w:p>
            <w:pPr>
              <w:spacing w:after="0"/>
              <w:rPr>
                <w:sz w:val="8"/>
                <w:szCs w:val="8"/>
                <w:color w:val="auto"/>
              </w:rPr>
            </w:pPr>
          </w:p>
        </w:tc>
        <w:tc>
          <w:tcPr>
            <w:tcW w:w="900" w:type="dxa"/>
            <w:vAlign w:val="bottom"/>
            <w:vMerge w:val="restart"/>
            <w:shd w:val="clear" w:color="auto" w:fill="003595"/>
          </w:tcPr>
          <w:p>
            <w:pPr>
              <w:jc w:val="center"/>
              <w:spacing w:after="0"/>
              <w:rPr>
                <w:sz w:val="20"/>
                <w:szCs w:val="20"/>
                <w:color w:val="auto"/>
              </w:rPr>
            </w:pPr>
            <w:r>
              <w:rPr>
                <w:rFonts w:ascii="Arial" w:cs="Arial" w:eastAsia="Arial" w:hAnsi="Arial"/>
                <w:sz w:val="16"/>
                <w:szCs w:val="16"/>
                <w:b w:val="1"/>
                <w:bCs w:val="1"/>
                <w:color w:val="FFFFFF"/>
              </w:rPr>
              <w:t>Since</w:t>
            </w:r>
          </w:p>
        </w:tc>
        <w:tc>
          <w:tcPr>
            <w:tcW w:w="1240" w:type="dxa"/>
            <w:vAlign w:val="bottom"/>
            <w:vMerge w:val="continue"/>
            <w:shd w:val="clear" w:color="auto" w:fill="003595"/>
          </w:tcPr>
          <w:p>
            <w:pPr>
              <w:spacing w:after="0"/>
              <w:rPr>
                <w:sz w:val="8"/>
                <w:szCs w:val="8"/>
                <w:color w:val="auto"/>
              </w:rPr>
            </w:pPr>
          </w:p>
        </w:tc>
        <w:tc>
          <w:tcPr>
            <w:tcW w:w="1300" w:type="dxa"/>
            <w:vAlign w:val="bottom"/>
            <w:vMerge w:val="restart"/>
            <w:shd w:val="clear" w:color="auto" w:fill="003595"/>
          </w:tcPr>
          <w:p>
            <w:pPr>
              <w:jc w:val="center"/>
              <w:spacing w:after="0"/>
              <w:rPr>
                <w:sz w:val="20"/>
                <w:szCs w:val="20"/>
                <w:color w:val="auto"/>
              </w:rPr>
            </w:pPr>
            <w:r>
              <w:rPr>
                <w:rFonts w:ascii="Arial" w:cs="Arial" w:eastAsia="Arial" w:hAnsi="Arial"/>
                <w:sz w:val="16"/>
                <w:szCs w:val="16"/>
                <w:b w:val="1"/>
                <w:bCs w:val="1"/>
                <w:color w:val="FFFFFF"/>
              </w:rPr>
              <w:t>Committees</w:t>
            </w:r>
          </w:p>
        </w:tc>
        <w:tc>
          <w:tcPr>
            <w:tcW w:w="1180" w:type="dxa"/>
            <w:vAlign w:val="bottom"/>
            <w:vMerge w:val="continue"/>
            <w:shd w:val="clear" w:color="auto" w:fill="003595"/>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003595"/>
          </w:tcPr>
          <w:p>
            <w:pPr>
              <w:spacing w:after="0"/>
              <w:rPr>
                <w:sz w:val="11"/>
                <w:szCs w:val="11"/>
                <w:color w:val="auto"/>
              </w:rPr>
            </w:pPr>
          </w:p>
        </w:tc>
        <w:tc>
          <w:tcPr>
            <w:tcW w:w="3660" w:type="dxa"/>
            <w:vAlign w:val="bottom"/>
            <w:shd w:val="clear" w:color="auto" w:fill="003595"/>
          </w:tcPr>
          <w:p>
            <w:pPr>
              <w:spacing w:after="0"/>
              <w:rPr>
                <w:sz w:val="11"/>
                <w:szCs w:val="11"/>
                <w:color w:val="auto"/>
              </w:rPr>
            </w:pPr>
          </w:p>
        </w:tc>
        <w:tc>
          <w:tcPr>
            <w:tcW w:w="900" w:type="dxa"/>
            <w:vAlign w:val="bottom"/>
            <w:vMerge w:val="continue"/>
            <w:shd w:val="clear" w:color="auto" w:fill="003595"/>
          </w:tcPr>
          <w:p>
            <w:pPr>
              <w:spacing w:after="0"/>
              <w:rPr>
                <w:sz w:val="11"/>
                <w:szCs w:val="11"/>
                <w:color w:val="auto"/>
              </w:rPr>
            </w:pPr>
          </w:p>
        </w:tc>
        <w:tc>
          <w:tcPr>
            <w:tcW w:w="1240" w:type="dxa"/>
            <w:vAlign w:val="bottom"/>
            <w:shd w:val="clear" w:color="auto" w:fill="003595"/>
          </w:tcPr>
          <w:p>
            <w:pPr>
              <w:spacing w:after="0"/>
              <w:rPr>
                <w:sz w:val="11"/>
                <w:szCs w:val="11"/>
                <w:color w:val="auto"/>
              </w:rPr>
            </w:pPr>
          </w:p>
        </w:tc>
        <w:tc>
          <w:tcPr>
            <w:tcW w:w="1300" w:type="dxa"/>
            <w:vAlign w:val="bottom"/>
            <w:vMerge w:val="continue"/>
            <w:shd w:val="clear" w:color="auto" w:fill="003595"/>
          </w:tcPr>
          <w:p>
            <w:pPr>
              <w:spacing w:after="0"/>
              <w:rPr>
                <w:sz w:val="11"/>
                <w:szCs w:val="11"/>
                <w:color w:val="auto"/>
              </w:rPr>
            </w:pPr>
          </w:p>
        </w:tc>
        <w:tc>
          <w:tcPr>
            <w:tcW w:w="1180" w:type="dxa"/>
            <w:vAlign w:val="bottom"/>
            <w:vMerge w:val="restart"/>
            <w:shd w:val="clear" w:color="auto" w:fill="003595"/>
          </w:tcPr>
          <w:p>
            <w:pPr>
              <w:jc w:val="center"/>
              <w:spacing w:after="0"/>
              <w:rPr>
                <w:sz w:val="20"/>
                <w:szCs w:val="20"/>
                <w:color w:val="auto"/>
              </w:rPr>
            </w:pPr>
            <w:r>
              <w:rPr>
                <w:rFonts w:ascii="Arial" w:cs="Arial" w:eastAsia="Arial" w:hAnsi="Arial"/>
                <w:sz w:val="16"/>
                <w:szCs w:val="16"/>
                <w:b w:val="1"/>
                <w:bCs w:val="1"/>
                <w:color w:val="FFFFFF"/>
              </w:rPr>
              <w:t>Boards</w:t>
            </w:r>
          </w:p>
        </w:tc>
        <w:tc>
          <w:tcPr>
            <w:tcW w:w="0" w:type="dxa"/>
            <w:vAlign w:val="bottom"/>
          </w:tcPr>
          <w:p>
            <w:pPr>
              <w:spacing w:after="0"/>
              <w:rPr>
                <w:sz w:val="1"/>
                <w:szCs w:val="1"/>
                <w:color w:val="auto"/>
              </w:rPr>
            </w:pPr>
          </w:p>
        </w:tc>
      </w:tr>
      <w:tr>
        <w:trPr>
          <w:trHeight w:val="109"/>
        </w:trPr>
        <w:tc>
          <w:tcPr>
            <w:tcW w:w="2960" w:type="dxa"/>
            <w:vAlign w:val="bottom"/>
            <w:tcBorders>
              <w:bottom w:val="single" w:sz="8" w:color="003595"/>
            </w:tcBorders>
            <w:shd w:val="clear" w:color="auto" w:fill="003595"/>
          </w:tcPr>
          <w:p>
            <w:pPr>
              <w:spacing w:after="0"/>
              <w:rPr>
                <w:sz w:val="9"/>
                <w:szCs w:val="9"/>
                <w:color w:val="auto"/>
              </w:rPr>
            </w:pPr>
          </w:p>
        </w:tc>
        <w:tc>
          <w:tcPr>
            <w:tcW w:w="3660" w:type="dxa"/>
            <w:vAlign w:val="bottom"/>
            <w:tcBorders>
              <w:bottom w:val="single" w:sz="8" w:color="003595"/>
            </w:tcBorders>
            <w:shd w:val="clear" w:color="auto" w:fill="003595"/>
          </w:tcPr>
          <w:p>
            <w:pPr>
              <w:spacing w:after="0"/>
              <w:rPr>
                <w:sz w:val="9"/>
                <w:szCs w:val="9"/>
                <w:color w:val="auto"/>
              </w:rPr>
            </w:pPr>
          </w:p>
        </w:tc>
        <w:tc>
          <w:tcPr>
            <w:tcW w:w="900" w:type="dxa"/>
            <w:vAlign w:val="bottom"/>
            <w:tcBorders>
              <w:bottom w:val="single" w:sz="8" w:color="003595"/>
            </w:tcBorders>
            <w:shd w:val="clear" w:color="auto" w:fill="003595"/>
          </w:tcPr>
          <w:p>
            <w:pPr>
              <w:spacing w:after="0"/>
              <w:rPr>
                <w:sz w:val="9"/>
                <w:szCs w:val="9"/>
                <w:color w:val="auto"/>
              </w:rPr>
            </w:pPr>
          </w:p>
        </w:tc>
        <w:tc>
          <w:tcPr>
            <w:tcW w:w="1240" w:type="dxa"/>
            <w:vAlign w:val="bottom"/>
            <w:tcBorders>
              <w:bottom w:val="single" w:sz="8" w:color="003595"/>
            </w:tcBorders>
            <w:shd w:val="clear" w:color="auto" w:fill="003595"/>
          </w:tcPr>
          <w:p>
            <w:pPr>
              <w:spacing w:after="0"/>
              <w:rPr>
                <w:sz w:val="9"/>
                <w:szCs w:val="9"/>
                <w:color w:val="auto"/>
              </w:rPr>
            </w:pPr>
          </w:p>
        </w:tc>
        <w:tc>
          <w:tcPr>
            <w:tcW w:w="1300" w:type="dxa"/>
            <w:vAlign w:val="bottom"/>
            <w:tcBorders>
              <w:bottom w:val="single" w:sz="8" w:color="003595"/>
            </w:tcBorders>
            <w:shd w:val="clear" w:color="auto" w:fill="003595"/>
          </w:tcPr>
          <w:p>
            <w:pPr>
              <w:spacing w:after="0"/>
              <w:rPr>
                <w:sz w:val="9"/>
                <w:szCs w:val="9"/>
                <w:color w:val="auto"/>
              </w:rPr>
            </w:pPr>
          </w:p>
        </w:tc>
        <w:tc>
          <w:tcPr>
            <w:tcW w:w="1180" w:type="dxa"/>
            <w:vAlign w:val="bottom"/>
            <w:tcBorders>
              <w:bottom w:val="single" w:sz="8" w:color="003595"/>
            </w:tcBorders>
            <w:vMerge w:val="continue"/>
            <w:shd w:val="clear" w:color="auto" w:fill="003595"/>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960" w:type="dxa"/>
            <w:vAlign w:val="bottom"/>
          </w:tcPr>
          <w:p>
            <w:pPr>
              <w:ind w:left="20"/>
              <w:spacing w:after="0"/>
              <w:rPr>
                <w:sz w:val="20"/>
                <w:szCs w:val="20"/>
                <w:color w:val="auto"/>
              </w:rPr>
            </w:pPr>
            <w:r>
              <w:rPr>
                <w:rFonts w:ascii="Arial" w:cs="Arial" w:eastAsia="Arial" w:hAnsi="Arial"/>
                <w:sz w:val="16"/>
                <w:szCs w:val="16"/>
                <w:b w:val="1"/>
                <w:bCs w:val="1"/>
                <w:color w:val="003595"/>
              </w:rPr>
              <w:t>Nominees for Election as Directors</w:t>
            </w:r>
          </w:p>
        </w:tc>
        <w:tc>
          <w:tcPr>
            <w:tcW w:w="3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003595"/>
              </w:rPr>
              <w:t>Former Executive Chairman, Amneal</w:t>
            </w:r>
          </w:p>
        </w:tc>
        <w:tc>
          <w:tcPr>
            <w:tcW w:w="900" w:type="dxa"/>
            <w:vAlign w:val="bottom"/>
          </w:tcPr>
          <w:p>
            <w:pPr>
              <w:spacing w:after="0"/>
              <w:rPr>
                <w:sz w:val="18"/>
                <w:szCs w:val="18"/>
                <w:color w:val="auto"/>
              </w:rPr>
            </w:pPr>
          </w:p>
        </w:tc>
        <w:tc>
          <w:tcPr>
            <w:tcW w:w="12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3595"/>
              </w:rPr>
              <w:t>☑</w:t>
            </w: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6"/>
                <w:szCs w:val="16"/>
                <w:color w:val="003595"/>
              </w:rPr>
              <w:t>Paul M. Bisaro</w:t>
            </w:r>
          </w:p>
        </w:tc>
        <w:tc>
          <w:tcPr>
            <w:tcW w:w="3660" w:type="dxa"/>
            <w:vAlign w:val="bottom"/>
          </w:tcPr>
          <w:p>
            <w:pPr>
              <w:ind w:left="20"/>
              <w:spacing w:after="0"/>
              <w:rPr>
                <w:sz w:val="20"/>
                <w:szCs w:val="20"/>
                <w:color w:val="auto"/>
              </w:rPr>
            </w:pPr>
            <w:r>
              <w:rPr>
                <w:rFonts w:ascii="Arial" w:cs="Arial" w:eastAsia="Arial" w:hAnsi="Arial"/>
                <w:sz w:val="16"/>
                <w:szCs w:val="16"/>
                <w:color w:val="003595"/>
              </w:rPr>
              <w:t>Pharmaceuticals, Inc. and President and Chief</w:t>
            </w:r>
          </w:p>
        </w:tc>
        <w:tc>
          <w:tcPr>
            <w:tcW w:w="900" w:type="dxa"/>
            <w:vAlign w:val="bottom"/>
          </w:tcPr>
          <w:p>
            <w:pPr>
              <w:jc w:val="center"/>
              <w:spacing w:after="0"/>
              <w:rPr>
                <w:sz w:val="20"/>
                <w:szCs w:val="20"/>
                <w:color w:val="auto"/>
              </w:rPr>
            </w:pPr>
            <w:r>
              <w:rPr>
                <w:rFonts w:ascii="Arial" w:cs="Arial" w:eastAsia="Arial" w:hAnsi="Arial"/>
                <w:sz w:val="16"/>
                <w:szCs w:val="16"/>
                <w:color w:val="003595"/>
              </w:rPr>
              <w:t>2022</w:t>
            </w:r>
          </w:p>
        </w:tc>
        <w:tc>
          <w:tcPr>
            <w:tcW w:w="1240" w:type="dxa"/>
            <w:vAlign w:val="bottom"/>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003595"/>
              </w:rPr>
              <w:t>CHCC, RPIC</w:t>
            </w:r>
          </w:p>
        </w:tc>
        <w:tc>
          <w:tcPr>
            <w:tcW w:w="1180" w:type="dxa"/>
            <w:vAlign w:val="bottom"/>
          </w:tcPr>
          <w:p>
            <w:pPr>
              <w:jc w:val="center"/>
              <w:spacing w:after="0"/>
              <w:rPr>
                <w:sz w:val="20"/>
                <w:szCs w:val="20"/>
                <w:color w:val="auto"/>
              </w:rPr>
            </w:pPr>
            <w:r>
              <w:rPr>
                <w:rFonts w:ascii="Arial" w:cs="Arial" w:eastAsia="Arial" w:hAnsi="Arial"/>
                <w:sz w:val="16"/>
                <w:szCs w:val="16"/>
                <w:color w:val="003595"/>
                <w:w w:val="99"/>
              </w:rPr>
              <w:t>ZTS</w:t>
            </w: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003595"/>
              </w:rPr>
              <w:t>Executive Officer, Impax Laboratories, Inc.</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960" w:type="dxa"/>
            <w:vAlign w:val="bottom"/>
            <w:tcBorders>
              <w:bottom w:val="single" w:sz="8" w:color="003595"/>
            </w:tcBorders>
          </w:tcPr>
          <w:p>
            <w:pPr>
              <w:spacing w:after="0"/>
              <w:rPr>
                <w:sz w:val="2"/>
                <w:szCs w:val="2"/>
                <w:color w:val="auto"/>
              </w:rPr>
            </w:pPr>
          </w:p>
        </w:tc>
        <w:tc>
          <w:tcPr>
            <w:tcW w:w="3660" w:type="dxa"/>
            <w:vAlign w:val="bottom"/>
            <w:tcBorders>
              <w:bottom w:val="single" w:sz="8" w:color="003595"/>
            </w:tcBorders>
          </w:tcPr>
          <w:p>
            <w:pPr>
              <w:spacing w:after="0"/>
              <w:rPr>
                <w:sz w:val="2"/>
                <w:szCs w:val="2"/>
                <w:color w:val="auto"/>
              </w:rPr>
            </w:pPr>
          </w:p>
        </w:tc>
        <w:tc>
          <w:tcPr>
            <w:tcW w:w="900" w:type="dxa"/>
            <w:vAlign w:val="bottom"/>
            <w:tcBorders>
              <w:bottom w:val="single" w:sz="8" w:color="003595"/>
            </w:tcBorders>
          </w:tcPr>
          <w:p>
            <w:pPr>
              <w:spacing w:after="0"/>
              <w:rPr>
                <w:sz w:val="2"/>
                <w:szCs w:val="2"/>
                <w:color w:val="auto"/>
              </w:rPr>
            </w:pPr>
          </w:p>
        </w:tc>
        <w:tc>
          <w:tcPr>
            <w:tcW w:w="1240" w:type="dxa"/>
            <w:vAlign w:val="bottom"/>
            <w:tcBorders>
              <w:bottom w:val="single" w:sz="8" w:color="003595"/>
            </w:tcBorders>
          </w:tcPr>
          <w:p>
            <w:pPr>
              <w:spacing w:after="0"/>
              <w:rPr>
                <w:sz w:val="2"/>
                <w:szCs w:val="2"/>
                <w:color w:val="auto"/>
              </w:rPr>
            </w:pPr>
          </w:p>
        </w:tc>
        <w:tc>
          <w:tcPr>
            <w:tcW w:w="1300" w:type="dxa"/>
            <w:vAlign w:val="bottom"/>
            <w:tcBorders>
              <w:bottom w:val="single" w:sz="8" w:color="003595"/>
            </w:tcBorders>
          </w:tcPr>
          <w:p>
            <w:pPr>
              <w:spacing w:after="0"/>
              <w:rPr>
                <w:sz w:val="2"/>
                <w:szCs w:val="2"/>
                <w:color w:val="auto"/>
              </w:rPr>
            </w:pPr>
          </w:p>
        </w:tc>
        <w:tc>
          <w:tcPr>
            <w:tcW w:w="118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960" w:type="dxa"/>
            <w:vAlign w:val="bottom"/>
            <w:vMerge w:val="restart"/>
          </w:tcPr>
          <w:p>
            <w:pPr>
              <w:ind w:left="20"/>
              <w:spacing w:after="0"/>
              <w:rPr>
                <w:sz w:val="20"/>
                <w:szCs w:val="20"/>
                <w:color w:val="auto"/>
              </w:rPr>
            </w:pPr>
            <w:r>
              <w:rPr>
                <w:rFonts w:ascii="Arial" w:cs="Arial" w:eastAsia="Arial" w:hAnsi="Arial"/>
                <w:sz w:val="16"/>
                <w:szCs w:val="16"/>
                <w:color w:val="003595"/>
              </w:rPr>
              <w:t>Rashmi Kumar</w:t>
            </w:r>
          </w:p>
        </w:tc>
        <w:tc>
          <w:tcPr>
            <w:tcW w:w="3660" w:type="dxa"/>
            <w:vAlign w:val="bottom"/>
          </w:tcPr>
          <w:p>
            <w:pPr>
              <w:ind w:left="20"/>
              <w:spacing w:after="0"/>
              <w:rPr>
                <w:sz w:val="20"/>
                <w:szCs w:val="20"/>
                <w:color w:val="auto"/>
              </w:rPr>
            </w:pPr>
            <w:r>
              <w:rPr>
                <w:rFonts w:ascii="Arial" w:cs="Arial" w:eastAsia="Arial" w:hAnsi="Arial"/>
                <w:sz w:val="16"/>
                <w:szCs w:val="16"/>
                <w:color w:val="003595"/>
              </w:rPr>
              <w:t>Senior Vice President, Chief Information Officer,</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3595"/>
              </w:rPr>
              <w:t>2020</w:t>
            </w:r>
          </w:p>
        </w:tc>
        <w:tc>
          <w:tcPr>
            <w:tcW w:w="12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3595"/>
              </w:rPr>
              <w:t>☑</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003595"/>
                <w:w w:val="99"/>
              </w:rPr>
              <w:t>AFC, NGC</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003595"/>
                <w:w w:val="99"/>
              </w:rPr>
              <w:t>—</w:t>
            </w:r>
          </w:p>
        </w:tc>
        <w:tc>
          <w:tcPr>
            <w:tcW w:w="0" w:type="dxa"/>
            <w:vAlign w:val="bottom"/>
          </w:tcPr>
          <w:p>
            <w:pPr>
              <w:spacing w:after="0"/>
              <w:rPr>
                <w:sz w:val="1"/>
                <w:szCs w:val="1"/>
                <w:color w:val="auto"/>
              </w:rPr>
            </w:pPr>
          </w:p>
        </w:tc>
      </w:tr>
      <w:tr>
        <w:trPr>
          <w:trHeight w:val="142"/>
        </w:trPr>
        <w:tc>
          <w:tcPr>
            <w:tcW w:w="2960" w:type="dxa"/>
            <w:vAlign w:val="bottom"/>
            <w:vMerge w:val="continue"/>
          </w:tcPr>
          <w:p>
            <w:pPr>
              <w:spacing w:after="0"/>
              <w:rPr>
                <w:sz w:val="12"/>
                <w:szCs w:val="12"/>
                <w:color w:val="auto"/>
              </w:rPr>
            </w:pPr>
          </w:p>
        </w:tc>
        <w:tc>
          <w:tcPr>
            <w:tcW w:w="3660" w:type="dxa"/>
            <w:vAlign w:val="bottom"/>
            <w:vMerge w:val="restart"/>
          </w:tcPr>
          <w:p>
            <w:pPr>
              <w:ind w:left="20"/>
              <w:spacing w:after="0"/>
              <w:rPr>
                <w:sz w:val="20"/>
                <w:szCs w:val="20"/>
                <w:color w:val="auto"/>
              </w:rPr>
            </w:pPr>
            <w:r>
              <w:rPr>
                <w:rFonts w:ascii="Arial" w:cs="Arial" w:eastAsia="Arial" w:hAnsi="Arial"/>
                <w:sz w:val="16"/>
                <w:szCs w:val="16"/>
                <w:color w:val="003595"/>
              </w:rPr>
              <w:t>Medtronic plc</w:t>
            </w:r>
          </w:p>
        </w:tc>
        <w:tc>
          <w:tcPr>
            <w:tcW w:w="9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96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960" w:type="dxa"/>
            <w:vAlign w:val="bottom"/>
            <w:tcBorders>
              <w:bottom w:val="single" w:sz="8" w:color="0A2299"/>
            </w:tcBorders>
          </w:tcPr>
          <w:p>
            <w:pPr>
              <w:spacing w:after="0"/>
              <w:rPr>
                <w:sz w:val="2"/>
                <w:szCs w:val="2"/>
                <w:color w:val="auto"/>
              </w:rPr>
            </w:pPr>
          </w:p>
        </w:tc>
        <w:tc>
          <w:tcPr>
            <w:tcW w:w="3660" w:type="dxa"/>
            <w:vAlign w:val="bottom"/>
            <w:tcBorders>
              <w:bottom w:val="single" w:sz="8" w:color="0A2299"/>
            </w:tcBorders>
          </w:tcPr>
          <w:p>
            <w:pPr>
              <w:spacing w:after="0"/>
              <w:rPr>
                <w:sz w:val="2"/>
                <w:szCs w:val="2"/>
                <w:color w:val="auto"/>
              </w:rPr>
            </w:pPr>
          </w:p>
        </w:tc>
        <w:tc>
          <w:tcPr>
            <w:tcW w:w="900" w:type="dxa"/>
            <w:vAlign w:val="bottom"/>
            <w:tcBorders>
              <w:bottom w:val="single" w:sz="8" w:color="0A2299"/>
            </w:tcBorders>
          </w:tcPr>
          <w:p>
            <w:pPr>
              <w:spacing w:after="0"/>
              <w:rPr>
                <w:sz w:val="2"/>
                <w:szCs w:val="2"/>
                <w:color w:val="auto"/>
              </w:rPr>
            </w:pPr>
          </w:p>
        </w:tc>
        <w:tc>
          <w:tcPr>
            <w:tcW w:w="1240" w:type="dxa"/>
            <w:vAlign w:val="bottom"/>
            <w:tcBorders>
              <w:bottom w:val="single" w:sz="8" w:color="0A2299"/>
            </w:tcBorders>
          </w:tcPr>
          <w:p>
            <w:pPr>
              <w:spacing w:after="0"/>
              <w:rPr>
                <w:sz w:val="2"/>
                <w:szCs w:val="2"/>
                <w:color w:val="auto"/>
              </w:rPr>
            </w:pPr>
          </w:p>
        </w:tc>
        <w:tc>
          <w:tcPr>
            <w:tcW w:w="1300" w:type="dxa"/>
            <w:vAlign w:val="bottom"/>
            <w:tcBorders>
              <w:bottom w:val="single" w:sz="8" w:color="0A2299"/>
            </w:tcBorders>
          </w:tcPr>
          <w:p>
            <w:pPr>
              <w:spacing w:after="0"/>
              <w:rPr>
                <w:sz w:val="2"/>
                <w:szCs w:val="2"/>
                <w:color w:val="auto"/>
              </w:rPr>
            </w:pPr>
          </w:p>
        </w:tc>
        <w:tc>
          <w:tcPr>
            <w:tcW w:w="1180" w:type="dxa"/>
            <w:vAlign w:val="bottom"/>
            <w:tcBorders>
              <w:bottom w:val="single" w:sz="8" w:color="0A2299"/>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003595"/>
              </w:rPr>
              <w:t>Former Senior Vice President for Oncology and</w:t>
            </w:r>
          </w:p>
        </w:tc>
        <w:tc>
          <w:tcPr>
            <w:tcW w:w="900" w:type="dxa"/>
            <w:vAlign w:val="bottom"/>
          </w:tcPr>
          <w:p>
            <w:pPr>
              <w:spacing w:after="0"/>
              <w:rPr>
                <w:sz w:val="16"/>
                <w:szCs w:val="16"/>
                <w:color w:val="auto"/>
              </w:rPr>
            </w:pPr>
          </w:p>
        </w:tc>
        <w:tc>
          <w:tcPr>
            <w:tcW w:w="12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3595"/>
              </w:rPr>
              <w:t>☑</w:t>
            </w: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6"/>
                <w:szCs w:val="16"/>
                <w:color w:val="003595"/>
              </w:rPr>
              <w:t>Lee N. Newcomer, M.D.</w:t>
            </w:r>
          </w:p>
        </w:tc>
        <w:tc>
          <w:tcPr>
            <w:tcW w:w="3660" w:type="dxa"/>
            <w:vAlign w:val="bottom"/>
          </w:tcPr>
          <w:p>
            <w:pPr>
              <w:ind w:left="20"/>
              <w:spacing w:after="0"/>
              <w:rPr>
                <w:sz w:val="20"/>
                <w:szCs w:val="20"/>
                <w:color w:val="auto"/>
              </w:rPr>
            </w:pPr>
            <w:r>
              <w:rPr>
                <w:rFonts w:ascii="Arial" w:cs="Arial" w:eastAsia="Arial" w:hAnsi="Arial"/>
                <w:sz w:val="16"/>
                <w:szCs w:val="16"/>
                <w:color w:val="003595"/>
              </w:rPr>
              <w:t>Genetics, Chief Medical Officer, UnitedHealth</w:t>
            </w:r>
          </w:p>
        </w:tc>
        <w:tc>
          <w:tcPr>
            <w:tcW w:w="900" w:type="dxa"/>
            <w:vAlign w:val="bottom"/>
          </w:tcPr>
          <w:p>
            <w:pPr>
              <w:jc w:val="center"/>
              <w:spacing w:after="0"/>
              <w:rPr>
                <w:sz w:val="20"/>
                <w:szCs w:val="20"/>
                <w:color w:val="auto"/>
              </w:rPr>
            </w:pPr>
            <w:r>
              <w:rPr>
                <w:rFonts w:ascii="Arial" w:cs="Arial" w:eastAsia="Arial" w:hAnsi="Arial"/>
                <w:sz w:val="16"/>
                <w:szCs w:val="16"/>
                <w:color w:val="003595"/>
              </w:rPr>
              <w:t>2019</w:t>
            </w:r>
          </w:p>
        </w:tc>
        <w:tc>
          <w:tcPr>
            <w:tcW w:w="1240" w:type="dxa"/>
            <w:vAlign w:val="bottom"/>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003595"/>
              </w:rPr>
              <w:t>CHCC, RPIC^</w:t>
            </w:r>
          </w:p>
        </w:tc>
        <w:tc>
          <w:tcPr>
            <w:tcW w:w="1180" w:type="dxa"/>
            <w:vAlign w:val="bottom"/>
          </w:tcPr>
          <w:p>
            <w:pPr>
              <w:jc w:val="center"/>
              <w:spacing w:after="0"/>
              <w:rPr>
                <w:sz w:val="20"/>
                <w:szCs w:val="20"/>
                <w:color w:val="auto"/>
              </w:rPr>
            </w:pPr>
            <w:r>
              <w:rPr>
                <w:rFonts w:ascii="Arial" w:cs="Arial" w:eastAsia="Arial" w:hAnsi="Arial"/>
                <w:sz w:val="16"/>
                <w:szCs w:val="16"/>
                <w:color w:val="003595"/>
              </w:rPr>
              <w:t>CHRS</w:t>
            </w: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003595"/>
              </w:rPr>
              <w:t>Group</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960" w:type="dxa"/>
            <w:vAlign w:val="bottom"/>
            <w:tcBorders>
              <w:bottom w:val="single" w:sz="8" w:color="0A2299"/>
            </w:tcBorders>
          </w:tcPr>
          <w:p>
            <w:pPr>
              <w:spacing w:after="0"/>
              <w:rPr>
                <w:sz w:val="2"/>
                <w:szCs w:val="2"/>
                <w:color w:val="auto"/>
              </w:rPr>
            </w:pPr>
          </w:p>
        </w:tc>
        <w:tc>
          <w:tcPr>
            <w:tcW w:w="3660" w:type="dxa"/>
            <w:vAlign w:val="bottom"/>
            <w:tcBorders>
              <w:bottom w:val="single" w:sz="8" w:color="0A2299"/>
            </w:tcBorders>
          </w:tcPr>
          <w:p>
            <w:pPr>
              <w:spacing w:after="0"/>
              <w:rPr>
                <w:sz w:val="2"/>
                <w:szCs w:val="2"/>
                <w:color w:val="auto"/>
              </w:rPr>
            </w:pPr>
          </w:p>
        </w:tc>
        <w:tc>
          <w:tcPr>
            <w:tcW w:w="900" w:type="dxa"/>
            <w:vAlign w:val="bottom"/>
            <w:tcBorders>
              <w:bottom w:val="single" w:sz="8" w:color="0A2299"/>
            </w:tcBorders>
          </w:tcPr>
          <w:p>
            <w:pPr>
              <w:spacing w:after="0"/>
              <w:rPr>
                <w:sz w:val="2"/>
                <w:szCs w:val="2"/>
                <w:color w:val="auto"/>
              </w:rPr>
            </w:pPr>
          </w:p>
        </w:tc>
        <w:tc>
          <w:tcPr>
            <w:tcW w:w="1240" w:type="dxa"/>
            <w:vAlign w:val="bottom"/>
            <w:tcBorders>
              <w:bottom w:val="single" w:sz="8" w:color="0A2299"/>
            </w:tcBorders>
          </w:tcPr>
          <w:p>
            <w:pPr>
              <w:spacing w:after="0"/>
              <w:rPr>
                <w:sz w:val="2"/>
                <w:szCs w:val="2"/>
                <w:color w:val="auto"/>
              </w:rPr>
            </w:pPr>
          </w:p>
        </w:tc>
        <w:tc>
          <w:tcPr>
            <w:tcW w:w="1300" w:type="dxa"/>
            <w:vAlign w:val="bottom"/>
            <w:tcBorders>
              <w:bottom w:val="single" w:sz="8" w:color="0A2299"/>
            </w:tcBorders>
          </w:tcPr>
          <w:p>
            <w:pPr>
              <w:spacing w:after="0"/>
              <w:rPr>
                <w:sz w:val="2"/>
                <w:szCs w:val="2"/>
                <w:color w:val="auto"/>
              </w:rPr>
            </w:pPr>
          </w:p>
        </w:tc>
        <w:tc>
          <w:tcPr>
            <w:tcW w:w="1180" w:type="dxa"/>
            <w:vAlign w:val="bottom"/>
            <w:tcBorders>
              <w:bottom w:val="single" w:sz="8" w:color="0A2299"/>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60" w:type="dxa"/>
            <w:vAlign w:val="bottom"/>
            <w:tcBorders>
              <w:bottom w:val="single" w:sz="8" w:color="003595"/>
            </w:tcBorders>
          </w:tcPr>
          <w:p>
            <w:pPr>
              <w:ind w:left="20"/>
              <w:spacing w:after="0"/>
              <w:rPr>
                <w:sz w:val="20"/>
                <w:szCs w:val="20"/>
                <w:color w:val="auto"/>
              </w:rPr>
            </w:pPr>
            <w:r>
              <w:rPr>
                <w:rFonts w:ascii="Arial" w:cs="Arial" w:eastAsia="Arial" w:hAnsi="Arial"/>
                <w:sz w:val="16"/>
                <w:szCs w:val="16"/>
                <w:b w:val="1"/>
                <w:bCs w:val="1"/>
                <w:color w:val="003595"/>
              </w:rPr>
              <w:t>Continuing Directors</w:t>
            </w:r>
          </w:p>
        </w:tc>
        <w:tc>
          <w:tcPr>
            <w:tcW w:w="3660" w:type="dxa"/>
            <w:vAlign w:val="bottom"/>
            <w:tcBorders>
              <w:bottom w:val="single" w:sz="8" w:color="003595"/>
            </w:tcBorders>
          </w:tcPr>
          <w:p>
            <w:pPr>
              <w:spacing w:after="0"/>
              <w:rPr>
                <w:sz w:val="20"/>
                <w:szCs w:val="20"/>
                <w:color w:val="auto"/>
              </w:rPr>
            </w:pPr>
          </w:p>
        </w:tc>
        <w:tc>
          <w:tcPr>
            <w:tcW w:w="900" w:type="dxa"/>
            <w:vAlign w:val="bottom"/>
            <w:tcBorders>
              <w:bottom w:val="single" w:sz="8" w:color="003595"/>
            </w:tcBorders>
          </w:tcPr>
          <w:p>
            <w:pPr>
              <w:spacing w:after="0"/>
              <w:rPr>
                <w:sz w:val="20"/>
                <w:szCs w:val="20"/>
                <w:color w:val="auto"/>
              </w:rPr>
            </w:pPr>
          </w:p>
        </w:tc>
        <w:tc>
          <w:tcPr>
            <w:tcW w:w="1240" w:type="dxa"/>
            <w:vAlign w:val="bottom"/>
            <w:tcBorders>
              <w:bottom w:val="single" w:sz="8" w:color="003595"/>
            </w:tcBorders>
          </w:tcPr>
          <w:p>
            <w:pPr>
              <w:spacing w:after="0"/>
              <w:rPr>
                <w:sz w:val="20"/>
                <w:szCs w:val="20"/>
                <w:color w:val="auto"/>
              </w:rPr>
            </w:pPr>
          </w:p>
        </w:tc>
        <w:tc>
          <w:tcPr>
            <w:tcW w:w="1300" w:type="dxa"/>
            <w:vAlign w:val="bottom"/>
            <w:tcBorders>
              <w:bottom w:val="single" w:sz="8" w:color="003595"/>
            </w:tcBorders>
          </w:tcPr>
          <w:p>
            <w:pPr>
              <w:spacing w:after="0"/>
              <w:rPr>
                <w:sz w:val="20"/>
                <w:szCs w:val="20"/>
                <w:color w:val="auto"/>
              </w:rPr>
            </w:pPr>
          </w:p>
        </w:tc>
        <w:tc>
          <w:tcPr>
            <w:tcW w:w="1180" w:type="dxa"/>
            <w:vAlign w:val="bottom"/>
            <w:tcBorders>
              <w:bottom w:val="single" w:sz="8" w:color="003595"/>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960" w:type="dxa"/>
            <w:vAlign w:val="bottom"/>
            <w:vMerge w:val="restart"/>
          </w:tcPr>
          <w:p>
            <w:pPr>
              <w:ind w:left="20"/>
              <w:spacing w:after="0"/>
              <w:rPr>
                <w:sz w:val="20"/>
                <w:szCs w:val="20"/>
                <w:color w:val="auto"/>
              </w:rPr>
            </w:pPr>
            <w:r>
              <w:rPr>
                <w:rFonts w:ascii="Arial" w:cs="Arial" w:eastAsia="Arial" w:hAnsi="Arial"/>
                <w:sz w:val="16"/>
                <w:szCs w:val="16"/>
                <w:color w:val="003595"/>
              </w:rPr>
              <w:t>S. Louise Phanstiel *</w:t>
            </w:r>
          </w:p>
        </w:tc>
        <w:tc>
          <w:tcPr>
            <w:tcW w:w="3660" w:type="dxa"/>
            <w:vAlign w:val="bottom"/>
          </w:tcPr>
          <w:p>
            <w:pPr>
              <w:ind w:left="20"/>
              <w:spacing w:after="0"/>
              <w:rPr>
                <w:sz w:val="20"/>
                <w:szCs w:val="20"/>
                <w:color w:val="auto"/>
              </w:rPr>
            </w:pPr>
            <w:r>
              <w:rPr>
                <w:rFonts w:ascii="Arial" w:cs="Arial" w:eastAsia="Arial" w:hAnsi="Arial"/>
                <w:sz w:val="16"/>
                <w:szCs w:val="16"/>
                <w:color w:val="003595"/>
              </w:rPr>
              <w:t>Former Senior Executive, Elevance Health, Inc.</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3595"/>
              </w:rPr>
              <w:t>2009</w:t>
            </w:r>
          </w:p>
        </w:tc>
        <w:tc>
          <w:tcPr>
            <w:tcW w:w="12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3595"/>
              </w:rPr>
              <w:t>☑</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003595"/>
                <w:w w:val="99"/>
              </w:rPr>
              <w:t>AFC, NGC</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003595"/>
                <w:w w:val="94"/>
              </w:rPr>
              <w:t>BFLY</w:t>
            </w:r>
          </w:p>
        </w:tc>
        <w:tc>
          <w:tcPr>
            <w:tcW w:w="0" w:type="dxa"/>
            <w:vAlign w:val="bottom"/>
          </w:tcPr>
          <w:p>
            <w:pPr>
              <w:spacing w:after="0"/>
              <w:rPr>
                <w:sz w:val="1"/>
                <w:szCs w:val="1"/>
                <w:color w:val="auto"/>
              </w:rPr>
            </w:pPr>
          </w:p>
        </w:tc>
      </w:tr>
      <w:tr>
        <w:trPr>
          <w:trHeight w:val="142"/>
        </w:trPr>
        <w:tc>
          <w:tcPr>
            <w:tcW w:w="2960" w:type="dxa"/>
            <w:vAlign w:val="bottom"/>
            <w:vMerge w:val="continue"/>
          </w:tcPr>
          <w:p>
            <w:pPr>
              <w:spacing w:after="0"/>
              <w:rPr>
                <w:sz w:val="12"/>
                <w:szCs w:val="12"/>
                <w:color w:val="auto"/>
              </w:rPr>
            </w:pPr>
          </w:p>
        </w:tc>
        <w:tc>
          <w:tcPr>
            <w:tcW w:w="3660" w:type="dxa"/>
            <w:vAlign w:val="bottom"/>
            <w:vMerge w:val="restart"/>
          </w:tcPr>
          <w:p>
            <w:pPr>
              <w:ind w:left="20"/>
              <w:spacing w:after="0"/>
              <w:rPr>
                <w:sz w:val="20"/>
                <w:szCs w:val="20"/>
                <w:color w:val="auto"/>
              </w:rPr>
            </w:pPr>
            <w:r>
              <w:rPr>
                <w:rFonts w:ascii="Arial" w:cs="Arial" w:eastAsia="Arial" w:hAnsi="Arial"/>
                <w:sz w:val="16"/>
                <w:szCs w:val="16"/>
                <w:color w:val="003595"/>
              </w:rPr>
              <w:t>(formerly WellPoint, Inc.)</w:t>
            </w:r>
          </w:p>
        </w:tc>
        <w:tc>
          <w:tcPr>
            <w:tcW w:w="9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96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960" w:type="dxa"/>
            <w:vAlign w:val="bottom"/>
            <w:tcBorders>
              <w:bottom w:val="single" w:sz="8" w:color="0A2299"/>
            </w:tcBorders>
          </w:tcPr>
          <w:p>
            <w:pPr>
              <w:spacing w:after="0"/>
              <w:rPr>
                <w:sz w:val="2"/>
                <w:szCs w:val="2"/>
                <w:color w:val="auto"/>
              </w:rPr>
            </w:pPr>
          </w:p>
        </w:tc>
        <w:tc>
          <w:tcPr>
            <w:tcW w:w="3660" w:type="dxa"/>
            <w:vAlign w:val="bottom"/>
            <w:tcBorders>
              <w:bottom w:val="single" w:sz="8" w:color="0A2299"/>
            </w:tcBorders>
          </w:tcPr>
          <w:p>
            <w:pPr>
              <w:spacing w:after="0"/>
              <w:rPr>
                <w:sz w:val="2"/>
                <w:szCs w:val="2"/>
                <w:color w:val="auto"/>
              </w:rPr>
            </w:pPr>
          </w:p>
        </w:tc>
        <w:tc>
          <w:tcPr>
            <w:tcW w:w="900" w:type="dxa"/>
            <w:vAlign w:val="bottom"/>
            <w:tcBorders>
              <w:bottom w:val="single" w:sz="8" w:color="0A2299"/>
            </w:tcBorders>
          </w:tcPr>
          <w:p>
            <w:pPr>
              <w:spacing w:after="0"/>
              <w:rPr>
                <w:sz w:val="2"/>
                <w:szCs w:val="2"/>
                <w:color w:val="auto"/>
              </w:rPr>
            </w:pPr>
          </w:p>
        </w:tc>
        <w:tc>
          <w:tcPr>
            <w:tcW w:w="1240" w:type="dxa"/>
            <w:vAlign w:val="bottom"/>
            <w:tcBorders>
              <w:bottom w:val="single" w:sz="8" w:color="0A2299"/>
            </w:tcBorders>
          </w:tcPr>
          <w:p>
            <w:pPr>
              <w:spacing w:after="0"/>
              <w:rPr>
                <w:sz w:val="2"/>
                <w:szCs w:val="2"/>
                <w:color w:val="auto"/>
              </w:rPr>
            </w:pPr>
          </w:p>
        </w:tc>
        <w:tc>
          <w:tcPr>
            <w:tcW w:w="1300" w:type="dxa"/>
            <w:vAlign w:val="bottom"/>
            <w:tcBorders>
              <w:bottom w:val="single" w:sz="8" w:color="0A2299"/>
            </w:tcBorders>
          </w:tcPr>
          <w:p>
            <w:pPr>
              <w:spacing w:after="0"/>
              <w:rPr>
                <w:sz w:val="2"/>
                <w:szCs w:val="2"/>
                <w:color w:val="auto"/>
              </w:rPr>
            </w:pPr>
          </w:p>
        </w:tc>
        <w:tc>
          <w:tcPr>
            <w:tcW w:w="1180" w:type="dxa"/>
            <w:vAlign w:val="bottom"/>
            <w:tcBorders>
              <w:bottom w:val="single" w:sz="8" w:color="0A2299"/>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003595"/>
              </w:rPr>
              <w:t>Senior Relationship and Growth Advisor at Cross</w:t>
            </w:r>
          </w:p>
        </w:tc>
        <w:tc>
          <w:tcPr>
            <w:tcW w:w="900" w:type="dxa"/>
            <w:vAlign w:val="bottom"/>
          </w:tcPr>
          <w:p>
            <w:pPr>
              <w:spacing w:after="0"/>
              <w:rPr>
                <w:sz w:val="16"/>
                <w:szCs w:val="16"/>
                <w:color w:val="auto"/>
              </w:rPr>
            </w:pPr>
          </w:p>
        </w:tc>
        <w:tc>
          <w:tcPr>
            <w:tcW w:w="12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3595"/>
              </w:rPr>
              <w:t>☑</w:t>
            </w: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6"/>
                <w:szCs w:val="16"/>
                <w:color w:val="003595"/>
              </w:rPr>
              <w:t>Mark S. Davis</w:t>
            </w:r>
          </w:p>
        </w:tc>
        <w:tc>
          <w:tcPr>
            <w:tcW w:w="3660" w:type="dxa"/>
            <w:vAlign w:val="bottom"/>
          </w:tcPr>
          <w:p>
            <w:pPr>
              <w:ind w:left="20"/>
              <w:spacing w:after="0"/>
              <w:rPr>
                <w:sz w:val="20"/>
                <w:szCs w:val="20"/>
                <w:color w:val="auto"/>
              </w:rPr>
            </w:pPr>
            <w:r>
              <w:rPr>
                <w:rFonts w:ascii="Arial" w:cs="Arial" w:eastAsia="Arial" w:hAnsi="Arial"/>
                <w:sz w:val="16"/>
                <w:szCs w:val="16"/>
                <w:color w:val="003595"/>
              </w:rPr>
              <w:t>Country Consulting and Former Senior Audit and</w:t>
            </w:r>
          </w:p>
        </w:tc>
        <w:tc>
          <w:tcPr>
            <w:tcW w:w="900" w:type="dxa"/>
            <w:vAlign w:val="bottom"/>
          </w:tcPr>
          <w:p>
            <w:pPr>
              <w:jc w:val="center"/>
              <w:spacing w:after="0"/>
              <w:rPr>
                <w:sz w:val="20"/>
                <w:szCs w:val="20"/>
                <w:color w:val="auto"/>
              </w:rPr>
            </w:pPr>
            <w:r>
              <w:rPr>
                <w:rFonts w:ascii="Arial" w:cs="Arial" w:eastAsia="Arial" w:hAnsi="Arial"/>
                <w:sz w:val="16"/>
                <w:szCs w:val="16"/>
                <w:color w:val="003595"/>
              </w:rPr>
              <w:t>2024</w:t>
            </w:r>
          </w:p>
        </w:tc>
        <w:tc>
          <w:tcPr>
            <w:tcW w:w="1240" w:type="dxa"/>
            <w:vAlign w:val="bottom"/>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003595"/>
                <w:w w:val="99"/>
              </w:rPr>
              <w:t>AFC^, NGC</w:t>
            </w:r>
          </w:p>
        </w:tc>
        <w:tc>
          <w:tcPr>
            <w:tcW w:w="1180" w:type="dxa"/>
            <w:vAlign w:val="bottom"/>
          </w:tcPr>
          <w:p>
            <w:pPr>
              <w:jc w:val="center"/>
              <w:spacing w:after="0"/>
              <w:rPr>
                <w:sz w:val="20"/>
                <w:szCs w:val="20"/>
                <w:color w:val="auto"/>
              </w:rPr>
            </w:pPr>
            <w:r>
              <w:rPr>
                <w:rFonts w:ascii="Arial" w:cs="Arial" w:eastAsia="Arial" w:hAnsi="Arial"/>
                <w:sz w:val="16"/>
                <w:szCs w:val="16"/>
                <w:color w:val="003595"/>
              </w:rPr>
              <w:t>YEXT</w:t>
            </w: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003595"/>
              </w:rPr>
              <w:t>Assurance Partner at Deloitte</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960" w:type="dxa"/>
            <w:vAlign w:val="bottom"/>
            <w:tcBorders>
              <w:bottom w:val="single" w:sz="8" w:color="0A2299"/>
            </w:tcBorders>
          </w:tcPr>
          <w:p>
            <w:pPr>
              <w:spacing w:after="0"/>
              <w:rPr>
                <w:sz w:val="2"/>
                <w:szCs w:val="2"/>
                <w:color w:val="auto"/>
              </w:rPr>
            </w:pPr>
          </w:p>
        </w:tc>
        <w:tc>
          <w:tcPr>
            <w:tcW w:w="3660" w:type="dxa"/>
            <w:vAlign w:val="bottom"/>
            <w:tcBorders>
              <w:bottom w:val="single" w:sz="8" w:color="0A2299"/>
            </w:tcBorders>
          </w:tcPr>
          <w:p>
            <w:pPr>
              <w:spacing w:after="0"/>
              <w:rPr>
                <w:sz w:val="2"/>
                <w:szCs w:val="2"/>
                <w:color w:val="auto"/>
              </w:rPr>
            </w:pPr>
          </w:p>
        </w:tc>
        <w:tc>
          <w:tcPr>
            <w:tcW w:w="900" w:type="dxa"/>
            <w:vAlign w:val="bottom"/>
            <w:tcBorders>
              <w:bottom w:val="single" w:sz="8" w:color="0A2299"/>
            </w:tcBorders>
          </w:tcPr>
          <w:p>
            <w:pPr>
              <w:spacing w:after="0"/>
              <w:rPr>
                <w:sz w:val="2"/>
                <w:szCs w:val="2"/>
                <w:color w:val="auto"/>
              </w:rPr>
            </w:pPr>
          </w:p>
        </w:tc>
        <w:tc>
          <w:tcPr>
            <w:tcW w:w="1240" w:type="dxa"/>
            <w:vAlign w:val="bottom"/>
            <w:tcBorders>
              <w:bottom w:val="single" w:sz="8" w:color="0A2299"/>
            </w:tcBorders>
          </w:tcPr>
          <w:p>
            <w:pPr>
              <w:spacing w:after="0"/>
              <w:rPr>
                <w:sz w:val="2"/>
                <w:szCs w:val="2"/>
                <w:color w:val="auto"/>
              </w:rPr>
            </w:pPr>
          </w:p>
        </w:tc>
        <w:tc>
          <w:tcPr>
            <w:tcW w:w="1300" w:type="dxa"/>
            <w:vAlign w:val="bottom"/>
            <w:tcBorders>
              <w:bottom w:val="single" w:sz="8" w:color="0A2299"/>
            </w:tcBorders>
          </w:tcPr>
          <w:p>
            <w:pPr>
              <w:spacing w:after="0"/>
              <w:rPr>
                <w:sz w:val="2"/>
                <w:szCs w:val="2"/>
                <w:color w:val="auto"/>
              </w:rPr>
            </w:pPr>
          </w:p>
        </w:tc>
        <w:tc>
          <w:tcPr>
            <w:tcW w:w="1180" w:type="dxa"/>
            <w:vAlign w:val="bottom"/>
            <w:tcBorders>
              <w:bottom w:val="single" w:sz="8" w:color="0A2299"/>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0A2299"/>
            </w:tcBorders>
          </w:tcPr>
          <w:p>
            <w:pPr>
              <w:ind w:left="20"/>
              <w:spacing w:after="0"/>
              <w:rPr>
                <w:sz w:val="20"/>
                <w:szCs w:val="20"/>
                <w:color w:val="auto"/>
              </w:rPr>
            </w:pPr>
            <w:r>
              <w:rPr>
                <w:rFonts w:ascii="Arial" w:cs="Arial" w:eastAsia="Arial" w:hAnsi="Arial"/>
                <w:sz w:val="16"/>
                <w:szCs w:val="16"/>
                <w:color w:val="003595"/>
              </w:rPr>
              <w:t>Heiner Dreismann, Ph.D.</w:t>
            </w:r>
          </w:p>
        </w:tc>
        <w:tc>
          <w:tcPr>
            <w:tcW w:w="3660" w:type="dxa"/>
            <w:vAlign w:val="bottom"/>
            <w:tcBorders>
              <w:bottom w:val="single" w:sz="8" w:color="0A2299"/>
            </w:tcBorders>
          </w:tcPr>
          <w:p>
            <w:pPr>
              <w:ind w:left="20"/>
              <w:spacing w:after="0"/>
              <w:rPr>
                <w:sz w:val="20"/>
                <w:szCs w:val="20"/>
                <w:color w:val="auto"/>
              </w:rPr>
            </w:pPr>
            <w:r>
              <w:rPr>
                <w:rFonts w:ascii="Arial" w:cs="Arial" w:eastAsia="Arial" w:hAnsi="Arial"/>
                <w:sz w:val="16"/>
                <w:szCs w:val="16"/>
                <w:color w:val="003595"/>
              </w:rPr>
              <w:t>Former Senior Executive, the Roche Group</w:t>
            </w:r>
          </w:p>
        </w:tc>
        <w:tc>
          <w:tcPr>
            <w:tcW w:w="900" w:type="dxa"/>
            <w:vAlign w:val="bottom"/>
            <w:tcBorders>
              <w:bottom w:val="single" w:sz="8" w:color="0A2299"/>
            </w:tcBorders>
          </w:tcPr>
          <w:p>
            <w:pPr>
              <w:jc w:val="center"/>
              <w:spacing w:after="0"/>
              <w:rPr>
                <w:sz w:val="20"/>
                <w:szCs w:val="20"/>
                <w:color w:val="auto"/>
              </w:rPr>
            </w:pPr>
            <w:r>
              <w:rPr>
                <w:rFonts w:ascii="Arial" w:cs="Arial" w:eastAsia="Arial" w:hAnsi="Arial"/>
                <w:sz w:val="16"/>
                <w:szCs w:val="16"/>
                <w:color w:val="003595"/>
              </w:rPr>
              <w:t>2010</w:t>
            </w:r>
          </w:p>
        </w:tc>
        <w:tc>
          <w:tcPr>
            <w:tcW w:w="1240" w:type="dxa"/>
            <w:vAlign w:val="bottom"/>
            <w:tcBorders>
              <w:bottom w:val="single" w:sz="8" w:color="0A2299"/>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3595"/>
              </w:rPr>
              <w:t>☑</w:t>
            </w:r>
          </w:p>
        </w:tc>
        <w:tc>
          <w:tcPr>
            <w:tcW w:w="1300" w:type="dxa"/>
            <w:vAlign w:val="bottom"/>
            <w:tcBorders>
              <w:bottom w:val="single" w:sz="8" w:color="0A2299"/>
            </w:tcBorders>
          </w:tcPr>
          <w:p>
            <w:pPr>
              <w:jc w:val="center"/>
              <w:spacing w:after="0"/>
              <w:rPr>
                <w:sz w:val="20"/>
                <w:szCs w:val="20"/>
                <w:color w:val="auto"/>
              </w:rPr>
            </w:pPr>
            <w:r>
              <w:rPr>
                <w:rFonts w:ascii="Arial" w:cs="Arial" w:eastAsia="Arial" w:hAnsi="Arial"/>
                <w:sz w:val="16"/>
                <w:szCs w:val="16"/>
                <w:color w:val="003595"/>
              </w:rPr>
              <w:t>CHCC^, RPIC</w:t>
            </w:r>
          </w:p>
        </w:tc>
        <w:tc>
          <w:tcPr>
            <w:tcW w:w="1180" w:type="dxa"/>
            <w:vAlign w:val="bottom"/>
            <w:tcBorders>
              <w:bottom w:val="single" w:sz="8" w:color="0A2299"/>
            </w:tcBorders>
          </w:tcPr>
          <w:p>
            <w:pPr>
              <w:jc w:val="center"/>
              <w:spacing w:after="0"/>
              <w:rPr>
                <w:sz w:val="20"/>
                <w:szCs w:val="20"/>
                <w:color w:val="auto"/>
              </w:rPr>
            </w:pPr>
            <w:r>
              <w:rPr>
                <w:rFonts w:ascii="Arial" w:cs="Arial" w:eastAsia="Arial" w:hAnsi="Arial"/>
                <w:sz w:val="16"/>
                <w:szCs w:val="16"/>
                <w:color w:val="003595"/>
              </w:rPr>
              <w:t>MYNZ</w:t>
            </w:r>
          </w:p>
        </w:tc>
        <w:tc>
          <w:tcPr>
            <w:tcW w:w="0" w:type="dxa"/>
            <w:vAlign w:val="bottom"/>
          </w:tcPr>
          <w:p>
            <w:pPr>
              <w:spacing w:after="0"/>
              <w:rPr>
                <w:sz w:val="1"/>
                <w:szCs w:val="1"/>
                <w:color w:val="auto"/>
              </w:rPr>
            </w:pPr>
          </w:p>
        </w:tc>
      </w:tr>
      <w:tr>
        <w:trPr>
          <w:trHeight w:val="195"/>
        </w:trPr>
        <w:tc>
          <w:tcPr>
            <w:tcW w:w="2960" w:type="dxa"/>
            <w:vAlign w:val="bottom"/>
            <w:vMerge w:val="restart"/>
          </w:tcPr>
          <w:p>
            <w:pPr>
              <w:ind w:left="20"/>
              <w:spacing w:after="0"/>
              <w:rPr>
                <w:sz w:val="20"/>
                <w:szCs w:val="20"/>
                <w:color w:val="auto"/>
              </w:rPr>
            </w:pPr>
            <w:r>
              <w:rPr>
                <w:rFonts w:ascii="Arial" w:cs="Arial" w:eastAsia="Arial" w:hAnsi="Arial"/>
                <w:sz w:val="16"/>
                <w:szCs w:val="16"/>
                <w:color w:val="003595"/>
              </w:rPr>
              <w:t>Samraat S. Raha</w:t>
            </w:r>
          </w:p>
        </w:tc>
        <w:tc>
          <w:tcPr>
            <w:tcW w:w="3660" w:type="dxa"/>
            <w:vAlign w:val="bottom"/>
          </w:tcPr>
          <w:p>
            <w:pPr>
              <w:ind w:left="20"/>
              <w:spacing w:after="0"/>
              <w:rPr>
                <w:sz w:val="20"/>
                <w:szCs w:val="20"/>
                <w:color w:val="auto"/>
              </w:rPr>
            </w:pPr>
            <w:r>
              <w:rPr>
                <w:rFonts w:ascii="Arial" w:cs="Arial" w:eastAsia="Arial" w:hAnsi="Arial"/>
                <w:sz w:val="16"/>
                <w:szCs w:val="16"/>
                <w:color w:val="003595"/>
              </w:rPr>
              <w:t>President and Chief Executive Officer of Myriad</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3595"/>
              </w:rPr>
              <w:t>2025</w:t>
            </w: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960" w:type="dxa"/>
            <w:vAlign w:val="bottom"/>
            <w:vMerge w:val="continue"/>
          </w:tcPr>
          <w:p>
            <w:pPr>
              <w:spacing w:after="0"/>
              <w:rPr>
                <w:sz w:val="10"/>
                <w:szCs w:val="10"/>
                <w:color w:val="auto"/>
              </w:rPr>
            </w:pPr>
          </w:p>
        </w:tc>
        <w:tc>
          <w:tcPr>
            <w:tcW w:w="3660" w:type="dxa"/>
            <w:vAlign w:val="bottom"/>
            <w:vMerge w:val="restart"/>
          </w:tcPr>
          <w:p>
            <w:pPr>
              <w:ind w:left="20"/>
              <w:spacing w:after="0"/>
              <w:rPr>
                <w:sz w:val="20"/>
                <w:szCs w:val="20"/>
                <w:color w:val="auto"/>
              </w:rPr>
            </w:pPr>
            <w:r>
              <w:rPr>
                <w:rFonts w:ascii="Arial" w:cs="Arial" w:eastAsia="Arial" w:hAnsi="Arial"/>
                <w:sz w:val="16"/>
                <w:szCs w:val="16"/>
                <w:color w:val="003595"/>
              </w:rPr>
              <w:t>Genetics, Inc.</w:t>
            </w:r>
          </w:p>
        </w:tc>
        <w:tc>
          <w:tcPr>
            <w:tcW w:w="9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96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960" w:type="dxa"/>
            <w:vAlign w:val="bottom"/>
            <w:tcBorders>
              <w:bottom w:val="single" w:sz="8" w:color="0A2299"/>
            </w:tcBorders>
          </w:tcPr>
          <w:p>
            <w:pPr>
              <w:spacing w:after="0"/>
              <w:rPr>
                <w:sz w:val="2"/>
                <w:szCs w:val="2"/>
                <w:color w:val="auto"/>
              </w:rPr>
            </w:pPr>
          </w:p>
        </w:tc>
        <w:tc>
          <w:tcPr>
            <w:tcW w:w="3660" w:type="dxa"/>
            <w:vAlign w:val="bottom"/>
            <w:tcBorders>
              <w:bottom w:val="single" w:sz="8" w:color="0A2299"/>
            </w:tcBorders>
          </w:tcPr>
          <w:p>
            <w:pPr>
              <w:spacing w:after="0"/>
              <w:rPr>
                <w:sz w:val="2"/>
                <w:szCs w:val="2"/>
                <w:color w:val="auto"/>
              </w:rPr>
            </w:pPr>
          </w:p>
        </w:tc>
        <w:tc>
          <w:tcPr>
            <w:tcW w:w="900" w:type="dxa"/>
            <w:vAlign w:val="bottom"/>
            <w:tcBorders>
              <w:bottom w:val="single" w:sz="8" w:color="0A2299"/>
            </w:tcBorders>
          </w:tcPr>
          <w:p>
            <w:pPr>
              <w:spacing w:after="0"/>
              <w:rPr>
                <w:sz w:val="2"/>
                <w:szCs w:val="2"/>
                <w:color w:val="auto"/>
              </w:rPr>
            </w:pPr>
          </w:p>
        </w:tc>
        <w:tc>
          <w:tcPr>
            <w:tcW w:w="1240" w:type="dxa"/>
            <w:vAlign w:val="bottom"/>
            <w:tcBorders>
              <w:bottom w:val="single" w:sz="8" w:color="0A2299"/>
            </w:tcBorders>
          </w:tcPr>
          <w:p>
            <w:pPr>
              <w:spacing w:after="0"/>
              <w:rPr>
                <w:sz w:val="2"/>
                <w:szCs w:val="2"/>
                <w:color w:val="auto"/>
              </w:rPr>
            </w:pPr>
          </w:p>
        </w:tc>
        <w:tc>
          <w:tcPr>
            <w:tcW w:w="1300" w:type="dxa"/>
            <w:vAlign w:val="bottom"/>
            <w:tcBorders>
              <w:bottom w:val="single" w:sz="8" w:color="0A2299"/>
            </w:tcBorders>
          </w:tcPr>
          <w:p>
            <w:pPr>
              <w:spacing w:after="0"/>
              <w:rPr>
                <w:sz w:val="2"/>
                <w:szCs w:val="2"/>
                <w:color w:val="auto"/>
              </w:rPr>
            </w:pPr>
          </w:p>
        </w:tc>
        <w:tc>
          <w:tcPr>
            <w:tcW w:w="1180" w:type="dxa"/>
            <w:vAlign w:val="bottom"/>
            <w:tcBorders>
              <w:bottom w:val="single" w:sz="8" w:color="0A2299"/>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003595"/>
              </w:rPr>
              <w:t>Former Executive Vice President and President</w:t>
            </w:r>
          </w:p>
        </w:tc>
        <w:tc>
          <w:tcPr>
            <w:tcW w:w="900" w:type="dxa"/>
            <w:vAlign w:val="bottom"/>
          </w:tcPr>
          <w:p>
            <w:pPr>
              <w:spacing w:after="0"/>
              <w:rPr>
                <w:sz w:val="16"/>
                <w:szCs w:val="16"/>
                <w:color w:val="auto"/>
              </w:rPr>
            </w:pPr>
          </w:p>
        </w:tc>
        <w:tc>
          <w:tcPr>
            <w:tcW w:w="12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3595"/>
              </w:rPr>
              <w:t>☑</w:t>
            </w: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6"/>
                <w:szCs w:val="16"/>
                <w:color w:val="003595"/>
              </w:rPr>
              <w:t>Colleen F. Reitan</w:t>
            </w:r>
          </w:p>
        </w:tc>
        <w:tc>
          <w:tcPr>
            <w:tcW w:w="3660" w:type="dxa"/>
            <w:vAlign w:val="bottom"/>
          </w:tcPr>
          <w:p>
            <w:pPr>
              <w:ind w:left="20"/>
              <w:spacing w:after="0"/>
              <w:rPr>
                <w:sz w:val="20"/>
                <w:szCs w:val="20"/>
                <w:color w:val="auto"/>
              </w:rPr>
            </w:pPr>
            <w:r>
              <w:rPr>
                <w:rFonts w:ascii="Arial" w:cs="Arial" w:eastAsia="Arial" w:hAnsi="Arial"/>
                <w:sz w:val="16"/>
                <w:szCs w:val="16"/>
                <w:color w:val="003595"/>
              </w:rPr>
              <w:t>of Plan Operations and Chief Operating Officer,</w:t>
            </w:r>
          </w:p>
        </w:tc>
        <w:tc>
          <w:tcPr>
            <w:tcW w:w="900" w:type="dxa"/>
            <w:vAlign w:val="bottom"/>
          </w:tcPr>
          <w:p>
            <w:pPr>
              <w:jc w:val="center"/>
              <w:spacing w:after="0"/>
              <w:rPr>
                <w:sz w:val="20"/>
                <w:szCs w:val="20"/>
                <w:color w:val="auto"/>
              </w:rPr>
            </w:pPr>
            <w:r>
              <w:rPr>
                <w:rFonts w:ascii="Arial" w:cs="Arial" w:eastAsia="Arial" w:hAnsi="Arial"/>
                <w:sz w:val="16"/>
                <w:szCs w:val="16"/>
                <w:color w:val="003595"/>
              </w:rPr>
              <w:t>2019</w:t>
            </w:r>
          </w:p>
        </w:tc>
        <w:tc>
          <w:tcPr>
            <w:tcW w:w="1240" w:type="dxa"/>
            <w:vAlign w:val="bottom"/>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003595"/>
                <w:w w:val="99"/>
              </w:rPr>
              <w:t>AFC, NGC^</w:t>
            </w:r>
          </w:p>
        </w:tc>
        <w:tc>
          <w:tcPr>
            <w:tcW w:w="1180" w:type="dxa"/>
            <w:vAlign w:val="bottom"/>
          </w:tcPr>
          <w:p>
            <w:pPr>
              <w:jc w:val="center"/>
              <w:spacing w:after="0"/>
              <w:rPr>
                <w:sz w:val="20"/>
                <w:szCs w:val="20"/>
                <w:color w:val="auto"/>
              </w:rPr>
            </w:pPr>
            <w:r>
              <w:rPr>
                <w:rFonts w:ascii="Arial" w:cs="Arial" w:eastAsia="Arial" w:hAnsi="Arial"/>
                <w:sz w:val="16"/>
                <w:szCs w:val="16"/>
                <w:color w:val="003595"/>
              </w:rPr>
              <w:t>ALNY</w:t>
            </w: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003595"/>
              </w:rPr>
              <w:t>Health Care Services Corporation</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960" w:type="dxa"/>
            <w:vAlign w:val="bottom"/>
            <w:tcBorders>
              <w:bottom w:val="single" w:sz="8" w:color="0A2299"/>
            </w:tcBorders>
          </w:tcPr>
          <w:p>
            <w:pPr>
              <w:spacing w:after="0"/>
              <w:rPr>
                <w:sz w:val="2"/>
                <w:szCs w:val="2"/>
                <w:color w:val="auto"/>
              </w:rPr>
            </w:pPr>
          </w:p>
        </w:tc>
        <w:tc>
          <w:tcPr>
            <w:tcW w:w="3660" w:type="dxa"/>
            <w:vAlign w:val="bottom"/>
            <w:tcBorders>
              <w:bottom w:val="single" w:sz="8" w:color="0A2299"/>
            </w:tcBorders>
          </w:tcPr>
          <w:p>
            <w:pPr>
              <w:spacing w:after="0"/>
              <w:rPr>
                <w:sz w:val="2"/>
                <w:szCs w:val="2"/>
                <w:color w:val="auto"/>
              </w:rPr>
            </w:pPr>
          </w:p>
        </w:tc>
        <w:tc>
          <w:tcPr>
            <w:tcW w:w="900" w:type="dxa"/>
            <w:vAlign w:val="bottom"/>
            <w:tcBorders>
              <w:bottom w:val="single" w:sz="8" w:color="0A2299"/>
            </w:tcBorders>
          </w:tcPr>
          <w:p>
            <w:pPr>
              <w:spacing w:after="0"/>
              <w:rPr>
                <w:sz w:val="2"/>
                <w:szCs w:val="2"/>
                <w:color w:val="auto"/>
              </w:rPr>
            </w:pPr>
          </w:p>
        </w:tc>
        <w:tc>
          <w:tcPr>
            <w:tcW w:w="1240" w:type="dxa"/>
            <w:vAlign w:val="bottom"/>
            <w:tcBorders>
              <w:bottom w:val="single" w:sz="8" w:color="0A2299"/>
            </w:tcBorders>
          </w:tcPr>
          <w:p>
            <w:pPr>
              <w:spacing w:after="0"/>
              <w:rPr>
                <w:sz w:val="2"/>
                <w:szCs w:val="2"/>
                <w:color w:val="auto"/>
              </w:rPr>
            </w:pPr>
          </w:p>
        </w:tc>
        <w:tc>
          <w:tcPr>
            <w:tcW w:w="1300" w:type="dxa"/>
            <w:vAlign w:val="bottom"/>
            <w:tcBorders>
              <w:bottom w:val="single" w:sz="8" w:color="0A2299"/>
            </w:tcBorders>
          </w:tcPr>
          <w:p>
            <w:pPr>
              <w:spacing w:after="0"/>
              <w:rPr>
                <w:sz w:val="2"/>
                <w:szCs w:val="2"/>
                <w:color w:val="auto"/>
              </w:rPr>
            </w:pPr>
          </w:p>
        </w:tc>
        <w:tc>
          <w:tcPr>
            <w:tcW w:w="1180" w:type="dxa"/>
            <w:vAlign w:val="bottom"/>
            <w:tcBorders>
              <w:bottom w:val="single" w:sz="8" w:color="0A2299"/>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960" w:type="dxa"/>
            <w:vAlign w:val="bottom"/>
            <w:vMerge w:val="restart"/>
          </w:tcPr>
          <w:p>
            <w:pPr>
              <w:ind w:left="20"/>
              <w:spacing w:after="0"/>
              <w:rPr>
                <w:sz w:val="20"/>
                <w:szCs w:val="20"/>
                <w:color w:val="auto"/>
              </w:rPr>
            </w:pPr>
            <w:r>
              <w:rPr>
                <w:rFonts w:ascii="Arial" w:cs="Arial" w:eastAsia="Arial" w:hAnsi="Arial"/>
                <w:sz w:val="16"/>
                <w:szCs w:val="16"/>
                <w:color w:val="003595"/>
              </w:rPr>
              <w:t>Daniel M. Skovronsky, M.D., Ph.D.</w:t>
            </w:r>
          </w:p>
        </w:tc>
        <w:tc>
          <w:tcPr>
            <w:tcW w:w="3660" w:type="dxa"/>
            <w:vAlign w:val="bottom"/>
          </w:tcPr>
          <w:p>
            <w:pPr>
              <w:ind w:left="20"/>
              <w:spacing w:after="0"/>
              <w:rPr>
                <w:sz w:val="20"/>
                <w:szCs w:val="20"/>
                <w:color w:val="auto"/>
              </w:rPr>
            </w:pPr>
            <w:r>
              <w:rPr>
                <w:rFonts w:ascii="Arial" w:cs="Arial" w:eastAsia="Arial" w:hAnsi="Arial"/>
                <w:sz w:val="16"/>
                <w:szCs w:val="16"/>
                <w:color w:val="003595"/>
              </w:rPr>
              <w:t>President, Lilly Research Laboratories, Chief</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003595"/>
              </w:rPr>
              <w:t>2020</w:t>
            </w:r>
          </w:p>
        </w:tc>
        <w:tc>
          <w:tcPr>
            <w:tcW w:w="12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3595"/>
              </w:rPr>
              <w:t>☑</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003595"/>
              </w:rPr>
              <w:t>CHCC, RPIC</w:t>
            </w:r>
          </w:p>
        </w:tc>
        <w:tc>
          <w:tcPr>
            <w:tcW w:w="1180" w:type="dxa"/>
            <w:vAlign w:val="bottom"/>
            <w:vMerge w:val="restart"/>
          </w:tcPr>
          <w:p>
            <w:pPr>
              <w:jc w:val="right"/>
              <w:ind w:right="459"/>
              <w:spacing w:after="0"/>
              <w:rPr>
                <w:sz w:val="20"/>
                <w:szCs w:val="20"/>
                <w:color w:val="auto"/>
              </w:rPr>
            </w:pPr>
            <w:r>
              <w:rPr>
                <w:rFonts w:ascii="Arial" w:cs="Arial" w:eastAsia="Arial" w:hAnsi="Arial"/>
                <w:sz w:val="16"/>
                <w:szCs w:val="16"/>
                <w:color w:val="003595"/>
              </w:rPr>
              <w:t>-</w:t>
            </w:r>
          </w:p>
        </w:tc>
        <w:tc>
          <w:tcPr>
            <w:tcW w:w="0" w:type="dxa"/>
            <w:vAlign w:val="bottom"/>
          </w:tcPr>
          <w:p>
            <w:pPr>
              <w:spacing w:after="0"/>
              <w:rPr>
                <w:sz w:val="1"/>
                <w:szCs w:val="1"/>
                <w:color w:val="auto"/>
              </w:rPr>
            </w:pPr>
          </w:p>
        </w:tc>
      </w:tr>
      <w:tr>
        <w:trPr>
          <w:trHeight w:val="142"/>
        </w:trPr>
        <w:tc>
          <w:tcPr>
            <w:tcW w:w="2960" w:type="dxa"/>
            <w:vAlign w:val="bottom"/>
            <w:vMerge w:val="continue"/>
          </w:tcPr>
          <w:p>
            <w:pPr>
              <w:spacing w:after="0"/>
              <w:rPr>
                <w:sz w:val="12"/>
                <w:szCs w:val="12"/>
                <w:color w:val="auto"/>
              </w:rPr>
            </w:pPr>
          </w:p>
        </w:tc>
        <w:tc>
          <w:tcPr>
            <w:tcW w:w="3660" w:type="dxa"/>
            <w:vAlign w:val="bottom"/>
            <w:vMerge w:val="restart"/>
          </w:tcPr>
          <w:p>
            <w:pPr>
              <w:ind w:left="20"/>
              <w:spacing w:after="0"/>
              <w:rPr>
                <w:sz w:val="20"/>
                <w:szCs w:val="20"/>
                <w:color w:val="auto"/>
              </w:rPr>
            </w:pPr>
            <w:r>
              <w:rPr>
                <w:rFonts w:ascii="Arial" w:cs="Arial" w:eastAsia="Arial" w:hAnsi="Arial"/>
                <w:sz w:val="16"/>
                <w:szCs w:val="16"/>
                <w:color w:val="003595"/>
              </w:rPr>
              <w:t>Scientific Officer at Eli Lilly and Company</w:t>
            </w:r>
          </w:p>
        </w:tc>
        <w:tc>
          <w:tcPr>
            <w:tcW w:w="9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96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960" w:type="dxa"/>
            <w:vAlign w:val="bottom"/>
            <w:tcBorders>
              <w:bottom w:val="single" w:sz="8" w:color="003595"/>
            </w:tcBorders>
          </w:tcPr>
          <w:p>
            <w:pPr>
              <w:spacing w:after="0"/>
              <w:rPr>
                <w:sz w:val="2"/>
                <w:szCs w:val="2"/>
                <w:color w:val="auto"/>
              </w:rPr>
            </w:pPr>
          </w:p>
        </w:tc>
        <w:tc>
          <w:tcPr>
            <w:tcW w:w="3660" w:type="dxa"/>
            <w:vAlign w:val="bottom"/>
            <w:tcBorders>
              <w:bottom w:val="single" w:sz="8" w:color="003595"/>
            </w:tcBorders>
          </w:tcPr>
          <w:p>
            <w:pPr>
              <w:spacing w:after="0"/>
              <w:rPr>
                <w:sz w:val="2"/>
                <w:szCs w:val="2"/>
                <w:color w:val="auto"/>
              </w:rPr>
            </w:pPr>
          </w:p>
        </w:tc>
        <w:tc>
          <w:tcPr>
            <w:tcW w:w="900" w:type="dxa"/>
            <w:vAlign w:val="bottom"/>
            <w:tcBorders>
              <w:bottom w:val="single" w:sz="8" w:color="003595"/>
            </w:tcBorders>
          </w:tcPr>
          <w:p>
            <w:pPr>
              <w:spacing w:after="0"/>
              <w:rPr>
                <w:sz w:val="2"/>
                <w:szCs w:val="2"/>
                <w:color w:val="auto"/>
              </w:rPr>
            </w:pPr>
          </w:p>
        </w:tc>
        <w:tc>
          <w:tcPr>
            <w:tcW w:w="1240" w:type="dxa"/>
            <w:vAlign w:val="bottom"/>
            <w:tcBorders>
              <w:bottom w:val="single" w:sz="8" w:color="0A2299"/>
            </w:tcBorders>
          </w:tcPr>
          <w:p>
            <w:pPr>
              <w:spacing w:after="0"/>
              <w:rPr>
                <w:sz w:val="2"/>
                <w:szCs w:val="2"/>
                <w:color w:val="auto"/>
              </w:rPr>
            </w:pPr>
          </w:p>
        </w:tc>
        <w:tc>
          <w:tcPr>
            <w:tcW w:w="1300" w:type="dxa"/>
            <w:vAlign w:val="bottom"/>
            <w:tcBorders>
              <w:bottom w:val="single" w:sz="8" w:color="003595"/>
            </w:tcBorders>
          </w:tcPr>
          <w:p>
            <w:pPr>
              <w:spacing w:after="0"/>
              <w:rPr>
                <w:sz w:val="2"/>
                <w:szCs w:val="2"/>
                <w:color w:val="auto"/>
              </w:rPr>
            </w:pPr>
          </w:p>
        </w:tc>
        <w:tc>
          <w:tcPr>
            <w:tcW w:w="118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AFC = Audit and Finance Committee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CHCC = Compensation and Human Capital Committee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NGC = Nominating and Governance Committee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RPIC = Research and Product Innovation Committee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 Chair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 Chair of the Committee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2025 Business Performance Highlights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2025, we refined our long-term growth strategy to emphasize accelerated profitable growth by focusing on providing a comprehensive testing menu for the Cancer Care Continuum (CCC) market with a priority for high growth applications, growing our Prenatal Health and Mental Health revenues at or above market growth, and delivering sustained profitable growth through financial and operational discipline and leveraging our operating model. We also navigated certain headwinds during 2025, including UnitedHealthcare's discontinuation of coverage (commercial, individual exchange and certain managed Medicaid) of GeneSight and the divestiture of the European EndoPredict business, which impacted our 2025 financial performance. Some of our 2025 business highlights include: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3595"/>
        </w:rPr>
        <w:t>Financial Performance</w:t>
      </w:r>
    </w:p>
    <w:p>
      <w:pPr>
        <w:spacing w:after="0" w:line="248" w:lineRule="exact"/>
        <w:rPr>
          <w:sz w:val="20"/>
          <w:szCs w:val="20"/>
          <w:color w:val="auto"/>
        </w:rPr>
      </w:pPr>
    </w:p>
    <w:p>
      <w:pPr>
        <w:ind w:left="340" w:right="20" w:hanging="170"/>
        <w:spacing w:after="0" w:line="304" w:lineRule="auto"/>
        <w:tabs>
          <w:tab w:leader="none" w:pos="32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Volumes</w:t>
      </w:r>
      <w:r>
        <w:rPr>
          <w:rFonts w:ascii="Arial" w:cs="Arial" w:eastAsia="Arial" w:hAnsi="Arial"/>
          <w:sz w:val="16"/>
          <w:szCs w:val="16"/>
          <w:color w:val="auto"/>
        </w:rPr>
        <w:t>: Our total volumes across all of our tests increased 1% year-over-year, including a 7% year-over-year increase in Hereditary cancer testing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volumes and a 6% year-over-year increase in Mental Health testing volumes.</w:t>
      </w:r>
    </w:p>
    <w:p>
      <w:pPr>
        <w:spacing w:after="0" w:line="195" w:lineRule="exact"/>
        <w:rPr>
          <w:rFonts w:ascii="Arial" w:cs="Arial" w:eastAsia="Arial" w:hAnsi="Arial"/>
          <w:sz w:val="16"/>
          <w:szCs w:val="16"/>
          <w:color w:val="auto"/>
        </w:rPr>
      </w:pPr>
    </w:p>
    <w:p>
      <w:pPr>
        <w:ind w:left="340" w:hanging="170"/>
        <w:spacing w:after="0" w:line="246" w:lineRule="auto"/>
        <w:tabs>
          <w:tab w:leader="none" w:pos="328" w:val="left"/>
        </w:tabs>
        <w:numPr>
          <w:ilvl w:val="0"/>
          <w:numId w:val="8"/>
        </w:numPr>
        <w:rPr>
          <w:rFonts w:ascii="Times New Roman" w:cs="Times New Roman" w:eastAsia="Times New Roman" w:hAnsi="Times New Roman"/>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Our revenues decreased 2% from 2024 to $824.5 million. Excluding the impact of headwinds</w:t>
      </w:r>
      <w:r>
        <w:rPr>
          <w:rFonts w:ascii="Arial" w:cs="Arial" w:eastAsia="Arial" w:hAnsi="Arial"/>
          <w:sz w:val="21"/>
          <w:szCs w:val="21"/>
          <w:color w:val="auto"/>
          <w:vertAlign w:val="superscript"/>
        </w:rPr>
        <w:t>2</w:t>
      </w:r>
      <w:r>
        <w:rPr>
          <w:rFonts w:ascii="Arial" w:cs="Arial" w:eastAsia="Arial" w:hAnsi="Arial"/>
          <w:sz w:val="16"/>
          <w:szCs w:val="16"/>
          <w:color w:val="auto"/>
        </w:rPr>
        <w:t>, full-year 2025 revenue grew 2% over full-year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714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2" w:lineRule="exact"/>
        <w:rPr>
          <w:sz w:val="20"/>
          <w:szCs w:val="20"/>
          <w:color w:val="auto"/>
        </w:rPr>
      </w:pPr>
    </w:p>
    <w:p>
      <w:pPr>
        <w:ind w:left="80" w:hanging="72"/>
        <w:spacing w:after="0"/>
        <w:tabs>
          <w:tab w:leader="none" w:pos="80"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Attributable to UnitedHealthcare discontinuation of coverage (commercial, individual exchange and certain managed Medicaid) of GeneSight and the divestiture of the European EndoPredict business.</w:t>
      </w:r>
    </w:p>
    <w:p>
      <w:pPr>
        <w:spacing w:after="0" w:line="200" w:lineRule="exact"/>
        <w:rPr>
          <w:rFonts w:ascii="Arial" w:cs="Arial" w:eastAsia="Arial" w:hAnsi="Arial"/>
          <w:sz w:val="15"/>
          <w:szCs w:val="15"/>
          <w:color w:val="auto"/>
          <w:vertAlign w:val="superscript"/>
        </w:rPr>
      </w:pPr>
    </w:p>
    <w:p>
      <w:pPr>
        <w:spacing w:after="0" w:line="277" w:lineRule="exact"/>
        <w:rPr>
          <w:rFonts w:ascii="Arial" w:cs="Arial" w:eastAsia="Arial" w:hAnsi="Arial"/>
          <w:sz w:val="15"/>
          <w:szCs w:val="15"/>
          <w:color w:val="auto"/>
          <w:vertAlign w:val="superscript"/>
        </w:rPr>
      </w:pPr>
    </w:p>
    <w:p>
      <w:pPr>
        <w:ind w:left="5580"/>
        <w:spacing w:after="0"/>
        <w:rPr>
          <w:rFonts w:ascii="Arial" w:cs="Arial" w:eastAsia="Arial" w:hAnsi="Arial"/>
          <w:sz w:val="15"/>
          <w:szCs w:val="15"/>
          <w:color w:val="auto"/>
          <w:vertAlign w:val="superscript"/>
        </w:rPr>
      </w:pPr>
      <w:r>
        <w:rPr>
          <w:rFonts w:ascii="Arial" w:cs="Arial" w:eastAsia="Arial" w:hAnsi="Arial"/>
          <w:sz w:val="14"/>
          <w:szCs w:val="14"/>
          <w:color w:val="00497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 w:name="page10"/>
    <w:bookmarkEnd w:id="9"/>
    <w:p>
      <w:pPr>
        <w:ind w:left="340" w:hanging="170"/>
        <w:spacing w:after="0" w:line="288" w:lineRule="auto"/>
        <w:tabs>
          <w:tab w:leader="none" w:pos="329"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GAAP and Adjusted Operating Expenses</w:t>
      </w:r>
      <w:r>
        <w:rPr>
          <w:rFonts w:ascii="Arial" w:cs="Arial" w:eastAsia="Arial" w:hAnsi="Arial"/>
          <w:sz w:val="16"/>
          <w:szCs w:val="16"/>
          <w:color w:val="auto"/>
        </w:rPr>
        <w:t>: GAAP operating expenses were $963.8 million and adjusted operating expenses were $563.4 million,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year-over-year decrease of $3.5 million compared to 2024 adjusted operating expense.</w:t>
      </w:r>
      <w:r>
        <w:rPr>
          <w:rFonts w:ascii="Arial" w:cs="Arial" w:eastAsia="Arial" w:hAnsi="Arial"/>
          <w:sz w:val="21"/>
          <w:szCs w:val="21"/>
          <w:color w:val="auto"/>
          <w:vertAlign w:val="superscript"/>
        </w:rPr>
        <w:t>3</w:t>
      </w:r>
    </w:p>
    <w:p>
      <w:pPr>
        <w:spacing w:after="0" w:line="123" w:lineRule="exact"/>
        <w:rPr>
          <w:rFonts w:ascii="Arial" w:cs="Arial" w:eastAsia="Arial" w:hAnsi="Arial"/>
          <w:sz w:val="16"/>
          <w:szCs w:val="16"/>
          <w:color w:val="auto"/>
        </w:rPr>
      </w:pPr>
    </w:p>
    <w:p>
      <w:pPr>
        <w:ind w:left="340" w:hanging="170"/>
        <w:spacing w:after="0" w:line="288" w:lineRule="auto"/>
        <w:tabs>
          <w:tab w:leader="none" w:pos="329"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GAAP and Adjusted Operating Income (Loss)</w:t>
      </w:r>
      <w:r>
        <w:rPr>
          <w:rFonts w:ascii="Arial" w:cs="Arial" w:eastAsia="Arial" w:hAnsi="Arial"/>
          <w:sz w:val="16"/>
          <w:szCs w:val="16"/>
          <w:color w:val="auto"/>
        </w:rPr>
        <w:t>: GAAP operating loss was $387.2 million and adjusted operating income was $15.3 million, a year-over-year decrease of $6.5 million compared to 2024 adjusted operating income.</w:t>
      </w:r>
      <w:r>
        <w:rPr>
          <w:rFonts w:ascii="Arial" w:cs="Arial" w:eastAsia="Arial" w:hAnsi="Arial"/>
          <w:sz w:val="21"/>
          <w:szCs w:val="21"/>
          <w:color w:val="auto"/>
          <w:vertAlign w:val="superscript"/>
        </w:rPr>
        <w:t>3</w:t>
      </w:r>
    </w:p>
    <w:p>
      <w:pPr>
        <w:spacing w:after="0" w:line="123" w:lineRule="exact"/>
        <w:rPr>
          <w:rFonts w:ascii="Arial" w:cs="Arial" w:eastAsia="Arial" w:hAnsi="Arial"/>
          <w:sz w:val="16"/>
          <w:szCs w:val="16"/>
          <w:color w:val="auto"/>
        </w:rPr>
      </w:pPr>
    </w:p>
    <w:p>
      <w:pPr>
        <w:ind w:left="340" w:right="20" w:hanging="170"/>
        <w:spacing w:after="0" w:line="288" w:lineRule="auto"/>
        <w:tabs>
          <w:tab w:leader="none" w:pos="329"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GAAP Net Loss and Adjusted EBITDA</w:t>
      </w:r>
      <w:r>
        <w:rPr>
          <w:rFonts w:ascii="Arial" w:cs="Arial" w:eastAsia="Arial" w:hAnsi="Arial"/>
          <w:sz w:val="16"/>
          <w:szCs w:val="16"/>
          <w:color w:val="auto"/>
        </w:rPr>
        <w:t>: GAAP net loss was $365.9 million while adjusted EBITDA was $38.9 million, a year-over-year decrease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 million compared to 2024 adjusted EBITDA.</w:t>
      </w:r>
      <w:r>
        <w:rPr>
          <w:rFonts w:ascii="Arial" w:cs="Arial" w:eastAsia="Arial" w:hAnsi="Arial"/>
          <w:sz w:val="21"/>
          <w:szCs w:val="21"/>
          <w:color w:val="auto"/>
          <w:vertAlign w:val="superscript"/>
        </w:rPr>
        <w:t>3</w:t>
      </w:r>
    </w:p>
    <w:p>
      <w:pPr>
        <w:spacing w:after="0" w:line="110" w:lineRule="exact"/>
        <w:rPr>
          <w:rFonts w:ascii="Arial" w:cs="Arial" w:eastAsia="Arial" w:hAnsi="Arial"/>
          <w:sz w:val="16"/>
          <w:szCs w:val="16"/>
          <w:b w:val="1"/>
          <w:bCs w:val="1"/>
          <w:i w:val="1"/>
          <w:iCs w:val="1"/>
          <w:color w:val="auto"/>
        </w:rPr>
      </w:pPr>
    </w:p>
    <w:p>
      <w:pPr>
        <w:ind w:left="340" w:hanging="170"/>
        <w:spacing w:after="0" w:line="302" w:lineRule="auto"/>
        <w:tabs>
          <w:tab w:leader="none" w:pos="329"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GAAP and Adjusted Earnings Per Share: </w:t>
      </w:r>
      <w:r>
        <w:rPr>
          <w:rFonts w:ascii="Arial" w:cs="Arial" w:eastAsia="Arial" w:hAnsi="Arial"/>
          <w:sz w:val="16"/>
          <w:szCs w:val="16"/>
          <w:color w:val="auto"/>
        </w:rPr>
        <w:t>GAAP loss per share was $3.95 while adjusted earnings per share (EPS) was $0.06, a decrease of $0.08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2024 adjusted loss per share.</w:t>
      </w:r>
      <w:r>
        <w:rPr>
          <w:rFonts w:ascii="Arial" w:cs="Arial" w:eastAsia="Arial" w:hAnsi="Arial"/>
          <w:sz w:val="21"/>
          <w:szCs w:val="21"/>
          <w:color w:val="auto"/>
          <w:vertAlign w:val="superscript"/>
        </w:rPr>
        <w:t>3</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3595"/>
        </w:rPr>
        <w:t>Product Developments</w:t>
      </w:r>
    </w:p>
    <w:p>
      <w:pPr>
        <w:spacing w:after="0" w:line="251" w:lineRule="exact"/>
        <w:rPr>
          <w:sz w:val="20"/>
          <w:szCs w:val="20"/>
          <w:color w:val="auto"/>
        </w:rPr>
      </w:pPr>
    </w:p>
    <w:p>
      <w:pPr>
        <w:jc w:val="both"/>
        <w:ind w:left="340" w:hanging="170"/>
        <w:spacing w:after="0" w:line="237" w:lineRule="auto"/>
        <w:tabs>
          <w:tab w:leader="none" w:pos="32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MyRisk Hereditary Cancer Test</w:t>
      </w:r>
      <w:r>
        <w:rPr>
          <w:rFonts w:ascii="Arial" w:cs="Arial" w:eastAsia="Arial" w:hAnsi="Arial"/>
          <w:sz w:val="16"/>
          <w:szCs w:val="16"/>
          <w:color w:val="auto"/>
        </w:rPr>
        <w:t>: Expanded to now include genes referenced in NCCN Clinical Practice Guidelines in Oncology (NCCN Guidelines</w:t>
      </w:r>
      <w:r>
        <w:rPr>
          <w:rFonts w:ascii="Arial" w:cs="Arial" w:eastAsia="Arial" w:hAnsi="Arial"/>
          <w:sz w:val="21"/>
          <w:szCs w:val="21"/>
          <w:color w:val="auto"/>
          <w:vertAlign w:val="superscript"/>
        </w:rPr>
        <w: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guidelines from American Society of Clinical Oncology (ASCO). The updated MyRisk panel now includes 63 carefully selected genes across more than 11 cancer types.</w:t>
      </w:r>
    </w:p>
    <w:p>
      <w:pPr>
        <w:ind w:left="340" w:hanging="170"/>
        <w:spacing w:after="0" w:line="270" w:lineRule="auto"/>
        <w:tabs>
          <w:tab w:leader="none" w:pos="32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FirstGene Multiple Prenatal Screen</w:t>
      </w:r>
      <w:r>
        <w:rPr>
          <w:rFonts w:ascii="Arial" w:cs="Arial" w:eastAsia="Arial" w:hAnsi="Arial"/>
          <w:sz w:val="16"/>
          <w:szCs w:val="16"/>
          <w:color w:val="auto"/>
        </w:rPr>
        <w:t>: Launched early access to FirstGene Multiple Prenatal Screen, a prenatal genetic risk assessment screen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combines several testing modalities into a single assay, in a large, multi-site study, called CONNECTOR.</w:t>
      </w:r>
    </w:p>
    <w:p>
      <w:pPr>
        <w:spacing w:after="0" w:line="194" w:lineRule="exact"/>
        <w:rPr>
          <w:rFonts w:ascii="Arial" w:cs="Arial" w:eastAsia="Arial" w:hAnsi="Arial"/>
          <w:sz w:val="16"/>
          <w:szCs w:val="16"/>
          <w:color w:val="auto"/>
        </w:rPr>
      </w:pPr>
    </w:p>
    <w:p>
      <w:pPr>
        <w:ind w:left="340" w:hanging="170"/>
        <w:spacing w:after="0" w:line="304" w:lineRule="auto"/>
        <w:tabs>
          <w:tab w:leader="none" w:pos="32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Foresight Carrier Screen</w:t>
      </w:r>
      <w:r>
        <w:rPr>
          <w:rFonts w:ascii="Arial" w:cs="Arial" w:eastAsia="Arial" w:hAnsi="Arial"/>
          <w:sz w:val="16"/>
          <w:szCs w:val="16"/>
          <w:color w:val="auto"/>
        </w:rPr>
        <w:t>: Added two genes, F8 and FXN, to the Foresight Carrier Screen Universal Plus Panel. With the addition of these two genes,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Foresight Carrier Screen is fully compliant with the American College of Medical Genetics and Genomics (ACMG) recommendations.</w:t>
      </w:r>
    </w:p>
    <w:p>
      <w:pPr>
        <w:spacing w:after="0" w:line="168" w:lineRule="exact"/>
        <w:rPr>
          <w:rFonts w:ascii="Arial" w:cs="Arial" w:eastAsia="Arial" w:hAnsi="Arial"/>
          <w:sz w:val="16"/>
          <w:szCs w:val="16"/>
          <w:color w:val="auto"/>
        </w:rPr>
      </w:pPr>
    </w:p>
    <w:p>
      <w:pPr>
        <w:jc w:val="both"/>
        <w:ind w:left="340" w:hanging="170"/>
        <w:spacing w:after="0" w:line="265" w:lineRule="auto"/>
        <w:tabs>
          <w:tab w:leader="none" w:pos="32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Precise Molecular Residual Disease (MRD)</w:t>
      </w:r>
      <w:r>
        <w:rPr>
          <w:rFonts w:ascii="Arial" w:cs="Arial" w:eastAsia="Arial" w:hAnsi="Arial"/>
          <w:sz w:val="16"/>
          <w:szCs w:val="16"/>
          <w:color w:val="auto"/>
        </w:rPr>
        <w:t>: New clinical data regarding the use of our ultra-sensitive Precise MRD test in the MONSTAR-SCREEN 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study, a collaboration with the National Cancer Center Hospital East in Japan, was presented at the American Association for Cancer Research and ASCO annual meeting. This study showed 100% sensitivity at baseline with 60% of patients testing positive one month after surgery had tumor fractions only detectable via ultra-sensitive MRD. Additionally, Lancet Oncology published a study describing the performance of Precise MRD in patients with oligometastatic clear-cell renal cell carcinoma.</w:t>
      </w:r>
    </w:p>
    <w:p>
      <w:pPr>
        <w:spacing w:after="0" w:line="199" w:lineRule="exact"/>
        <w:rPr>
          <w:rFonts w:ascii="Arial" w:cs="Arial" w:eastAsia="Arial" w:hAnsi="Arial"/>
          <w:sz w:val="16"/>
          <w:szCs w:val="16"/>
          <w:color w:val="auto"/>
        </w:rPr>
      </w:pPr>
    </w:p>
    <w:p>
      <w:pPr>
        <w:ind w:left="340" w:right="20" w:hanging="170"/>
        <w:spacing w:after="0" w:line="304" w:lineRule="auto"/>
        <w:tabs>
          <w:tab w:leader="none" w:pos="32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Prostate AI Test</w:t>
      </w:r>
      <w:r>
        <w:rPr>
          <w:rFonts w:ascii="Arial" w:cs="Arial" w:eastAsia="Arial" w:hAnsi="Arial"/>
          <w:sz w:val="16"/>
          <w:szCs w:val="16"/>
          <w:color w:val="auto"/>
        </w:rPr>
        <w:t>: Advanced development of an AI-enabled prostate cancer diagnostic test in collaboration with PATHOMIQ, Inc., with an anticipated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 launch of the test in the second quarter of 2026.</w:t>
      </w:r>
    </w:p>
    <w:p>
      <w:pPr>
        <w:spacing w:after="0" w:line="168" w:lineRule="exact"/>
        <w:rPr>
          <w:rFonts w:ascii="Arial" w:cs="Arial" w:eastAsia="Arial" w:hAnsi="Arial"/>
          <w:sz w:val="16"/>
          <w:szCs w:val="16"/>
          <w:color w:val="auto"/>
        </w:rPr>
      </w:pPr>
    </w:p>
    <w:p>
      <w:pPr>
        <w:ind w:left="340" w:hanging="170"/>
        <w:spacing w:after="0" w:line="286" w:lineRule="auto"/>
        <w:tabs>
          <w:tab w:leader="none" w:pos="32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Companion Diagnostics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Entered a collaboration with SOPHiA Genetics, SA, to co-develop a global liquid biopsy companion diagnostic (CDx) testing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 intended for use in biopharmaceutical clinical programs and precision oncology initiatives.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3595"/>
        </w:rPr>
        <w:t>Leadership</w:t>
      </w:r>
    </w:p>
    <w:p>
      <w:pPr>
        <w:spacing w:after="0" w:line="235" w:lineRule="exact"/>
        <w:rPr>
          <w:sz w:val="20"/>
          <w:szCs w:val="20"/>
          <w:color w:val="auto"/>
        </w:rPr>
      </w:pPr>
    </w:p>
    <w:p>
      <w:pPr>
        <w:jc w:val="both"/>
        <w:ind w:left="340" w:hanging="170"/>
        <w:spacing w:after="0" w:line="242" w:lineRule="auto"/>
        <w:tabs>
          <w:tab w:leader="none" w:pos="329"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Senior Leadership Transition</w:t>
      </w:r>
      <w:r>
        <w:rPr>
          <w:rFonts w:ascii="Arial" w:cs="Arial" w:eastAsia="Arial" w:hAnsi="Arial"/>
          <w:sz w:val="16"/>
          <w:szCs w:val="16"/>
          <w:color w:val="auto"/>
        </w:rPr>
        <w:t>: On April 30, 2025, Samraat S. Raha, our former Chief Operating Officer, succeeded Paul J. Diaz as our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and member of the Board. Concurrently, Mark S. Verratti, our former Chief Commercial Officer, succeeded Mr. Raha as our Chief Operating Officer. Following these transitions, Brian J. Donnelly was appointed Chief Commercial Officer on May 1, 2025. Additionally, on August 16, 2025, Benjamin R. Wheeler, formerly our Senior Vice President, Chief Financial Officer, Operations, was appointed as our Chief Financial Officer.</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3595"/>
        </w:rPr>
        <w:t>Long-Term Strategic Growth Plan</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strategy is built on leveraging our differentiated strengths, including our reputation for trusted high-quality tests and customer service, and our established, extensive commercial reach in community medicine. Our strategy also leverages investments in science and innovation, technology-enabled operations, an enhanced customer experience, strong commercial execution, and scalable operations. We are focused on three core strategic pillars to drive long-term shareholder value:</w:t>
      </w:r>
    </w:p>
    <w:p>
      <w:pPr>
        <w:spacing w:after="0" w:line="200" w:lineRule="exact"/>
        <w:rPr>
          <w:sz w:val="20"/>
          <w:szCs w:val="20"/>
          <w:color w:val="auto"/>
        </w:rPr>
      </w:pPr>
    </w:p>
    <w:p>
      <w:pPr>
        <w:jc w:val="both"/>
        <w:ind w:left="340" w:hanging="170"/>
        <w:spacing w:after="0" w:line="262" w:lineRule="auto"/>
        <w:tabs>
          <w:tab w:leader="none" w:pos="329"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Leadership in the Cancer Care Continuum (CCC)</w:t>
      </w:r>
      <w:r>
        <w:rPr>
          <w:rFonts w:ascii="Arial" w:cs="Arial" w:eastAsia="Arial" w:hAnsi="Arial"/>
          <w:sz w:val="16"/>
          <w:szCs w:val="16"/>
          <w:color w:val="auto"/>
        </w:rPr>
        <w:t>: As a pioneer in DNA-based diagnostic testing, we are a trusted leader in hereditary cancer testing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11 of the most commonly occurring cancer types. We are also a leader in cancer therapy selection with our Homologous Recombination Deficiency (HRD) test and are planning to strengthen our portfolio of comprehensive genomic profiling tests through product development and partnerships. We see MRD testing as a significant opportunity for patient impact and revenue growth. We believe our ultra-sensitive Precise MRD offering, combined with our growing portfolio of other relevant diagnostic tests and our commercial leadership in serving community medicine, will enable us to establish and grow a meaningful MRD business. As part of our CCC strategy, we also plan to expand the number of biopharma partners we serve with services including biomarker identification and validation, companion diagnostic test development, and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1714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80" w:firstLine="8"/>
        <w:spacing w:after="0" w:line="236" w:lineRule="auto"/>
        <w:tabs>
          <w:tab w:leader="none" w:pos="8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See reconciliation of adjusted operating income to GAAP operating loss, adjusted EBITDA to GAAP net loss, adjusted earnings per share to GAAP loss per share, and adjusted operating expenses to GAAP operating expenses in Appendix A.</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 w:name="page11"/>
    <w:bookmarkEnd w:id="10"/>
    <w:p>
      <w:pPr>
        <w:jc w:val="both"/>
        <w:ind w:left="340" w:hanging="170"/>
        <w:spacing w:after="0" w:line="265" w:lineRule="auto"/>
        <w:tabs>
          <w:tab w:leader="none" w:pos="329"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Growth in Prenatal Health and Mental Health</w:t>
      </w:r>
      <w:r>
        <w:rPr>
          <w:rFonts w:ascii="Arial" w:cs="Arial" w:eastAsia="Arial" w:hAnsi="Arial"/>
          <w:sz w:val="16"/>
          <w:szCs w:val="16"/>
          <w:color w:val="auto"/>
        </w:rPr>
        <w:t>: We aim to grow our Prenatal Health and Mental Health revenues at or above market growth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leveraging our expanded prenatal offerings, including FirstGene, to drive increased volume and by focusing on high value GeneSight accounts and leveraging state biomarker laws to improve our reimbursement rates. Under this strategy, we plan to leverage our strong scientific foundation, deep clinical partnerships, and technology-enabled capabilities to expand adoption of our testing portfolio and integrate our precision medicine solutions more deeply into clinical workflows across Prenatal Health and Mental Health.</w:t>
      </w:r>
    </w:p>
    <w:p>
      <w:pPr>
        <w:spacing w:after="0" w:line="199" w:lineRule="exact"/>
        <w:rPr>
          <w:rFonts w:ascii="Arial" w:cs="Arial" w:eastAsia="Arial" w:hAnsi="Arial"/>
          <w:sz w:val="16"/>
          <w:szCs w:val="16"/>
          <w:color w:val="auto"/>
        </w:rPr>
      </w:pPr>
    </w:p>
    <w:p>
      <w:pPr>
        <w:jc w:val="both"/>
        <w:ind w:left="340" w:hanging="170"/>
        <w:spacing w:after="0" w:line="261" w:lineRule="auto"/>
        <w:tabs>
          <w:tab w:leader="none" w:pos="329"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Operational Discipline and Scalability: </w:t>
      </w:r>
      <w:r>
        <w:rPr>
          <w:rFonts w:ascii="Arial" w:cs="Arial" w:eastAsia="Arial" w:hAnsi="Arial"/>
          <w:sz w:val="16"/>
          <w:szCs w:val="16"/>
          <w:color w:val="auto"/>
        </w:rPr>
        <w:t>We are committed to delivering sustained profitable growth through financial and operational discipline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leveraging our operating model. By investing in technology-enabled commercial tools, advanced automation, and standardized processes and technology, we believe we will be able to reduce complexity and cost while enhancing our ability to scale. In 2025, we completed the transition of our laboratory operations to our next-generation laboratory facilities, which are designed to enhance automation, reduce turnaround time, and improve cost efficiency across our testing portfolio. We believe these improvements, combined with our ongoing operational initiatives, position us to achieve greater scalability and reduce operating expenses as a percentage of revenue over time.</w:t>
      </w:r>
    </w:p>
    <w:p>
      <w:pPr>
        <w:spacing w:after="0" w:line="20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 xml:space="preserve">For additional information about our 2025 business performance, please see the CEO Letter above and the "Executive and Director Compensation-Compensation Discussion and Analysis-2025 Financial Highlights" section starting on page </w:t>
      </w:r>
      <w:r>
        <w:rPr>
          <w:rFonts w:ascii="Arial" w:cs="Arial" w:eastAsia="Arial" w:hAnsi="Arial"/>
          <w:sz w:val="16"/>
          <w:szCs w:val="16"/>
          <w:u w:val="single" w:color="auto"/>
          <w:color w:val="0000FF"/>
        </w:rPr>
        <w:t>30</w:t>
      </w:r>
      <w:r>
        <w:rPr>
          <w:rFonts w:ascii="Arial" w:cs="Arial" w:eastAsia="Arial" w:hAnsi="Arial"/>
          <w:sz w:val="16"/>
          <w:szCs w:val="16"/>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 xml:space="preserve">Corporate Governance Highlights </w:t>
      </w:r>
      <w:r>
        <w:rPr>
          <w:rFonts w:ascii="Arial" w:cs="Arial" w:eastAsia="Arial" w:hAnsi="Arial"/>
          <w:sz w:val="20"/>
          <w:szCs w:val="20"/>
          <w:color w:val="000000"/>
        </w:rPr>
        <w:t>(page</w:t>
      </w:r>
      <w:r>
        <w:rPr>
          <w:rFonts w:ascii="Arial" w:cs="Arial" w:eastAsia="Arial" w:hAnsi="Arial"/>
          <w:sz w:val="20"/>
          <w:szCs w:val="20"/>
          <w:b w:val="1"/>
          <w:bCs w:val="1"/>
          <w:color w:val="003595"/>
        </w:rPr>
        <w:t xml:space="preserve"> </w:t>
      </w:r>
      <w:r>
        <w:rPr>
          <w:rFonts w:ascii="Arial" w:cs="Arial" w:eastAsia="Arial" w:hAnsi="Arial"/>
          <w:sz w:val="20"/>
          <w:szCs w:val="20"/>
          <w:u w:val="single" w:color="auto"/>
          <w:color w:val="0000FF"/>
        </w:rPr>
        <w:t>12</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679767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7675" cy="15430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tcPr>
          <w:p>
            <w:pPr>
              <w:ind w:left="540"/>
              <w:spacing w:after="0"/>
              <w:rPr>
                <w:sz w:val="20"/>
                <w:szCs w:val="20"/>
                <w:color w:val="auto"/>
              </w:rPr>
            </w:pPr>
            <w:r>
              <w:rPr>
                <w:rFonts w:ascii="Arial" w:cs="Arial" w:eastAsia="Arial" w:hAnsi="Arial"/>
                <w:sz w:val="16"/>
                <w:szCs w:val="16"/>
                <w:color w:val="FFFFFF"/>
              </w:rPr>
              <w:t>Strong Governance Practices</w:t>
            </w:r>
          </w:p>
        </w:tc>
      </w:tr>
      <w:tr>
        <w:trPr>
          <w:trHeight w:val="217"/>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3320" w:type="dxa"/>
            <w:vAlign w:val="bottom"/>
          </w:tcPr>
          <w:p>
            <w:pPr>
              <w:ind w:left="60"/>
              <w:spacing w:after="0"/>
              <w:rPr>
                <w:sz w:val="20"/>
                <w:szCs w:val="20"/>
                <w:color w:val="auto"/>
              </w:rPr>
            </w:pPr>
            <w:r>
              <w:rPr>
                <w:rFonts w:ascii="Arial" w:cs="Arial" w:eastAsia="Arial" w:hAnsi="Arial"/>
                <w:sz w:val="16"/>
                <w:szCs w:val="16"/>
                <w:color w:val="auto"/>
              </w:rPr>
              <w:t>Robust stock ownership guidelines for non-</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3100" w:type="dxa"/>
            <w:vAlign w:val="bottom"/>
          </w:tcPr>
          <w:p>
            <w:pPr>
              <w:ind w:left="40"/>
              <w:spacing w:after="0"/>
              <w:rPr>
                <w:sz w:val="20"/>
                <w:szCs w:val="20"/>
                <w:color w:val="auto"/>
              </w:rPr>
            </w:pPr>
            <w:r>
              <w:rPr>
                <w:rFonts w:ascii="Arial" w:cs="Arial" w:eastAsia="Arial" w:hAnsi="Arial"/>
                <w:sz w:val="16"/>
                <w:szCs w:val="16"/>
                <w:color w:val="auto"/>
              </w:rPr>
              <w:t>Compensation clawback policy</w:t>
            </w:r>
          </w:p>
        </w:tc>
      </w:tr>
      <w:tr>
        <w:trPr>
          <w:trHeight w:val="215"/>
        </w:trPr>
        <w:tc>
          <w:tcPr>
            <w:tcW w:w="100" w:type="dxa"/>
            <w:vAlign w:val="bottom"/>
          </w:tcPr>
          <w:p>
            <w:pPr>
              <w:spacing w:after="0"/>
              <w:rPr>
                <w:sz w:val="18"/>
                <w:szCs w:val="18"/>
                <w:color w:val="auto"/>
              </w:rPr>
            </w:pPr>
          </w:p>
        </w:tc>
        <w:tc>
          <w:tcPr>
            <w:tcW w:w="3320" w:type="dxa"/>
            <w:vAlign w:val="bottom"/>
          </w:tcPr>
          <w:p>
            <w:pPr>
              <w:ind w:left="60"/>
              <w:spacing w:after="0"/>
              <w:rPr>
                <w:sz w:val="20"/>
                <w:szCs w:val="20"/>
                <w:color w:val="auto"/>
              </w:rPr>
            </w:pPr>
            <w:r>
              <w:rPr>
                <w:rFonts w:ascii="Arial" w:cs="Arial" w:eastAsia="Arial" w:hAnsi="Arial"/>
                <w:sz w:val="16"/>
                <w:szCs w:val="16"/>
                <w:color w:val="auto"/>
              </w:rPr>
              <w:t>employee directors and executive officers</w:t>
            </w:r>
          </w:p>
        </w:tc>
        <w:tc>
          <w:tcPr>
            <w:tcW w:w="26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31"/>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3320" w:type="dxa"/>
            <w:vAlign w:val="bottom"/>
          </w:tcPr>
          <w:p>
            <w:pPr>
              <w:ind w:left="60"/>
              <w:spacing w:after="0"/>
              <w:rPr>
                <w:sz w:val="20"/>
                <w:szCs w:val="20"/>
                <w:color w:val="auto"/>
              </w:rPr>
            </w:pPr>
            <w:r>
              <w:rPr>
                <w:rFonts w:ascii="Arial" w:cs="Arial" w:eastAsia="Arial" w:hAnsi="Arial"/>
                <w:sz w:val="16"/>
                <w:szCs w:val="16"/>
                <w:color w:val="auto"/>
              </w:rPr>
              <w:t>Limits on board member service on other</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3100" w:type="dxa"/>
            <w:vAlign w:val="bottom"/>
          </w:tcPr>
          <w:p>
            <w:pPr>
              <w:ind w:left="40"/>
              <w:spacing w:after="0"/>
              <w:rPr>
                <w:sz w:val="20"/>
                <w:szCs w:val="20"/>
                <w:color w:val="auto"/>
              </w:rPr>
            </w:pPr>
            <w:r>
              <w:rPr>
                <w:rFonts w:ascii="Arial" w:cs="Arial" w:eastAsia="Arial" w:hAnsi="Arial"/>
                <w:sz w:val="16"/>
                <w:szCs w:val="16"/>
                <w:color w:val="auto"/>
              </w:rPr>
              <w:t>Annual say-on-pay vote</w:t>
            </w:r>
          </w:p>
        </w:tc>
      </w:tr>
      <w:tr>
        <w:trPr>
          <w:trHeight w:val="215"/>
        </w:trPr>
        <w:tc>
          <w:tcPr>
            <w:tcW w:w="100" w:type="dxa"/>
            <w:vAlign w:val="bottom"/>
          </w:tcPr>
          <w:p>
            <w:pPr>
              <w:spacing w:after="0"/>
              <w:rPr>
                <w:sz w:val="18"/>
                <w:szCs w:val="18"/>
                <w:color w:val="auto"/>
              </w:rPr>
            </w:pPr>
          </w:p>
        </w:tc>
        <w:tc>
          <w:tcPr>
            <w:tcW w:w="3320" w:type="dxa"/>
            <w:vAlign w:val="bottom"/>
          </w:tcPr>
          <w:p>
            <w:pPr>
              <w:ind w:left="60"/>
              <w:spacing w:after="0"/>
              <w:rPr>
                <w:sz w:val="20"/>
                <w:szCs w:val="20"/>
                <w:color w:val="auto"/>
              </w:rPr>
            </w:pPr>
            <w:r>
              <w:rPr>
                <w:rFonts w:ascii="Arial" w:cs="Arial" w:eastAsia="Arial" w:hAnsi="Arial"/>
                <w:sz w:val="16"/>
                <w:szCs w:val="16"/>
                <w:color w:val="auto"/>
              </w:rPr>
              <w:t>public company boards</w:t>
            </w:r>
          </w:p>
        </w:tc>
        <w:tc>
          <w:tcPr>
            <w:tcW w:w="26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31"/>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3320" w:type="dxa"/>
            <w:vAlign w:val="bottom"/>
          </w:tcPr>
          <w:p>
            <w:pPr>
              <w:ind w:left="60"/>
              <w:spacing w:after="0"/>
              <w:rPr>
                <w:sz w:val="20"/>
                <w:szCs w:val="20"/>
                <w:color w:val="auto"/>
              </w:rPr>
            </w:pPr>
            <w:r>
              <w:rPr>
                <w:rFonts w:ascii="Arial" w:cs="Arial" w:eastAsia="Arial" w:hAnsi="Arial"/>
                <w:sz w:val="16"/>
                <w:szCs w:val="16"/>
                <w:color w:val="auto"/>
              </w:rPr>
              <w:t>Majority voting in uncontested director</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3100" w:type="dxa"/>
            <w:vAlign w:val="bottom"/>
          </w:tcPr>
          <w:p>
            <w:pPr>
              <w:ind w:left="40"/>
              <w:spacing w:after="0"/>
              <w:rPr>
                <w:sz w:val="20"/>
                <w:szCs w:val="20"/>
                <w:color w:val="auto"/>
              </w:rPr>
            </w:pPr>
            <w:r>
              <w:rPr>
                <w:rFonts w:ascii="Arial" w:cs="Arial" w:eastAsia="Arial" w:hAnsi="Arial"/>
                <w:sz w:val="16"/>
                <w:szCs w:val="16"/>
                <w:color w:val="auto"/>
              </w:rPr>
              <w:t>No stockholder rights or similar plan</w:t>
            </w:r>
          </w:p>
        </w:tc>
      </w:tr>
      <w:tr>
        <w:trPr>
          <w:trHeight w:val="215"/>
        </w:trPr>
        <w:tc>
          <w:tcPr>
            <w:tcW w:w="100" w:type="dxa"/>
            <w:vAlign w:val="bottom"/>
          </w:tcPr>
          <w:p>
            <w:pPr>
              <w:spacing w:after="0"/>
              <w:rPr>
                <w:sz w:val="18"/>
                <w:szCs w:val="18"/>
                <w:color w:val="auto"/>
              </w:rPr>
            </w:pPr>
          </w:p>
        </w:tc>
        <w:tc>
          <w:tcPr>
            <w:tcW w:w="3320" w:type="dxa"/>
            <w:vAlign w:val="bottom"/>
          </w:tcPr>
          <w:p>
            <w:pPr>
              <w:ind w:left="60"/>
              <w:spacing w:after="0"/>
              <w:rPr>
                <w:sz w:val="20"/>
                <w:szCs w:val="20"/>
                <w:color w:val="auto"/>
              </w:rPr>
            </w:pPr>
            <w:r>
              <w:rPr>
                <w:rFonts w:ascii="Arial" w:cs="Arial" w:eastAsia="Arial" w:hAnsi="Arial"/>
                <w:sz w:val="16"/>
                <w:szCs w:val="16"/>
                <w:color w:val="auto"/>
              </w:rPr>
              <w:t>elections, with resignation policy</w:t>
            </w:r>
          </w:p>
        </w:tc>
        <w:tc>
          <w:tcPr>
            <w:tcW w:w="26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31"/>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3320" w:type="dxa"/>
            <w:vAlign w:val="bottom"/>
          </w:tcPr>
          <w:p>
            <w:pPr>
              <w:ind w:left="60"/>
              <w:spacing w:after="0"/>
              <w:rPr>
                <w:sz w:val="20"/>
                <w:szCs w:val="20"/>
                <w:color w:val="auto"/>
              </w:rPr>
            </w:pPr>
            <w:r>
              <w:rPr>
                <w:rFonts w:ascii="Arial" w:cs="Arial" w:eastAsia="Arial" w:hAnsi="Arial"/>
                <w:sz w:val="16"/>
                <w:szCs w:val="16"/>
                <w:color w:val="auto"/>
              </w:rPr>
              <w:t>Mandatory director retirement age</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3100" w:type="dxa"/>
            <w:vAlign w:val="bottom"/>
          </w:tcPr>
          <w:p>
            <w:pPr>
              <w:ind w:left="40"/>
              <w:spacing w:after="0"/>
              <w:rPr>
                <w:sz w:val="20"/>
                <w:szCs w:val="20"/>
                <w:color w:val="auto"/>
              </w:rPr>
            </w:pPr>
            <w:r>
              <w:rPr>
                <w:rFonts w:ascii="Arial" w:cs="Arial" w:eastAsia="Arial" w:hAnsi="Arial"/>
                <w:sz w:val="16"/>
                <w:szCs w:val="16"/>
                <w:color w:val="auto"/>
              </w:rPr>
              <w:t>Guidance from independent compensation</w:t>
            </w:r>
          </w:p>
        </w:tc>
      </w:tr>
      <w:tr>
        <w:trPr>
          <w:trHeight w:val="189"/>
        </w:trPr>
        <w:tc>
          <w:tcPr>
            <w:tcW w:w="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consultant, with compensation decisions</w:t>
            </w:r>
          </w:p>
        </w:tc>
      </w:tr>
      <w:tr>
        <w:trPr>
          <w:trHeight w:val="215"/>
        </w:trPr>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made by reference to a peer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86995</wp:posOffset>
            </wp:positionV>
            <wp:extent cx="889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159" w:hanging="159"/>
        <w:spacing w:after="0"/>
        <w:tabs>
          <w:tab w:leader="none" w:pos="1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Anti-hedging and anti-pledging policies</w:t>
      </w:r>
    </w:p>
    <w:p>
      <w:pPr>
        <w:spacing w:after="0" w:line="261" w:lineRule="exact"/>
        <w:rPr>
          <w:rFonts w:ascii="Arial" w:cs="Arial" w:eastAsia="Arial" w:hAnsi="Arial"/>
          <w:sz w:val="16"/>
          <w:szCs w:val="16"/>
          <w:color w:val="auto"/>
        </w:rPr>
      </w:pPr>
    </w:p>
    <w:p>
      <w:pPr>
        <w:ind w:left="159" w:right="620" w:hanging="159"/>
        <w:spacing w:after="0" w:line="286" w:lineRule="auto"/>
        <w:tabs>
          <w:tab w:leader="none" w:pos="1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Board has significant interaction with senior management and access to other employees</w:t>
      </w:r>
    </w:p>
    <w:p>
      <w:pPr>
        <w:spacing w:after="0" w:line="7" w:lineRule="exact"/>
        <w:rPr>
          <w:rFonts w:ascii="Arial" w:cs="Arial" w:eastAsia="Arial" w:hAnsi="Arial"/>
          <w:sz w:val="16"/>
          <w:szCs w:val="16"/>
          <w:color w:val="auto"/>
        </w:rPr>
      </w:pPr>
    </w:p>
    <w:p>
      <w:pPr>
        <w:ind w:left="159" w:right="860" w:hanging="159"/>
        <w:spacing w:after="0" w:line="286" w:lineRule="auto"/>
        <w:tabs>
          <w:tab w:leader="none" w:pos="1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Demonstrated commitment to stockholder engagement</w:t>
      </w:r>
    </w:p>
    <w:p>
      <w:pPr>
        <w:spacing w:after="0" w:line="7" w:lineRule="exact"/>
        <w:rPr>
          <w:rFonts w:ascii="Arial" w:cs="Arial" w:eastAsia="Arial" w:hAnsi="Arial"/>
          <w:sz w:val="16"/>
          <w:szCs w:val="16"/>
          <w:color w:val="auto"/>
        </w:rPr>
      </w:pPr>
    </w:p>
    <w:p>
      <w:pPr>
        <w:ind w:left="199" w:right="600" w:hanging="172"/>
        <w:spacing w:after="0" w:line="266" w:lineRule="auto"/>
        <w:tabs>
          <w:tab w:leader="none" w:pos="188" w:val="left"/>
        </w:tabs>
        <w:numPr>
          <w:ilvl w:val="1"/>
          <w:numId w:val="16"/>
        </w:numPr>
        <w:rPr>
          <w:rFonts w:ascii="Arial" w:cs="Arial" w:eastAsia="Arial" w:hAnsi="Arial"/>
          <w:sz w:val="16"/>
          <w:szCs w:val="16"/>
          <w:color w:val="auto"/>
        </w:rPr>
      </w:pPr>
      <w:r>
        <w:rPr>
          <w:rFonts w:ascii="Arial" w:cs="Arial" w:eastAsia="Arial" w:hAnsi="Arial"/>
          <w:sz w:val="16"/>
          <w:szCs w:val="16"/>
          <w:color w:val="auto"/>
        </w:rPr>
        <w:t>Caps on performance-based cash and equity incentive compensation for our executive officers</w:t>
      </w:r>
    </w:p>
    <w:p>
      <w:pPr>
        <w:spacing w:after="0" w:line="118" w:lineRule="exact"/>
        <w:rPr>
          <w:sz w:val="20"/>
          <w:szCs w:val="20"/>
          <w:color w:val="auto"/>
        </w:rPr>
      </w:pPr>
    </w:p>
    <w:p>
      <w:pPr>
        <w:sectPr>
          <w:pgSz w:w="11900" w:h="16838" w:orient="portrait"/>
          <w:cols w:equalWidth="0" w:num="2">
            <w:col w:w="6860" w:space="361"/>
            <w:col w:w="4019"/>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180" w:type="dxa"/>
            <w:vAlign w:val="bottom"/>
            <w:shd w:val="clear" w:color="auto" w:fill="003595"/>
          </w:tcPr>
          <w:p>
            <w:pPr>
              <w:spacing w:after="0"/>
              <w:rPr>
                <w:sz w:val="21"/>
                <w:szCs w:val="21"/>
                <w:color w:val="auto"/>
              </w:rPr>
            </w:pPr>
          </w:p>
        </w:tc>
        <w:tc>
          <w:tcPr>
            <w:tcW w:w="5240" w:type="dxa"/>
            <w:vAlign w:val="bottom"/>
            <w:tcBorders>
              <w:right w:val="single" w:sz="8" w:color="003595"/>
            </w:tcBorders>
            <w:shd w:val="clear" w:color="auto" w:fill="003595"/>
          </w:tcPr>
          <w:p>
            <w:pPr>
              <w:ind w:left="2020"/>
              <w:spacing w:after="0"/>
              <w:rPr>
                <w:sz w:val="20"/>
                <w:szCs w:val="20"/>
                <w:color w:val="auto"/>
              </w:rPr>
            </w:pPr>
            <w:r>
              <w:rPr>
                <w:rFonts w:ascii="Arial" w:cs="Arial" w:eastAsia="Arial" w:hAnsi="Arial"/>
                <w:sz w:val="16"/>
                <w:szCs w:val="16"/>
                <w:color w:val="FFFFFF"/>
              </w:rPr>
              <w:t>Independence</w:t>
            </w:r>
          </w:p>
        </w:tc>
        <w:tc>
          <w:tcPr>
            <w:tcW w:w="400" w:type="dxa"/>
            <w:vAlign w:val="bottom"/>
            <w:shd w:val="clear" w:color="auto" w:fill="003595"/>
          </w:tcPr>
          <w:p>
            <w:pPr>
              <w:spacing w:after="0"/>
              <w:rPr>
                <w:sz w:val="21"/>
                <w:szCs w:val="21"/>
                <w:color w:val="auto"/>
              </w:rPr>
            </w:pPr>
          </w:p>
        </w:tc>
        <w:tc>
          <w:tcPr>
            <w:tcW w:w="5000" w:type="dxa"/>
            <w:vAlign w:val="bottom"/>
            <w:shd w:val="clear" w:color="auto" w:fill="003595"/>
          </w:tcPr>
          <w:p>
            <w:pPr>
              <w:ind w:left="1340"/>
              <w:spacing w:after="0"/>
              <w:rPr>
                <w:sz w:val="20"/>
                <w:szCs w:val="20"/>
                <w:color w:val="auto"/>
              </w:rPr>
            </w:pPr>
            <w:r>
              <w:rPr>
                <w:rFonts w:ascii="Arial" w:cs="Arial" w:eastAsia="Arial" w:hAnsi="Arial"/>
                <w:sz w:val="16"/>
                <w:szCs w:val="16"/>
                <w:color w:val="FFFFFF"/>
              </w:rPr>
              <w:t>Refreshment and Diversity</w:t>
            </w:r>
          </w:p>
        </w:tc>
      </w:tr>
      <w:tr>
        <w:trPr>
          <w:trHeight w:val="228"/>
        </w:trPr>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5240" w:type="dxa"/>
            <w:vAlign w:val="bottom"/>
            <w:tcBorders>
              <w:right w:val="single" w:sz="8" w:color="003595"/>
            </w:tcBorders>
          </w:tcPr>
          <w:p>
            <w:pPr>
              <w:ind w:left="60"/>
              <w:spacing w:after="0"/>
              <w:rPr>
                <w:sz w:val="20"/>
                <w:szCs w:val="20"/>
                <w:color w:val="auto"/>
              </w:rPr>
            </w:pPr>
            <w:r>
              <w:rPr>
                <w:rFonts w:ascii="Arial" w:cs="Arial" w:eastAsia="Arial" w:hAnsi="Arial"/>
                <w:sz w:val="16"/>
                <w:szCs w:val="16"/>
                <w:color w:val="auto"/>
              </w:rPr>
              <w:t>Eight out of nine directors are independent</w:t>
            </w:r>
          </w:p>
        </w:tc>
        <w:tc>
          <w:tcPr>
            <w:tcW w:w="400" w:type="dxa"/>
            <w:vAlign w:val="bottom"/>
          </w:tcPr>
          <w:p>
            <w:pPr>
              <w:ind w:left="280"/>
              <w:spacing w:after="0"/>
              <w:rPr>
                <w:sz w:val="20"/>
                <w:szCs w:val="20"/>
                <w:color w:val="auto"/>
              </w:rPr>
            </w:pPr>
            <w:r>
              <w:rPr>
                <w:rFonts w:ascii="Arial" w:cs="Arial" w:eastAsia="Arial" w:hAnsi="Arial"/>
                <w:sz w:val="16"/>
                <w:szCs w:val="16"/>
                <w:color w:val="auto"/>
              </w:rPr>
              <w:t>•</w:t>
            </w:r>
          </w:p>
        </w:tc>
        <w:tc>
          <w:tcPr>
            <w:tcW w:w="5000" w:type="dxa"/>
            <w:vAlign w:val="bottom"/>
          </w:tcPr>
          <w:p>
            <w:pPr>
              <w:ind w:left="40"/>
              <w:spacing w:after="0"/>
              <w:rPr>
                <w:sz w:val="20"/>
                <w:szCs w:val="20"/>
                <w:color w:val="auto"/>
              </w:rPr>
            </w:pPr>
            <w:r>
              <w:rPr>
                <w:rFonts w:ascii="Arial" w:cs="Arial" w:eastAsia="Arial" w:hAnsi="Arial"/>
                <w:sz w:val="16"/>
                <w:szCs w:val="16"/>
                <w:color w:val="auto"/>
              </w:rPr>
              <w:t>44% of Board members are women and/or ethnically diverse</w:t>
            </w:r>
          </w:p>
        </w:tc>
      </w:tr>
      <w:tr>
        <w:trPr>
          <w:trHeight w:val="231"/>
        </w:trPr>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5240" w:type="dxa"/>
            <w:vAlign w:val="bottom"/>
            <w:tcBorders>
              <w:right w:val="single" w:sz="8" w:color="003595"/>
            </w:tcBorders>
          </w:tcPr>
          <w:p>
            <w:pPr>
              <w:ind w:left="60"/>
              <w:spacing w:after="0"/>
              <w:rPr>
                <w:sz w:val="20"/>
                <w:szCs w:val="20"/>
                <w:color w:val="auto"/>
              </w:rPr>
            </w:pPr>
            <w:r>
              <w:rPr>
                <w:rFonts w:ascii="Arial" w:cs="Arial" w:eastAsia="Arial" w:hAnsi="Arial"/>
                <w:sz w:val="16"/>
                <w:szCs w:val="16"/>
                <w:color w:val="auto"/>
              </w:rPr>
              <w:t>The roles of Board Chair and CEO are separate</w:t>
            </w:r>
          </w:p>
        </w:tc>
        <w:tc>
          <w:tcPr>
            <w:tcW w:w="400" w:type="dxa"/>
            <w:vAlign w:val="bottom"/>
          </w:tcPr>
          <w:p>
            <w:pPr>
              <w:ind w:left="280"/>
              <w:spacing w:after="0"/>
              <w:rPr>
                <w:sz w:val="20"/>
                <w:szCs w:val="20"/>
                <w:color w:val="auto"/>
              </w:rPr>
            </w:pPr>
            <w:r>
              <w:rPr>
                <w:rFonts w:ascii="Arial" w:cs="Arial" w:eastAsia="Arial" w:hAnsi="Arial"/>
                <w:sz w:val="16"/>
                <w:szCs w:val="16"/>
                <w:color w:val="auto"/>
              </w:rPr>
              <w:t>•</w:t>
            </w:r>
          </w:p>
        </w:tc>
        <w:tc>
          <w:tcPr>
            <w:tcW w:w="5000" w:type="dxa"/>
            <w:vAlign w:val="bottom"/>
          </w:tcPr>
          <w:p>
            <w:pPr>
              <w:ind w:left="40"/>
              <w:spacing w:after="0"/>
              <w:rPr>
                <w:sz w:val="20"/>
                <w:szCs w:val="20"/>
                <w:color w:val="auto"/>
              </w:rPr>
            </w:pPr>
            <w:r>
              <w:rPr>
                <w:rFonts w:ascii="Arial" w:cs="Arial" w:eastAsia="Arial" w:hAnsi="Arial"/>
                <w:sz w:val="16"/>
                <w:szCs w:val="16"/>
                <w:color w:val="auto"/>
              </w:rPr>
              <w:t>Commitment to Board refreshment: three new directors appointed in</w:t>
            </w:r>
          </w:p>
        </w:tc>
      </w:tr>
      <w:tr>
        <w:trPr>
          <w:trHeight w:val="189"/>
        </w:trPr>
        <w:tc>
          <w:tcPr>
            <w:tcW w:w="180" w:type="dxa"/>
            <w:vAlign w:val="bottom"/>
          </w:tcPr>
          <w:p>
            <w:pPr>
              <w:spacing w:after="0"/>
              <w:rPr>
                <w:sz w:val="16"/>
                <w:szCs w:val="16"/>
                <w:color w:val="auto"/>
              </w:rPr>
            </w:pPr>
          </w:p>
        </w:tc>
        <w:tc>
          <w:tcPr>
            <w:tcW w:w="5240" w:type="dxa"/>
            <w:vAlign w:val="bottom"/>
            <w:tcBorders>
              <w:right w:val="single" w:sz="8" w:color="003595"/>
            </w:tcBorders>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tcPr>
          <w:p>
            <w:pPr>
              <w:ind w:left="60"/>
              <w:spacing w:after="0"/>
              <w:rPr>
                <w:sz w:val="20"/>
                <w:szCs w:val="20"/>
                <w:color w:val="auto"/>
              </w:rPr>
            </w:pPr>
            <w:r>
              <w:rPr>
                <w:rFonts w:ascii="Arial" w:cs="Arial" w:eastAsia="Arial" w:hAnsi="Arial"/>
                <w:sz w:val="16"/>
                <w:szCs w:val="16"/>
                <w:color w:val="auto"/>
              </w:rPr>
              <w:t>last five years, including Mr. Raha who joined the Board on April 30,</w:t>
            </w:r>
          </w:p>
        </w:tc>
      </w:tr>
      <w:tr>
        <w:trPr>
          <w:trHeight w:val="215"/>
        </w:trPr>
        <w:tc>
          <w:tcPr>
            <w:tcW w:w="180" w:type="dxa"/>
            <w:vAlign w:val="bottom"/>
          </w:tcPr>
          <w:p>
            <w:pPr>
              <w:spacing w:after="0"/>
              <w:rPr>
                <w:sz w:val="18"/>
                <w:szCs w:val="18"/>
                <w:color w:val="auto"/>
              </w:rPr>
            </w:pPr>
          </w:p>
        </w:tc>
        <w:tc>
          <w:tcPr>
            <w:tcW w:w="5240" w:type="dxa"/>
            <w:vAlign w:val="bottom"/>
            <w:tcBorders>
              <w:right w:val="single" w:sz="8" w:color="003595"/>
            </w:tcBorders>
          </w:tcPr>
          <w:p>
            <w:pPr>
              <w:spacing w:after="0"/>
              <w:rPr>
                <w:sz w:val="18"/>
                <w:szCs w:val="18"/>
                <w:color w:val="auto"/>
              </w:rPr>
            </w:pPr>
          </w:p>
        </w:tc>
        <w:tc>
          <w:tcPr>
            <w:tcW w:w="400" w:type="dxa"/>
            <w:vAlign w:val="bottom"/>
          </w:tcPr>
          <w:p>
            <w:pPr>
              <w:spacing w:after="0"/>
              <w:rPr>
                <w:sz w:val="18"/>
                <w:szCs w:val="18"/>
                <w:color w:val="auto"/>
              </w:rPr>
            </w:pPr>
          </w:p>
        </w:tc>
        <w:tc>
          <w:tcPr>
            <w:tcW w:w="5000" w:type="dxa"/>
            <w:vAlign w:val="bottom"/>
          </w:tcPr>
          <w:p>
            <w:pPr>
              <w:ind w:left="60"/>
              <w:spacing w:after="0"/>
              <w:rPr>
                <w:sz w:val="20"/>
                <w:szCs w:val="20"/>
                <w:color w:val="auto"/>
              </w:rPr>
            </w:pPr>
            <w:r>
              <w:rPr>
                <w:rFonts w:ascii="Arial" w:cs="Arial" w:eastAsia="Arial" w:hAnsi="Arial"/>
                <w:sz w:val="16"/>
                <w:szCs w:val="16"/>
                <w:color w:val="auto"/>
              </w:rPr>
              <w:t>2025</w:t>
            </w:r>
          </w:p>
        </w:tc>
      </w:tr>
      <w:tr>
        <w:trPr>
          <w:trHeight w:val="231"/>
        </w:trPr>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5240" w:type="dxa"/>
            <w:vAlign w:val="bottom"/>
            <w:tcBorders>
              <w:right w:val="single" w:sz="8" w:color="003595"/>
            </w:tcBorders>
          </w:tcPr>
          <w:p>
            <w:pPr>
              <w:ind w:left="60"/>
              <w:spacing w:after="0"/>
              <w:rPr>
                <w:sz w:val="20"/>
                <w:szCs w:val="20"/>
                <w:color w:val="auto"/>
              </w:rPr>
            </w:pPr>
            <w:r>
              <w:rPr>
                <w:rFonts w:ascii="Arial" w:cs="Arial" w:eastAsia="Arial" w:hAnsi="Arial"/>
                <w:sz w:val="16"/>
                <w:szCs w:val="16"/>
                <w:color w:val="auto"/>
              </w:rPr>
              <w:t>Regular executive sessions of independent directors without</w:t>
            </w:r>
          </w:p>
        </w:tc>
        <w:tc>
          <w:tcPr>
            <w:tcW w:w="400" w:type="dxa"/>
            <w:vAlign w:val="bottom"/>
          </w:tcPr>
          <w:p>
            <w:pPr>
              <w:ind w:left="280"/>
              <w:spacing w:after="0"/>
              <w:rPr>
                <w:sz w:val="20"/>
                <w:szCs w:val="20"/>
                <w:color w:val="auto"/>
              </w:rPr>
            </w:pPr>
            <w:r>
              <w:rPr>
                <w:rFonts w:ascii="Arial" w:cs="Arial" w:eastAsia="Arial" w:hAnsi="Arial"/>
                <w:sz w:val="16"/>
                <w:szCs w:val="16"/>
                <w:color w:val="auto"/>
              </w:rPr>
              <w:t>•</w:t>
            </w:r>
          </w:p>
        </w:tc>
        <w:tc>
          <w:tcPr>
            <w:tcW w:w="5000" w:type="dxa"/>
            <w:vAlign w:val="bottom"/>
          </w:tcPr>
          <w:p>
            <w:pPr>
              <w:ind w:left="40"/>
              <w:spacing w:after="0"/>
              <w:rPr>
                <w:sz w:val="20"/>
                <w:szCs w:val="20"/>
                <w:color w:val="auto"/>
              </w:rPr>
            </w:pPr>
            <w:r>
              <w:rPr>
                <w:rFonts w:ascii="Arial" w:cs="Arial" w:eastAsia="Arial" w:hAnsi="Arial"/>
                <w:sz w:val="16"/>
                <w:szCs w:val="16"/>
                <w:color w:val="auto"/>
              </w:rPr>
              <w:t>Annual Board and committee self-assessments, including one-on-</w:t>
            </w:r>
          </w:p>
        </w:tc>
      </w:tr>
      <w:tr>
        <w:trPr>
          <w:trHeight w:val="215"/>
        </w:trPr>
        <w:tc>
          <w:tcPr>
            <w:tcW w:w="180" w:type="dxa"/>
            <w:vAlign w:val="bottom"/>
          </w:tcPr>
          <w:p>
            <w:pPr>
              <w:spacing w:after="0"/>
              <w:rPr>
                <w:sz w:val="18"/>
                <w:szCs w:val="18"/>
                <w:color w:val="auto"/>
              </w:rPr>
            </w:pPr>
          </w:p>
        </w:tc>
        <w:tc>
          <w:tcPr>
            <w:tcW w:w="5240" w:type="dxa"/>
            <w:vAlign w:val="bottom"/>
            <w:tcBorders>
              <w:right w:val="single" w:sz="8" w:color="003595"/>
            </w:tcBorders>
          </w:tcPr>
          <w:p>
            <w:pPr>
              <w:ind w:left="60"/>
              <w:spacing w:after="0"/>
              <w:rPr>
                <w:sz w:val="20"/>
                <w:szCs w:val="20"/>
                <w:color w:val="auto"/>
              </w:rPr>
            </w:pPr>
            <w:r>
              <w:rPr>
                <w:rFonts w:ascii="Arial" w:cs="Arial" w:eastAsia="Arial" w:hAnsi="Arial"/>
                <w:sz w:val="16"/>
                <w:szCs w:val="16"/>
                <w:color w:val="auto"/>
              </w:rPr>
              <w:t>management at Board and committee meetings</w:t>
            </w:r>
          </w:p>
        </w:tc>
        <w:tc>
          <w:tcPr>
            <w:tcW w:w="400" w:type="dxa"/>
            <w:vAlign w:val="bottom"/>
          </w:tcPr>
          <w:p>
            <w:pPr>
              <w:spacing w:after="0"/>
              <w:rPr>
                <w:sz w:val="18"/>
                <w:szCs w:val="18"/>
                <w:color w:val="auto"/>
              </w:rPr>
            </w:pPr>
          </w:p>
        </w:tc>
        <w:tc>
          <w:tcPr>
            <w:tcW w:w="5000" w:type="dxa"/>
            <w:vAlign w:val="bottom"/>
          </w:tcPr>
          <w:p>
            <w:pPr>
              <w:ind w:left="60"/>
              <w:spacing w:after="0"/>
              <w:rPr>
                <w:sz w:val="20"/>
                <w:szCs w:val="20"/>
                <w:color w:val="auto"/>
              </w:rPr>
            </w:pPr>
            <w:r>
              <w:rPr>
                <w:rFonts w:ascii="Arial" w:cs="Arial" w:eastAsia="Arial" w:hAnsi="Arial"/>
                <w:sz w:val="16"/>
                <w:szCs w:val="16"/>
                <w:color w:val="auto"/>
              </w:rPr>
              <w:t>one interviews led by the Board Chair</w:t>
            </w:r>
          </w:p>
        </w:tc>
      </w:tr>
      <w:tr>
        <w:trPr>
          <w:trHeight w:val="258"/>
        </w:trPr>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5240" w:type="dxa"/>
            <w:vAlign w:val="bottom"/>
            <w:tcBorders>
              <w:right w:val="single" w:sz="8" w:color="003595"/>
            </w:tcBorders>
          </w:tcPr>
          <w:p>
            <w:pPr>
              <w:ind w:left="60"/>
              <w:spacing w:after="0"/>
              <w:rPr>
                <w:sz w:val="20"/>
                <w:szCs w:val="20"/>
                <w:color w:val="auto"/>
              </w:rPr>
            </w:pPr>
            <w:r>
              <w:rPr>
                <w:rFonts w:ascii="Arial" w:cs="Arial" w:eastAsia="Arial" w:hAnsi="Arial"/>
                <w:sz w:val="16"/>
                <w:szCs w:val="16"/>
                <w:color w:val="auto"/>
              </w:rPr>
              <w:t>Board committees include only independent directors</w:t>
            </w:r>
          </w:p>
        </w:tc>
        <w:tc>
          <w:tcPr>
            <w:tcW w:w="400" w:type="dxa"/>
            <w:vAlign w:val="bottom"/>
          </w:tcPr>
          <w:p>
            <w:pPr>
              <w:ind w:left="280"/>
              <w:spacing w:after="0"/>
              <w:rPr>
                <w:sz w:val="20"/>
                <w:szCs w:val="20"/>
                <w:color w:val="auto"/>
              </w:rPr>
            </w:pPr>
            <w:r>
              <w:rPr>
                <w:rFonts w:ascii="Arial" w:cs="Arial" w:eastAsia="Arial" w:hAnsi="Arial"/>
                <w:sz w:val="16"/>
                <w:szCs w:val="16"/>
                <w:color w:val="auto"/>
              </w:rPr>
              <w:t>•</w:t>
            </w:r>
          </w:p>
        </w:tc>
        <w:tc>
          <w:tcPr>
            <w:tcW w:w="5000" w:type="dxa"/>
            <w:vAlign w:val="bottom"/>
          </w:tcPr>
          <w:p>
            <w:pPr>
              <w:ind w:left="40"/>
              <w:spacing w:after="0"/>
              <w:rPr>
                <w:sz w:val="20"/>
                <w:szCs w:val="20"/>
                <w:color w:val="auto"/>
              </w:rPr>
            </w:pPr>
            <w:r>
              <w:rPr>
                <w:rFonts w:ascii="Arial" w:cs="Arial" w:eastAsia="Arial" w:hAnsi="Arial"/>
                <w:sz w:val="16"/>
                <w:szCs w:val="16"/>
                <w:color w:val="auto"/>
              </w:rPr>
              <w:t>NGC regularly assesses the effectiveness of each director</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 xml:space="preserve">Executive Compensation Highlights </w:t>
      </w:r>
      <w:r>
        <w:rPr>
          <w:rFonts w:ascii="Arial" w:cs="Arial" w:eastAsia="Arial" w:hAnsi="Arial"/>
          <w:sz w:val="20"/>
          <w:szCs w:val="20"/>
          <w:color w:val="000000"/>
        </w:rPr>
        <w:t>(page</w:t>
      </w:r>
      <w:r>
        <w:rPr>
          <w:rFonts w:ascii="Arial" w:cs="Arial" w:eastAsia="Arial" w:hAnsi="Arial"/>
          <w:sz w:val="20"/>
          <w:szCs w:val="20"/>
          <w:b w:val="1"/>
          <w:bCs w:val="1"/>
          <w:color w:val="003595"/>
        </w:rPr>
        <w:t xml:space="preserve"> </w:t>
      </w:r>
      <w:r>
        <w:rPr>
          <w:rFonts w:ascii="Arial" w:cs="Arial" w:eastAsia="Arial" w:hAnsi="Arial"/>
          <w:sz w:val="20"/>
          <w:szCs w:val="20"/>
          <w:u w:val="single" w:color="auto"/>
          <w:color w:val="0000FF"/>
        </w:rPr>
        <w:t>30</w:t>
      </w:r>
      <w:r>
        <w:rPr>
          <w:rFonts w:ascii="Arial" w:cs="Arial" w:eastAsia="Arial" w:hAnsi="Arial"/>
          <w:sz w:val="20"/>
          <w:szCs w:val="20"/>
          <w:color w:val="000000"/>
        </w:rPr>
        <w:t>)</w:t>
      </w:r>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compensation programs are designed to attract and retain executive talent, motivate our executive officers through pay-for-performance metrics to enhance our growth and profitability and increase long-term stockholder value. Our 2025 executive compensation program emphasizes long-term value creation, as the vast majority of compensation is tied to stock price performance or contingent on achieving rigorous performance targets. Our incentive programs incorporate performance metrics such as revenue, adjusted operating income, adjusted EPS, and relative total stockholder return. To ensure that the interests of our executive officers are aligned with those of stockholders and the execution of our long-term strategic growth plan, our executive compensation program provides a strong commitment to performance-based equity compensation. Additionally, our compensation framework ensures that annual bonus payments are formula-driven and based on pre-determined objective measures of financial performance and individual strategic goals. Listed below are additional details and highlights of our 2025 executive compensation policies and practices.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
        </w:trPr>
        <w:tc>
          <w:tcPr>
            <w:tcW w:w="3880" w:type="dxa"/>
            <w:vAlign w:val="bottom"/>
            <w:tcBorders>
              <w:right w:val="single" w:sz="8" w:color="003595"/>
            </w:tcBorders>
            <w:vMerge w:val="restart"/>
            <w:shd w:val="clear" w:color="auto" w:fill="003595"/>
          </w:tcPr>
          <w:p>
            <w:pPr>
              <w:ind w:left="360"/>
              <w:spacing w:after="0"/>
              <w:rPr>
                <w:sz w:val="20"/>
                <w:szCs w:val="20"/>
                <w:color w:val="auto"/>
              </w:rPr>
            </w:pPr>
            <w:r>
              <w:rPr>
                <w:rFonts w:ascii="Arial" w:cs="Arial" w:eastAsia="Arial" w:hAnsi="Arial"/>
                <w:sz w:val="16"/>
                <w:szCs w:val="16"/>
                <w:b w:val="1"/>
                <w:bCs w:val="1"/>
                <w:color w:val="FFFFFF"/>
              </w:rPr>
              <w:t>2025 Executive Compensation Highlights</w:t>
            </w:r>
          </w:p>
        </w:tc>
        <w:tc>
          <w:tcPr>
            <w:tcW w:w="7220" w:type="dxa"/>
            <w:vAlign w:val="bottom"/>
            <w:vMerge w:val="restart"/>
            <w:shd w:val="clear" w:color="auto" w:fill="003595"/>
          </w:tcPr>
          <w:p>
            <w:pPr>
              <w:ind w:left="3160"/>
              <w:spacing w:after="0"/>
              <w:rPr>
                <w:sz w:val="20"/>
                <w:szCs w:val="20"/>
                <w:color w:val="auto"/>
              </w:rPr>
            </w:pPr>
            <w:r>
              <w:rPr>
                <w:rFonts w:ascii="Arial" w:cs="Arial" w:eastAsia="Arial" w:hAnsi="Arial"/>
                <w:sz w:val="16"/>
                <w:szCs w:val="16"/>
                <w:b w:val="1"/>
                <w:bCs w:val="1"/>
                <w:color w:val="FFFFFF"/>
              </w:rPr>
              <w:t>Description</w:t>
            </w:r>
          </w:p>
        </w:tc>
        <w:tc>
          <w:tcPr>
            <w:tcW w:w="0" w:type="dxa"/>
            <w:vAlign w:val="bottom"/>
          </w:tcPr>
          <w:p>
            <w:pPr>
              <w:spacing w:after="0" w:line="20" w:lineRule="exact"/>
              <w:rPr>
                <w:sz w:val="1"/>
                <w:szCs w:val="1"/>
                <w:color w:val="auto"/>
              </w:rPr>
            </w:pPr>
          </w:p>
        </w:tc>
      </w:tr>
      <w:tr>
        <w:trPr>
          <w:trHeight w:val="256"/>
        </w:trPr>
        <w:tc>
          <w:tcPr>
            <w:tcW w:w="3880" w:type="dxa"/>
            <w:vAlign w:val="bottom"/>
            <w:tcBorders>
              <w:right w:val="single" w:sz="8" w:color="003595"/>
            </w:tcBorders>
            <w:vMerge w:val="continue"/>
            <w:shd w:val="clear" w:color="auto" w:fill="003595"/>
          </w:tcPr>
          <w:p>
            <w:pPr>
              <w:spacing w:after="0"/>
              <w:rPr>
                <w:sz w:val="22"/>
                <w:szCs w:val="22"/>
                <w:color w:val="auto"/>
              </w:rPr>
            </w:pPr>
          </w:p>
        </w:tc>
        <w:tc>
          <w:tcPr>
            <w:tcW w:w="7220" w:type="dxa"/>
            <w:vAlign w:val="bottom"/>
            <w:vMerge w:val="continue"/>
            <w:shd w:val="clear" w:color="auto" w:fill="003595"/>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880" w:type="dxa"/>
            <w:vAlign w:val="bottom"/>
            <w:tcBorders>
              <w:bottom w:val="single" w:sz="8" w:color="003595"/>
              <w:right w:val="single" w:sz="8" w:color="003595"/>
            </w:tcBorders>
            <w:shd w:val="clear" w:color="auto" w:fill="003595"/>
          </w:tcPr>
          <w:p>
            <w:pPr>
              <w:spacing w:after="0" w:line="20" w:lineRule="exact"/>
              <w:rPr>
                <w:sz w:val="1"/>
                <w:szCs w:val="1"/>
                <w:color w:val="auto"/>
              </w:rPr>
            </w:pPr>
          </w:p>
        </w:tc>
        <w:tc>
          <w:tcPr>
            <w:tcW w:w="7220" w:type="dxa"/>
            <w:vAlign w:val="bottom"/>
            <w:tcBorders>
              <w:bottom w:val="single" w:sz="8" w:color="003595"/>
            </w:tcBorders>
            <w:shd w:val="clear" w:color="auto" w:fill="00359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880" w:type="dxa"/>
            <w:vAlign w:val="bottom"/>
            <w:tcBorders>
              <w:right w:val="single" w:sz="8" w:color="003595"/>
            </w:tcBorders>
          </w:tcPr>
          <w:p>
            <w:pPr>
              <w:ind w:left="160"/>
              <w:spacing w:after="0" w:line="182" w:lineRule="exact"/>
              <w:rPr>
                <w:sz w:val="20"/>
                <w:szCs w:val="20"/>
                <w:color w:val="auto"/>
              </w:rPr>
            </w:pPr>
            <w:r>
              <w:rPr>
                <w:rFonts w:ascii="Arial" w:cs="Arial" w:eastAsia="Arial" w:hAnsi="Arial"/>
                <w:sz w:val="16"/>
                <w:szCs w:val="16"/>
                <w:color w:val="auto"/>
              </w:rPr>
              <w:t>Our 2025 executive compensation program</w:t>
            </w:r>
          </w:p>
        </w:tc>
        <w:tc>
          <w:tcPr>
            <w:tcW w:w="7220" w:type="dxa"/>
            <w:vAlign w:val="bottom"/>
          </w:tcPr>
          <w:p>
            <w:pPr>
              <w:ind w:left="260"/>
              <w:spacing w:after="0" w:line="182" w:lineRule="exact"/>
              <w:rPr>
                <w:sz w:val="20"/>
                <w:szCs w:val="20"/>
                <w:color w:val="auto"/>
              </w:rPr>
            </w:pPr>
            <w:r>
              <w:rPr>
                <w:rFonts w:ascii="Arial" w:cs="Arial" w:eastAsia="Arial" w:hAnsi="Arial"/>
                <w:sz w:val="16"/>
                <w:szCs w:val="16"/>
                <w:color w:val="auto"/>
              </w:rPr>
              <w:t>Approximately 81.8% of our CEO's 2025 target compensation and approximately 74.4% of our</w:t>
            </w:r>
          </w:p>
        </w:tc>
        <w:tc>
          <w:tcPr>
            <w:tcW w:w="0" w:type="dxa"/>
            <w:vAlign w:val="bottom"/>
          </w:tcPr>
          <w:p>
            <w:pPr>
              <w:spacing w:after="0"/>
              <w:rPr>
                <w:sz w:val="1"/>
                <w:szCs w:val="1"/>
                <w:color w:val="auto"/>
              </w:rPr>
            </w:pPr>
          </w:p>
        </w:tc>
      </w:tr>
      <w:tr>
        <w:trPr>
          <w:trHeight w:val="189"/>
        </w:trPr>
        <w:tc>
          <w:tcPr>
            <w:tcW w:w="388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continues to support long-term value creation</w:t>
            </w:r>
          </w:p>
        </w:tc>
        <w:tc>
          <w:tcPr>
            <w:tcW w:w="7220" w:type="dxa"/>
            <w:vAlign w:val="bottom"/>
          </w:tcPr>
          <w:p>
            <w:pPr>
              <w:ind w:left="260"/>
              <w:spacing w:after="0"/>
              <w:rPr>
                <w:sz w:val="20"/>
                <w:szCs w:val="20"/>
                <w:color w:val="auto"/>
              </w:rPr>
            </w:pPr>
            <w:r>
              <w:rPr>
                <w:rFonts w:ascii="Arial" w:cs="Arial" w:eastAsia="Arial" w:hAnsi="Arial"/>
                <w:sz w:val="16"/>
                <w:szCs w:val="16"/>
                <w:color w:val="auto"/>
              </w:rPr>
              <w:t>other NEO's aggregate 2025 target compensation is variable and at risk, tied to our stock price</w:t>
            </w:r>
          </w:p>
        </w:tc>
        <w:tc>
          <w:tcPr>
            <w:tcW w:w="0" w:type="dxa"/>
            <w:vAlign w:val="bottom"/>
          </w:tcPr>
          <w:p>
            <w:pPr>
              <w:spacing w:after="0"/>
              <w:rPr>
                <w:sz w:val="1"/>
                <w:szCs w:val="1"/>
                <w:color w:val="auto"/>
              </w:rPr>
            </w:pPr>
          </w:p>
        </w:tc>
      </w:tr>
      <w:tr>
        <w:trPr>
          <w:trHeight w:val="224"/>
        </w:trPr>
        <w:tc>
          <w:tcPr>
            <w:tcW w:w="3880" w:type="dxa"/>
            <w:vAlign w:val="bottom"/>
            <w:tcBorders>
              <w:bottom w:val="single" w:sz="8" w:color="003595"/>
              <w:right w:val="single" w:sz="8" w:color="003595"/>
            </w:tcBorders>
          </w:tcPr>
          <w:p>
            <w:pPr>
              <w:spacing w:after="0"/>
              <w:rPr>
                <w:sz w:val="19"/>
                <w:szCs w:val="19"/>
                <w:color w:val="auto"/>
              </w:rPr>
            </w:pPr>
          </w:p>
        </w:tc>
        <w:tc>
          <w:tcPr>
            <w:tcW w:w="7220" w:type="dxa"/>
            <w:vAlign w:val="bottom"/>
            <w:tcBorders>
              <w:bottom w:val="single" w:sz="8" w:color="003595"/>
            </w:tcBorders>
          </w:tcPr>
          <w:p>
            <w:pPr>
              <w:ind w:left="260"/>
              <w:spacing w:after="0"/>
              <w:rPr>
                <w:sz w:val="20"/>
                <w:szCs w:val="20"/>
                <w:color w:val="auto"/>
              </w:rPr>
            </w:pPr>
            <w:r>
              <w:rPr>
                <w:rFonts w:ascii="Arial" w:cs="Arial" w:eastAsia="Arial" w:hAnsi="Arial"/>
                <w:sz w:val="16"/>
                <w:szCs w:val="16"/>
                <w:color w:val="auto"/>
              </w:rPr>
              <w:t>performance, or subject to achievement of rigorous performance targets</w:t>
            </w:r>
          </w:p>
        </w:tc>
        <w:tc>
          <w:tcPr>
            <w:tcW w:w="0" w:type="dxa"/>
            <w:vAlign w:val="bottom"/>
          </w:tcPr>
          <w:p>
            <w:pPr>
              <w:spacing w:after="0"/>
              <w:rPr>
                <w:sz w:val="1"/>
                <w:szCs w:val="1"/>
                <w:color w:val="auto"/>
              </w:rPr>
            </w:pPr>
          </w:p>
        </w:tc>
      </w:tr>
      <w:tr>
        <w:trPr>
          <w:trHeight w:val="188"/>
        </w:trPr>
        <w:tc>
          <w:tcPr>
            <w:tcW w:w="388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Continued commitment to performance-based</w:t>
            </w:r>
          </w:p>
        </w:tc>
        <w:tc>
          <w:tcPr>
            <w:tcW w:w="7220" w:type="dxa"/>
            <w:vAlign w:val="bottom"/>
          </w:tcPr>
          <w:p>
            <w:pPr>
              <w:ind w:left="260"/>
              <w:spacing w:after="0"/>
              <w:rPr>
                <w:sz w:val="20"/>
                <w:szCs w:val="20"/>
                <w:color w:val="auto"/>
              </w:rPr>
            </w:pPr>
            <w:r>
              <w:rPr>
                <w:rFonts w:ascii="Arial" w:cs="Arial" w:eastAsia="Arial" w:hAnsi="Arial"/>
                <w:sz w:val="16"/>
                <w:szCs w:val="16"/>
                <w:color w:val="auto"/>
              </w:rPr>
              <w:t>The CHCC maintained its practice of granting 50% of executive officer's equity in the form of</w:t>
            </w:r>
          </w:p>
        </w:tc>
        <w:tc>
          <w:tcPr>
            <w:tcW w:w="0" w:type="dxa"/>
            <w:vAlign w:val="bottom"/>
          </w:tcPr>
          <w:p>
            <w:pPr>
              <w:spacing w:after="0"/>
              <w:rPr>
                <w:sz w:val="1"/>
                <w:szCs w:val="1"/>
                <w:color w:val="auto"/>
              </w:rPr>
            </w:pPr>
          </w:p>
        </w:tc>
      </w:tr>
      <w:tr>
        <w:trPr>
          <w:trHeight w:val="189"/>
        </w:trPr>
        <w:tc>
          <w:tcPr>
            <w:tcW w:w="388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equity compensation</w:t>
            </w:r>
          </w:p>
        </w:tc>
        <w:tc>
          <w:tcPr>
            <w:tcW w:w="7220" w:type="dxa"/>
            <w:vAlign w:val="bottom"/>
          </w:tcPr>
          <w:p>
            <w:pPr>
              <w:ind w:left="260"/>
              <w:spacing w:after="0"/>
              <w:rPr>
                <w:sz w:val="20"/>
                <w:szCs w:val="20"/>
                <w:color w:val="auto"/>
              </w:rPr>
            </w:pPr>
            <w:r>
              <w:rPr>
                <w:rFonts w:ascii="Arial" w:cs="Arial" w:eastAsia="Arial" w:hAnsi="Arial"/>
                <w:sz w:val="16"/>
                <w:szCs w:val="16"/>
                <w:color w:val="auto"/>
              </w:rPr>
              <w:t>PSUs that are subject to objective performance metrics, aligning executive compensation with</w:t>
            </w:r>
          </w:p>
        </w:tc>
        <w:tc>
          <w:tcPr>
            <w:tcW w:w="0" w:type="dxa"/>
            <w:vAlign w:val="bottom"/>
          </w:tcPr>
          <w:p>
            <w:pPr>
              <w:spacing w:after="0"/>
              <w:rPr>
                <w:sz w:val="1"/>
                <w:szCs w:val="1"/>
                <w:color w:val="auto"/>
              </w:rPr>
            </w:pPr>
          </w:p>
        </w:tc>
      </w:tr>
      <w:tr>
        <w:trPr>
          <w:trHeight w:val="224"/>
        </w:trPr>
        <w:tc>
          <w:tcPr>
            <w:tcW w:w="3880" w:type="dxa"/>
            <w:vAlign w:val="bottom"/>
            <w:tcBorders>
              <w:bottom w:val="single" w:sz="8" w:color="003595"/>
              <w:right w:val="single" w:sz="8" w:color="003595"/>
            </w:tcBorders>
          </w:tcPr>
          <w:p>
            <w:pPr>
              <w:spacing w:after="0"/>
              <w:rPr>
                <w:sz w:val="19"/>
                <w:szCs w:val="19"/>
                <w:color w:val="auto"/>
              </w:rPr>
            </w:pPr>
          </w:p>
        </w:tc>
        <w:tc>
          <w:tcPr>
            <w:tcW w:w="7220" w:type="dxa"/>
            <w:vAlign w:val="bottom"/>
            <w:tcBorders>
              <w:bottom w:val="single" w:sz="8" w:color="003595"/>
            </w:tcBorders>
          </w:tcPr>
          <w:p>
            <w:pPr>
              <w:ind w:left="260"/>
              <w:spacing w:after="0"/>
              <w:rPr>
                <w:sz w:val="20"/>
                <w:szCs w:val="20"/>
                <w:color w:val="auto"/>
              </w:rPr>
            </w:pPr>
            <w:r>
              <w:rPr>
                <w:rFonts w:ascii="Arial" w:cs="Arial" w:eastAsia="Arial" w:hAnsi="Arial"/>
                <w:sz w:val="16"/>
                <w:szCs w:val="16"/>
                <w:color w:val="auto"/>
              </w:rPr>
              <w:t>long-term performance</w:t>
            </w:r>
          </w:p>
        </w:tc>
        <w:tc>
          <w:tcPr>
            <w:tcW w:w="0" w:type="dxa"/>
            <w:vAlign w:val="bottom"/>
          </w:tcPr>
          <w:p>
            <w:pPr>
              <w:spacing w:after="0"/>
              <w:rPr>
                <w:sz w:val="1"/>
                <w:szCs w:val="1"/>
                <w:color w:val="auto"/>
              </w:rPr>
            </w:pPr>
          </w:p>
        </w:tc>
      </w:tr>
      <w:tr>
        <w:trPr>
          <w:trHeight w:val="188"/>
        </w:trPr>
        <w:tc>
          <w:tcPr>
            <w:tcW w:w="388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Continued formula-driven calculation for annual</w:t>
            </w:r>
          </w:p>
        </w:tc>
        <w:tc>
          <w:tcPr>
            <w:tcW w:w="7220" w:type="dxa"/>
            <w:vAlign w:val="bottom"/>
          </w:tcPr>
          <w:p>
            <w:pPr>
              <w:ind w:left="260"/>
              <w:spacing w:after="0"/>
              <w:rPr>
                <w:sz w:val="20"/>
                <w:szCs w:val="20"/>
                <w:color w:val="auto"/>
              </w:rPr>
            </w:pPr>
            <w:r>
              <w:rPr>
                <w:rFonts w:ascii="Arial" w:cs="Arial" w:eastAsia="Arial" w:hAnsi="Arial"/>
                <w:sz w:val="16"/>
                <w:szCs w:val="16"/>
                <w:color w:val="auto"/>
              </w:rPr>
              <w:t>The CHCC continued to rely solely on pre-determined objective measures to assess financial</w:t>
            </w:r>
          </w:p>
        </w:tc>
        <w:tc>
          <w:tcPr>
            <w:tcW w:w="0" w:type="dxa"/>
            <w:vAlign w:val="bottom"/>
          </w:tcPr>
          <w:p>
            <w:pPr>
              <w:spacing w:after="0"/>
              <w:rPr>
                <w:sz w:val="1"/>
                <w:szCs w:val="1"/>
                <w:color w:val="auto"/>
              </w:rPr>
            </w:pPr>
          </w:p>
        </w:tc>
      </w:tr>
      <w:tr>
        <w:trPr>
          <w:trHeight w:val="215"/>
        </w:trPr>
        <w:tc>
          <w:tcPr>
            <w:tcW w:w="388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bonus payments</w:t>
            </w:r>
          </w:p>
        </w:tc>
        <w:tc>
          <w:tcPr>
            <w:tcW w:w="7220" w:type="dxa"/>
            <w:vAlign w:val="bottom"/>
          </w:tcPr>
          <w:p>
            <w:pPr>
              <w:ind w:left="260"/>
              <w:spacing w:after="0"/>
              <w:rPr>
                <w:sz w:val="20"/>
                <w:szCs w:val="20"/>
                <w:color w:val="auto"/>
              </w:rPr>
            </w:pPr>
            <w:r>
              <w:rPr>
                <w:rFonts w:ascii="Arial" w:cs="Arial" w:eastAsia="Arial" w:hAnsi="Arial"/>
                <w:sz w:val="16"/>
                <w:szCs w:val="16"/>
                <w:color w:val="auto"/>
              </w:rPr>
              <w:t>performance for cash bonus payments for 2025</w:t>
            </w:r>
          </w:p>
        </w:tc>
        <w:tc>
          <w:tcPr>
            <w:tcW w:w="0" w:type="dxa"/>
            <w:vAlign w:val="bottom"/>
          </w:tcPr>
          <w:p>
            <w:pPr>
              <w:spacing w:after="0"/>
              <w:rPr>
                <w:sz w:val="1"/>
                <w:szCs w:val="1"/>
                <w:color w:val="auto"/>
              </w:rPr>
            </w:pPr>
          </w:p>
        </w:tc>
      </w:tr>
      <w:tr>
        <w:trPr>
          <w:trHeight w:val="29"/>
        </w:trPr>
        <w:tc>
          <w:tcPr>
            <w:tcW w:w="3880" w:type="dxa"/>
            <w:vAlign w:val="bottom"/>
            <w:tcBorders>
              <w:bottom w:val="single" w:sz="8" w:color="003595"/>
              <w:right w:val="single" w:sz="8" w:color="003595"/>
            </w:tcBorders>
          </w:tcPr>
          <w:p>
            <w:pPr>
              <w:spacing w:after="0"/>
              <w:rPr>
                <w:sz w:val="2"/>
                <w:szCs w:val="2"/>
                <w:color w:val="auto"/>
              </w:rPr>
            </w:pPr>
          </w:p>
        </w:tc>
        <w:tc>
          <w:tcPr>
            <w:tcW w:w="72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880" w:type="dxa"/>
            <w:vAlign w:val="bottom"/>
            <w:tcBorders>
              <w:right w:val="single" w:sz="8" w:color="003595"/>
            </w:tcBorders>
          </w:tcPr>
          <w:p>
            <w:pPr>
              <w:ind w:left="160"/>
              <w:spacing w:after="0" w:line="182" w:lineRule="exact"/>
              <w:rPr>
                <w:sz w:val="20"/>
                <w:szCs w:val="20"/>
                <w:color w:val="auto"/>
              </w:rPr>
            </w:pPr>
            <w:r>
              <w:rPr>
                <w:rFonts w:ascii="Arial" w:cs="Arial" w:eastAsia="Arial" w:hAnsi="Arial"/>
                <w:sz w:val="16"/>
                <w:szCs w:val="16"/>
                <w:color w:val="auto"/>
              </w:rPr>
              <w:t>Incentive payouts aligned with revenue and</w:t>
            </w:r>
          </w:p>
        </w:tc>
        <w:tc>
          <w:tcPr>
            <w:tcW w:w="7220" w:type="dxa"/>
            <w:vAlign w:val="bottom"/>
          </w:tcPr>
          <w:p>
            <w:pPr>
              <w:ind w:left="260"/>
              <w:spacing w:after="0" w:line="182" w:lineRule="exact"/>
              <w:rPr>
                <w:sz w:val="20"/>
                <w:szCs w:val="20"/>
                <w:color w:val="auto"/>
              </w:rPr>
            </w:pPr>
            <w:r>
              <w:rPr>
                <w:rFonts w:ascii="Arial" w:cs="Arial" w:eastAsia="Arial" w:hAnsi="Arial"/>
                <w:sz w:val="16"/>
                <w:szCs w:val="16"/>
                <w:color w:val="auto"/>
              </w:rPr>
              <w:t>Our 2025 short-term incentive plan paid out 59% and 106% of target for our revenue and</w:t>
            </w:r>
          </w:p>
        </w:tc>
        <w:tc>
          <w:tcPr>
            <w:tcW w:w="0" w:type="dxa"/>
            <w:vAlign w:val="bottom"/>
          </w:tcPr>
          <w:p>
            <w:pPr>
              <w:spacing w:after="0"/>
              <w:rPr>
                <w:sz w:val="1"/>
                <w:szCs w:val="1"/>
                <w:color w:val="auto"/>
              </w:rPr>
            </w:pPr>
          </w:p>
        </w:tc>
      </w:tr>
      <w:tr>
        <w:trPr>
          <w:trHeight w:val="215"/>
        </w:trPr>
        <w:tc>
          <w:tcPr>
            <w:tcW w:w="388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adjusted operating income performance</w:t>
            </w:r>
          </w:p>
        </w:tc>
        <w:tc>
          <w:tcPr>
            <w:tcW w:w="7220" w:type="dxa"/>
            <w:vAlign w:val="bottom"/>
          </w:tcPr>
          <w:p>
            <w:pPr>
              <w:ind w:left="260"/>
              <w:spacing w:after="0"/>
              <w:rPr>
                <w:sz w:val="20"/>
                <w:szCs w:val="20"/>
                <w:color w:val="auto"/>
              </w:rPr>
            </w:pPr>
            <w:r>
              <w:rPr>
                <w:rFonts w:ascii="Arial" w:cs="Arial" w:eastAsia="Arial" w:hAnsi="Arial"/>
                <w:sz w:val="16"/>
                <w:szCs w:val="16"/>
                <w:color w:val="auto"/>
              </w:rPr>
              <w:t>adjusted operating income metrics, respectively, reflecting our financial results for 2025</w:t>
            </w:r>
          </w:p>
        </w:tc>
        <w:tc>
          <w:tcPr>
            <w:tcW w:w="0" w:type="dxa"/>
            <w:vAlign w:val="bottom"/>
          </w:tcPr>
          <w:p>
            <w:pPr>
              <w:spacing w:after="0"/>
              <w:rPr>
                <w:sz w:val="1"/>
                <w:szCs w:val="1"/>
                <w:color w:val="auto"/>
              </w:rPr>
            </w:pPr>
          </w:p>
        </w:tc>
      </w:tr>
      <w:tr>
        <w:trPr>
          <w:trHeight w:val="29"/>
        </w:trPr>
        <w:tc>
          <w:tcPr>
            <w:tcW w:w="3880" w:type="dxa"/>
            <w:vAlign w:val="bottom"/>
            <w:tcBorders>
              <w:bottom w:val="single" w:sz="8" w:color="003595"/>
              <w:right w:val="single" w:sz="8" w:color="003595"/>
            </w:tcBorders>
          </w:tcPr>
          <w:p>
            <w:pPr>
              <w:spacing w:after="0"/>
              <w:rPr>
                <w:sz w:val="2"/>
                <w:szCs w:val="2"/>
                <w:color w:val="auto"/>
              </w:rPr>
            </w:pPr>
          </w:p>
        </w:tc>
        <w:tc>
          <w:tcPr>
            <w:tcW w:w="72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880" w:type="dxa"/>
            <w:vAlign w:val="bottom"/>
            <w:tcBorders>
              <w:right w:val="single" w:sz="8" w:color="003595"/>
            </w:tcBorders>
          </w:tcPr>
          <w:p>
            <w:pPr>
              <w:ind w:left="160"/>
              <w:spacing w:after="0" w:line="182" w:lineRule="exact"/>
              <w:rPr>
                <w:sz w:val="20"/>
                <w:szCs w:val="20"/>
                <w:color w:val="auto"/>
              </w:rPr>
            </w:pPr>
            <w:r>
              <w:rPr>
                <w:rFonts w:ascii="Arial" w:cs="Arial" w:eastAsia="Arial" w:hAnsi="Arial"/>
                <w:sz w:val="16"/>
                <w:szCs w:val="16"/>
                <w:color w:val="auto"/>
              </w:rPr>
              <w:t>Outperformed employee and customer</w:t>
            </w:r>
          </w:p>
        </w:tc>
        <w:tc>
          <w:tcPr>
            <w:tcW w:w="7220" w:type="dxa"/>
            <w:vAlign w:val="bottom"/>
          </w:tcPr>
          <w:p>
            <w:pPr>
              <w:ind w:left="260"/>
              <w:spacing w:after="0" w:line="182" w:lineRule="exact"/>
              <w:rPr>
                <w:sz w:val="20"/>
                <w:szCs w:val="20"/>
                <w:color w:val="auto"/>
              </w:rPr>
            </w:pPr>
            <w:r>
              <w:rPr>
                <w:rFonts w:ascii="Arial" w:cs="Arial" w:eastAsia="Arial" w:hAnsi="Arial"/>
                <w:sz w:val="16"/>
                <w:szCs w:val="16"/>
                <w:color w:val="auto"/>
              </w:rPr>
              <w:t>Achieved 84th percentile for employee engagement and 72.5th percentile for customer NPS,</w:t>
            </w:r>
          </w:p>
        </w:tc>
        <w:tc>
          <w:tcPr>
            <w:tcW w:w="0" w:type="dxa"/>
            <w:vAlign w:val="bottom"/>
          </w:tcPr>
          <w:p>
            <w:pPr>
              <w:spacing w:after="0"/>
              <w:rPr>
                <w:sz w:val="1"/>
                <w:szCs w:val="1"/>
                <w:color w:val="auto"/>
              </w:rPr>
            </w:pPr>
          </w:p>
        </w:tc>
      </w:tr>
      <w:tr>
        <w:trPr>
          <w:trHeight w:val="215"/>
        </w:trPr>
        <w:tc>
          <w:tcPr>
            <w:tcW w:w="388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engagement targets</w:t>
            </w:r>
          </w:p>
        </w:tc>
        <w:tc>
          <w:tcPr>
            <w:tcW w:w="7220" w:type="dxa"/>
            <w:vAlign w:val="bottom"/>
          </w:tcPr>
          <w:p>
            <w:pPr>
              <w:ind w:left="260"/>
              <w:spacing w:after="0"/>
              <w:rPr>
                <w:sz w:val="20"/>
                <w:szCs w:val="20"/>
                <w:color w:val="auto"/>
              </w:rPr>
            </w:pPr>
            <w:r>
              <w:rPr>
                <w:rFonts w:ascii="Arial" w:cs="Arial" w:eastAsia="Arial" w:hAnsi="Arial"/>
                <w:sz w:val="16"/>
                <w:szCs w:val="16"/>
                <w:color w:val="auto"/>
              </w:rPr>
              <w:t>resulting in an achievement of 125% and 138%, respectively, to target</w:t>
            </w:r>
          </w:p>
        </w:tc>
        <w:tc>
          <w:tcPr>
            <w:tcW w:w="0" w:type="dxa"/>
            <w:vAlign w:val="bottom"/>
          </w:tcPr>
          <w:p>
            <w:pPr>
              <w:spacing w:after="0"/>
              <w:rPr>
                <w:sz w:val="1"/>
                <w:szCs w:val="1"/>
                <w:color w:val="auto"/>
              </w:rPr>
            </w:pPr>
          </w:p>
        </w:tc>
      </w:tr>
      <w:tr>
        <w:trPr>
          <w:trHeight w:val="29"/>
        </w:trPr>
        <w:tc>
          <w:tcPr>
            <w:tcW w:w="3880" w:type="dxa"/>
            <w:vAlign w:val="bottom"/>
            <w:tcBorders>
              <w:bottom w:val="single" w:sz="8" w:color="003595"/>
              <w:right w:val="single" w:sz="8" w:color="003595"/>
            </w:tcBorders>
          </w:tcPr>
          <w:p>
            <w:pPr>
              <w:spacing w:after="0"/>
              <w:rPr>
                <w:sz w:val="2"/>
                <w:szCs w:val="2"/>
                <w:color w:val="auto"/>
              </w:rPr>
            </w:pPr>
          </w:p>
        </w:tc>
        <w:tc>
          <w:tcPr>
            <w:tcW w:w="72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880" w:type="dxa"/>
            <w:vAlign w:val="bottom"/>
            <w:tcBorders>
              <w:right w:val="single" w:sz="8" w:color="003595"/>
            </w:tcBorders>
          </w:tcPr>
          <w:p>
            <w:pPr>
              <w:ind w:left="160"/>
              <w:spacing w:after="0" w:line="182" w:lineRule="exact"/>
              <w:rPr>
                <w:sz w:val="20"/>
                <w:szCs w:val="20"/>
                <w:color w:val="auto"/>
              </w:rPr>
            </w:pPr>
            <w:r>
              <w:rPr>
                <w:rFonts w:ascii="Arial" w:cs="Arial" w:eastAsia="Arial" w:hAnsi="Arial"/>
                <w:sz w:val="16"/>
                <w:szCs w:val="16"/>
                <w:color w:val="auto"/>
              </w:rPr>
              <w:t>Payout of 2023 PSUs reinforces at-risk,</w:t>
            </w:r>
          </w:p>
        </w:tc>
        <w:tc>
          <w:tcPr>
            <w:tcW w:w="7220" w:type="dxa"/>
            <w:vAlign w:val="bottom"/>
          </w:tcPr>
          <w:p>
            <w:pPr>
              <w:ind w:left="260"/>
              <w:spacing w:after="0" w:line="182" w:lineRule="exact"/>
              <w:rPr>
                <w:sz w:val="20"/>
                <w:szCs w:val="20"/>
                <w:color w:val="auto"/>
              </w:rPr>
            </w:pPr>
            <w:r>
              <w:rPr>
                <w:rFonts w:ascii="Arial" w:cs="Arial" w:eastAsia="Arial" w:hAnsi="Arial"/>
                <w:sz w:val="16"/>
                <w:szCs w:val="16"/>
                <w:color w:val="auto"/>
              </w:rPr>
              <w:t>The total achievement percentage for our 2023 PSUs was 83% of target, consisting of revenue</w:t>
            </w:r>
          </w:p>
        </w:tc>
        <w:tc>
          <w:tcPr>
            <w:tcW w:w="0" w:type="dxa"/>
            <w:vAlign w:val="bottom"/>
          </w:tcPr>
          <w:p>
            <w:pPr>
              <w:spacing w:after="0"/>
              <w:rPr>
                <w:sz w:val="1"/>
                <w:szCs w:val="1"/>
                <w:color w:val="auto"/>
              </w:rPr>
            </w:pPr>
          </w:p>
        </w:tc>
      </w:tr>
      <w:tr>
        <w:trPr>
          <w:trHeight w:val="189"/>
        </w:trPr>
        <w:tc>
          <w:tcPr>
            <w:tcW w:w="388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performance based nature of our executive</w:t>
            </w:r>
          </w:p>
        </w:tc>
        <w:tc>
          <w:tcPr>
            <w:tcW w:w="7220" w:type="dxa"/>
            <w:vAlign w:val="bottom"/>
          </w:tcPr>
          <w:p>
            <w:pPr>
              <w:ind w:left="260"/>
              <w:spacing w:after="0"/>
              <w:rPr>
                <w:sz w:val="20"/>
                <w:szCs w:val="20"/>
                <w:color w:val="auto"/>
              </w:rPr>
            </w:pPr>
            <w:r>
              <w:rPr>
                <w:rFonts w:ascii="Arial" w:cs="Arial" w:eastAsia="Arial" w:hAnsi="Arial"/>
                <w:sz w:val="16"/>
                <w:szCs w:val="16"/>
                <w:color w:val="auto"/>
              </w:rPr>
              <w:t>growth (77% of target), adjusted EPS (86% of target), and relative total stockholder return (87%</w:t>
            </w:r>
          </w:p>
        </w:tc>
        <w:tc>
          <w:tcPr>
            <w:tcW w:w="0" w:type="dxa"/>
            <w:vAlign w:val="bottom"/>
          </w:tcPr>
          <w:p>
            <w:pPr>
              <w:spacing w:after="0"/>
              <w:rPr>
                <w:sz w:val="1"/>
                <w:szCs w:val="1"/>
                <w:color w:val="auto"/>
              </w:rPr>
            </w:pPr>
          </w:p>
        </w:tc>
      </w:tr>
      <w:tr>
        <w:trPr>
          <w:trHeight w:val="224"/>
        </w:trPr>
        <w:tc>
          <w:tcPr>
            <w:tcW w:w="3880" w:type="dxa"/>
            <w:vAlign w:val="bottom"/>
            <w:tcBorders>
              <w:bottom w:val="single" w:sz="8" w:color="003595"/>
              <w:right w:val="single" w:sz="8" w:color="003595"/>
            </w:tcBorders>
          </w:tcPr>
          <w:p>
            <w:pPr>
              <w:ind w:left="160"/>
              <w:spacing w:after="0"/>
              <w:rPr>
                <w:sz w:val="20"/>
                <w:szCs w:val="20"/>
                <w:color w:val="auto"/>
              </w:rPr>
            </w:pPr>
            <w:r>
              <w:rPr>
                <w:rFonts w:ascii="Arial" w:cs="Arial" w:eastAsia="Arial" w:hAnsi="Arial"/>
                <w:sz w:val="16"/>
                <w:szCs w:val="16"/>
                <w:color w:val="auto"/>
              </w:rPr>
              <w:t>compensation program</w:t>
            </w:r>
          </w:p>
        </w:tc>
        <w:tc>
          <w:tcPr>
            <w:tcW w:w="7220" w:type="dxa"/>
            <w:vAlign w:val="bottom"/>
            <w:tcBorders>
              <w:bottom w:val="single" w:sz="8" w:color="003595"/>
            </w:tcBorders>
          </w:tcPr>
          <w:p>
            <w:pPr>
              <w:ind w:left="260"/>
              <w:spacing w:after="0"/>
              <w:rPr>
                <w:sz w:val="20"/>
                <w:szCs w:val="20"/>
                <w:color w:val="auto"/>
              </w:rPr>
            </w:pPr>
            <w:r>
              <w:rPr>
                <w:rFonts w:ascii="Arial" w:cs="Arial" w:eastAsia="Arial" w:hAnsi="Arial"/>
                <w:sz w:val="16"/>
                <w:szCs w:val="16"/>
                <w:color w:val="auto"/>
              </w:rPr>
              <w:t>of target)</w:t>
            </w:r>
          </w:p>
        </w:tc>
        <w:tc>
          <w:tcPr>
            <w:tcW w:w="0" w:type="dxa"/>
            <w:vAlign w:val="bottom"/>
          </w:tcPr>
          <w:p>
            <w:pPr>
              <w:spacing w:after="0"/>
              <w:rPr>
                <w:sz w:val="1"/>
                <w:szCs w:val="1"/>
                <w:color w:val="auto"/>
              </w:rPr>
            </w:pPr>
          </w:p>
        </w:tc>
      </w:tr>
      <w:tr>
        <w:trPr>
          <w:trHeight w:val="215"/>
        </w:trPr>
        <w:tc>
          <w:tcPr>
            <w:tcW w:w="388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No modifications to performance metrics</w:t>
            </w:r>
          </w:p>
        </w:tc>
        <w:tc>
          <w:tcPr>
            <w:tcW w:w="7220" w:type="dxa"/>
            <w:vAlign w:val="bottom"/>
          </w:tcPr>
          <w:p>
            <w:pPr>
              <w:ind w:left="260"/>
              <w:spacing w:after="0"/>
              <w:rPr>
                <w:sz w:val="20"/>
                <w:szCs w:val="20"/>
                <w:color w:val="auto"/>
              </w:rPr>
            </w:pPr>
            <w:r>
              <w:rPr>
                <w:rFonts w:ascii="Arial" w:cs="Arial" w:eastAsia="Arial" w:hAnsi="Arial"/>
                <w:sz w:val="16"/>
                <w:szCs w:val="16"/>
                <w:color w:val="auto"/>
              </w:rPr>
              <w:t>The CHCC did not lower or otherwise adjust 2025 performance metrics</w:t>
            </w:r>
          </w:p>
        </w:tc>
        <w:tc>
          <w:tcPr>
            <w:tcW w:w="0" w:type="dxa"/>
            <w:vAlign w:val="bottom"/>
          </w:tcPr>
          <w:p>
            <w:pPr>
              <w:spacing w:after="0"/>
              <w:rPr>
                <w:sz w:val="1"/>
                <w:szCs w:val="1"/>
                <w:color w:val="auto"/>
              </w:rPr>
            </w:pPr>
          </w:p>
        </w:tc>
      </w:tr>
      <w:tr>
        <w:trPr>
          <w:trHeight w:val="28"/>
        </w:trPr>
        <w:tc>
          <w:tcPr>
            <w:tcW w:w="3880" w:type="dxa"/>
            <w:vAlign w:val="bottom"/>
            <w:tcBorders>
              <w:bottom w:val="single" w:sz="8" w:color="003595"/>
              <w:right w:val="single" w:sz="8" w:color="003595"/>
            </w:tcBorders>
          </w:tcPr>
          <w:p>
            <w:pPr>
              <w:spacing w:after="0"/>
              <w:rPr>
                <w:sz w:val="2"/>
                <w:szCs w:val="2"/>
                <w:color w:val="auto"/>
              </w:rPr>
            </w:pPr>
          </w:p>
        </w:tc>
        <w:tc>
          <w:tcPr>
            <w:tcW w:w="72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7245985</wp:posOffset>
            </wp:positionH>
            <wp:positionV relativeFrom="page">
              <wp:posOffset>517525</wp:posOffset>
            </wp:positionV>
            <wp:extent cx="8255"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19748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3595"/>
        </w:rPr>
        <w:t xml:space="preserve">Sustainability and Corporate Responsibility Highlights </w:t>
      </w:r>
      <w:r>
        <w:rPr>
          <w:rFonts w:ascii="Arial" w:cs="Arial" w:eastAsia="Arial" w:hAnsi="Arial"/>
          <w:sz w:val="20"/>
          <w:szCs w:val="20"/>
          <w:color w:val="000000"/>
        </w:rPr>
        <w:t>(page</w:t>
      </w:r>
      <w:r>
        <w:rPr>
          <w:rFonts w:ascii="Arial" w:cs="Arial" w:eastAsia="Arial" w:hAnsi="Arial"/>
          <w:sz w:val="20"/>
          <w:szCs w:val="20"/>
          <w:b w:val="1"/>
          <w:bCs w:val="1"/>
          <w:color w:val="003595"/>
        </w:rPr>
        <w:t xml:space="preserve"> </w:t>
      </w:r>
      <w:r>
        <w:rPr>
          <w:rFonts w:ascii="Arial" w:cs="Arial" w:eastAsia="Arial" w:hAnsi="Arial"/>
          <w:sz w:val="20"/>
          <w:szCs w:val="20"/>
          <w:u w:val="single" w:color="auto"/>
          <w:color w:val="0000FF"/>
        </w:rPr>
        <w:t>28</w:t>
      </w:r>
      <w:r>
        <w:rPr>
          <w:rFonts w:ascii="Arial" w:cs="Arial" w:eastAsia="Arial" w:hAnsi="Arial"/>
          <w:sz w:val="20"/>
          <w:szCs w:val="20"/>
          <w:color w:val="000000"/>
        </w:rPr>
        <w:t>)</w:t>
      </w:r>
    </w:p>
    <w:p>
      <w:pPr>
        <w:spacing w:after="0" w:line="252"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Corporate responsibility is integral to our mission of developing transformative diagnostic tests that improve patients' lives. We believe our programs create value for patients, healthcare professionals, and stockholders while strengthening our communities and empowering employees.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Some of our 2025 corporate responsibility highlights include:</w:t>
      </w:r>
    </w:p>
    <w:p>
      <w:pPr>
        <w:spacing w:after="0" w:line="248" w:lineRule="exact"/>
        <w:rPr>
          <w:sz w:val="20"/>
          <w:szCs w:val="20"/>
          <w:color w:val="auto"/>
        </w:rPr>
      </w:pPr>
    </w:p>
    <w:p>
      <w:pPr>
        <w:ind w:left="660" w:right="320" w:hanging="328"/>
        <w:spacing w:after="0" w:line="27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connection with our Quality, Innovation, and Corporate Responsibility Report, which we published in January 2025, we disclosed our Scope 1 and Scope 2 emissions data. We also began measuring our Scope 3 emissions in 2025, allowing us to better understand and assess indirect emissions within our value chain and identify further opportunities for environmental impact reduction.</w:t>
      </w:r>
    </w:p>
    <w:p>
      <w:pPr>
        <w:spacing w:after="0" w:line="204" w:lineRule="exact"/>
        <w:rPr>
          <w:rFonts w:ascii="Arial" w:cs="Arial" w:eastAsia="Arial" w:hAnsi="Arial"/>
          <w:sz w:val="16"/>
          <w:szCs w:val="16"/>
          <w:color w:val="auto"/>
        </w:rPr>
      </w:pPr>
    </w:p>
    <w:p>
      <w:pPr>
        <w:ind w:left="660" w:right="60" w:hanging="328"/>
        <w:spacing w:after="0" w:line="28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part of our broader sustainability plan, we have established Scope 1, Scope 2, and Scope 3 greenhouse gas reduction targets to guide our long-term efforts to reduce emissions across our operations.</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also recently published a climate risk assessment in accordance with the Task Force on Climate-Related Financial Disclosures.</w:t>
      </w:r>
    </w:p>
    <w:p>
      <w:pPr>
        <w:spacing w:after="0" w:line="2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Myriad Green Team engages employees in environmental initiatives that benefit local communities. We continue to recycle plastics in our laboratory facilities, including 36 tons of plastic during 2025.</w:t>
      </w:r>
    </w:p>
    <w:p>
      <w:pPr>
        <w:spacing w:after="0" w:line="196"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2025, 84% of our employees rated us as a Great Place to Work®. Myriad was also identified as one of America's Best Employers in 2025 from Forbes. Our global voluntary employee turnover rate in 2025 was 10%.</w:t>
      </w:r>
    </w:p>
    <w:p>
      <w:pPr>
        <w:spacing w:after="0" w:line="18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December 31, 2025, women made up 65% of our workforce, 35% of leadership roles (vice president and above), and 33% of our Board members, including the Board Chair. We currently have eight employee-led resource groups (ERGs) that represent and support diverse communities in our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003595"/>
        </w:rPr>
        <w:t>MYRIAD GENETICS,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595"/>
        </w:rPr>
        <w:t>322 North 2200 West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595"/>
        </w:rPr>
        <w:t>SALT LAKE CITY, UTAH 84116</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595"/>
        </w:rPr>
        <w:t>(801) 584-3600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69005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595"/>
        </w:rPr>
        <w:t>Proxy Statement For the Myriad Genetics,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3595"/>
        </w:rPr>
        <w:t>2026 Annual Meeting of Stockholders to be held on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9005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3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proxy statement, along with the accompanying Notice of 2026 Annual Meeting of Stockholders, contains information about the 2026 Annual Meeting of Stockholders of Myriad Genetics, Inc., including any adjournments or postponements of the annual meeting, which we refer to as the Annual Meeting. To attend the Annual Meeting please visit the following URL: www.virtualshareholdermeeting.com/MYGN2026. In this proxy statement, we refer to Myriad Genetics, Inc. as ‘‘Myriad,’’ "Myriad Genetics," ‘‘the Company,’’ ‘‘we’’ and ‘‘us.’’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proxy statement relates to the solicitation of proxies by our Board for use at the Annual Meeting. On or about April 14, 2026, we began sending the Notice of Internet Availability of Proxy Materials, which we refer to throughout this proxy statement as the Notice, to all stockholders entitled to vote at the Annual Meeting.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595"/>
        </w:rPr>
        <w:t>Important Information About the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595"/>
        </w:rPr>
        <w:t>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9005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Why is the Company Soliciting My Proxy?</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Board of Myriad Genetics, Inc. is soliciting your proxy to vote at the Annual Meeting to be held via webcast on Thursday, June 4, 2026, at 8:00 a.m. MDT and any adjournments or postponements of the Annual Meeting. The proxy statement, along with the accompanying Notice, summarizes the purposes of the Annual Meeting and the information you need to know to vote at the meeting.</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sent you the Notice and made this proxy statement and our annual report on Form 10-K for the year ended December 31, 2025 available to you on the Internet because you owned shares of our common stock on the record date of April 8, 2026. We have also delivered printed versions of these materials to certain stockholders by mail. We commenced distribution of the Notice and the proxy materials to stockholders on or about April 14, 2026.</w:t>
      </w:r>
    </w:p>
    <w:p>
      <w:pPr>
        <w:spacing w:after="0" w:line="202"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b w:val="1"/>
          <w:bCs w:val="1"/>
          <w:color w:val="003595"/>
        </w:rPr>
        <w:t>Why Did I Receive a Notice in the Mail Regarding the Internet Availability of Proxy Materials Instead of a Full Set of Proxy Materials?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permitted by the rules of the U.S. Securities and Exchange Commission (the "SEC"), we may furnish our proxy materials to our stockholders by providing access to such documents on the Internet, rather than mailing printed copies of these materials to each of our stockholders. Most stockholders will not receive printed copies of the proxy materials unless they request them. We believe that this process should expedite stockholders’ receipt of proxy materials, lower the costs of the Annual Meeting and help to conserve natural resources. If you received a Notice by mail or electronically, you will not receive a printed or email copy of the proxy materials, unless you request one by following the instructions included in the Notice. Instead, the Notice will provide instructions on how you may access and review all of the proxy materials and submit your proxy on the Internet or by telephone. If you requested a paper copy of the proxy materials, you may authorize the voting of your shares by following the instructions on the enclosed proxy card, in addition to the other methods of voting described in this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Why Are We Holding a Virtual Annual Meeting?</w:t>
      </w:r>
    </w:p>
    <w:p>
      <w:pPr>
        <w:spacing w:after="0" w:line="2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year’s Annual Meeting will be held in a virtual meeting format only. We have designed our virtual format to enhance, rather than constrain, stockholder access, participation and communication during the Annual Meeting. The virtual format allows for greater access to our Annual Meeting and for stockholders to communicate with us in advance of, and during, the Annual Meeting so they can ask questions of our Board or management, as time permits.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What Happens If There Are Technical Difficulties During the Annual Meeting?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a technical assistance phone number will be made available on the virtual meeting registration page 15 minutes prior to the start time of the meeting.</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003595"/>
        </w:rPr>
        <w:t>Who Can Vote?</w:t>
      </w:r>
    </w:p>
    <w:p>
      <w:pPr>
        <w:spacing w:after="0" w:line="26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Only stockholders who owned Myriad Genetics, Inc. common stock at the close of business on April 8, 2026 are entitled to vote at the Annual Meeting. On this record date, there were 94,443,029 shares of our common stock outstanding and entitled to vote. The common stock is our only class of voting stock.</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 do not need to attend the Annual Meeting to vote your shares. Shares represented by valid proxies, received in time for the Annual Meeting and not revoked prior to the meeting, will be voted at the meeting. For instructions on how to change or revoke your proxy, see ‘‘May I Change or Revoke My Proxy?’’ below.</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How Many Votes Do I Have?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Each share of Myriad Genetics, Inc. common stock that you owned at the close of business on the record date, April 8, 2026, entitles you to one vote.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How Do I Vote?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Whether you plan to attend the Annual Meeting or not, we urge you to vote by proxy. To attend the Annual Meeting, stockholders need to go to the following URL: www.virtualshareholdermeeting.com/MYGN2026 and enter their control number. All shares represented by valid proxies that we receive through this solicitation, and that are not revoked, will be voted in accordance with your instructions on the proxy card or as instructed via Internet or telephone. You may specify whether your shares should be voted for, against or abstain with respect to each nominee for director, and whether your shares should be voted for, against or abstain with respect to each of the other proposals. If you properly submit a proxy without giving specific voting instructions, your shares will be voted in accordance with the Board’s recommendations as noted below. Voting by proxy will not affect your right to attend the Annual Meeting. If your shares are registered directly in your name through our stock transfer agent, Equiniti Trust Company, LLC, or you have stock certificates registered in your name, you may vote:</w:t>
      </w:r>
    </w:p>
    <w:p>
      <w:pPr>
        <w:spacing w:after="0" w:line="261"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0071CE"/>
        </w:rPr>
        <w:t>By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-81280</wp:posOffset>
            </wp:positionV>
            <wp:extent cx="685800" cy="394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0" cy="394335"/>
                    </a:xfrm>
                    <a:prstGeom prst="rect">
                      <a:avLst/>
                    </a:prstGeom>
                    <a:noFill/>
                  </pic:spPr>
                </pic:pic>
              </a:graphicData>
            </a:graphic>
          </wp:anchor>
        </w:drawing>
      </w:r>
    </w:p>
    <w:p>
      <w:pPr>
        <w:spacing w:after="0" w:line="201" w:lineRule="exact"/>
        <w:rPr>
          <w:sz w:val="20"/>
          <w:szCs w:val="20"/>
          <w:color w:val="auto"/>
        </w:rPr>
      </w:pPr>
    </w:p>
    <w:p>
      <w:pPr>
        <w:jc w:val="both"/>
        <w:ind w:left="1500" w:right="400"/>
        <w:spacing w:after="0" w:line="304" w:lineRule="auto"/>
        <w:rPr>
          <w:sz w:val="20"/>
          <w:szCs w:val="20"/>
          <w:color w:val="auto"/>
        </w:rPr>
      </w:pPr>
      <w:r>
        <w:rPr>
          <w:rFonts w:ascii="Arial" w:cs="Arial" w:eastAsia="Arial" w:hAnsi="Arial"/>
          <w:sz w:val="16"/>
          <w:szCs w:val="16"/>
          <w:color w:val="auto"/>
        </w:rPr>
        <w:t>To vote by Internet or telephone in advance of the meeting, follow the instructions included in the Notice or, if you received printed materials, in the proxy card, to vote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69005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0071CE"/>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-29845</wp:posOffset>
            </wp:positionV>
            <wp:extent cx="454025"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4025" cy="471805"/>
                    </a:xfrm>
                    <a:prstGeom prst="rect">
                      <a:avLst/>
                    </a:prstGeom>
                    <a:noFill/>
                  </pic:spPr>
                </pic:pic>
              </a:graphicData>
            </a:graphic>
          </wp:anchor>
        </w:drawing>
      </w:r>
    </w:p>
    <w:p>
      <w:pPr>
        <w:spacing w:after="0" w:line="147" w:lineRule="exact"/>
        <w:rPr>
          <w:sz w:val="20"/>
          <w:szCs w:val="20"/>
          <w:color w:val="auto"/>
        </w:rPr>
      </w:pPr>
    </w:p>
    <w:p>
      <w:pPr>
        <w:jc w:val="both"/>
        <w:ind w:left="1500" w:right="380"/>
        <w:spacing w:after="0" w:line="275" w:lineRule="auto"/>
        <w:rPr>
          <w:sz w:val="20"/>
          <w:szCs w:val="20"/>
          <w:color w:val="auto"/>
        </w:rPr>
      </w:pPr>
      <w:r>
        <w:rPr>
          <w:rFonts w:ascii="Arial" w:cs="Arial" w:eastAsia="Arial" w:hAnsi="Arial"/>
          <w:sz w:val="16"/>
          <w:szCs w:val="16"/>
          <w:color w:val="auto"/>
        </w:rPr>
        <w:t>If you received your proxy materials by mail, you can vote by completing, signing, dating and returning the proxy card as instructed on the card. If you sign the proxy card but do not specify how you want your shares voted, they will be voted in accordance with the Board’s recommendations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69005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pacing w:after="0" w:line="266"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0071CE"/>
        </w:rPr>
        <w:t>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-29845</wp:posOffset>
            </wp:positionV>
            <wp:extent cx="454025" cy="402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4025" cy="402590"/>
                    </a:xfrm>
                    <a:prstGeom prst="rect">
                      <a:avLst/>
                    </a:prstGeom>
                    <a:noFill/>
                  </pic:spPr>
                </pic:pic>
              </a:graphicData>
            </a:graphic>
          </wp:anchor>
        </w:drawing>
      </w:r>
    </w:p>
    <w:p>
      <w:pPr>
        <w:spacing w:after="0" w:line="201" w:lineRule="exact"/>
        <w:rPr>
          <w:sz w:val="20"/>
          <w:szCs w:val="20"/>
          <w:color w:val="auto"/>
        </w:rPr>
      </w:pPr>
    </w:p>
    <w:p>
      <w:pPr>
        <w:jc w:val="both"/>
        <w:ind w:left="1500" w:right="380"/>
        <w:spacing w:after="0" w:line="275" w:lineRule="auto"/>
        <w:rPr>
          <w:sz w:val="20"/>
          <w:szCs w:val="20"/>
          <w:color w:val="auto"/>
        </w:rPr>
      </w:pPr>
      <w:r>
        <w:rPr>
          <w:rFonts w:ascii="Arial" w:cs="Arial" w:eastAsia="Arial" w:hAnsi="Arial"/>
          <w:sz w:val="16"/>
          <w:szCs w:val="16"/>
          <w:color w:val="auto"/>
        </w:rPr>
        <w:t>To vote by Internet directly during the webcast of the Annual Meeting, you will need to visit the following URL: www.virtualshareholdermeeting.com/MYGN2026 and enter your control number. To vote during the Annual Meeting when the polls open use the ‘‘vote’’ button on the interface.</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Telephone and Internet voting facilities for stockholders of record will be available 24-hours-a-day and will close at 11:59 p.m. EDT on June 3, 2026.</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at the Annual Meeting, you should contact your broker or agent to obtain a legal proxy or broker’s proxy card before the meeting in order to vote. To vote you must be a stockholder of record as of April 8, 2026 and use the ‘‘vote’’ button during the online Annual Meeting to vote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003595"/>
        </w:rPr>
        <w:t>How Does the Board of Directors Recommend That I Vote on the Proposals?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you vote as follows:</w:t>
      </w:r>
    </w:p>
    <w:p>
      <w:pPr>
        <w:spacing w:after="0" w:line="248"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0071CE"/>
        </w:rPr>
        <w:t>Proposal 1:</w:t>
      </w:r>
      <w:r>
        <w:rPr>
          <w:rFonts w:ascii="Arial" w:cs="Arial" w:eastAsia="Arial" w:hAnsi="Arial"/>
          <w:sz w:val="16"/>
          <w:szCs w:val="16"/>
          <w:b w:val="1"/>
          <w:bCs w:val="1"/>
          <w:color w:val="3DAE2B"/>
        </w:rPr>
        <w:tab/>
        <w:t xml:space="preserve">‘‘FOR’’ </w:t>
      </w:r>
      <w:r>
        <w:rPr>
          <w:rFonts w:ascii="Arial" w:cs="Arial" w:eastAsia="Arial" w:hAnsi="Arial"/>
          <w:sz w:val="16"/>
          <w:szCs w:val="16"/>
          <w:color w:val="000000"/>
        </w:rPr>
        <w:t>the election of the three Class III Directors to the Board to serve until the 2029 Annual Meeting of Stockholders;</w:t>
      </w:r>
    </w:p>
    <w:p>
      <w:pPr>
        <w:spacing w:after="0" w:line="262" w:lineRule="exact"/>
        <w:rPr>
          <w:sz w:val="20"/>
          <w:szCs w:val="20"/>
          <w:color w:val="auto"/>
        </w:rPr>
      </w:pPr>
    </w:p>
    <w:p>
      <w:pPr>
        <w:jc w:val="both"/>
        <w:ind w:left="1180" w:hanging="1295"/>
        <w:spacing w:after="0" w:line="304" w:lineRule="auto"/>
        <w:tabs>
          <w:tab w:leader="none" w:pos="1160" w:val="left"/>
        </w:tabs>
        <w:rPr>
          <w:sz w:val="20"/>
          <w:szCs w:val="20"/>
          <w:color w:val="auto"/>
        </w:rPr>
      </w:pPr>
      <w:r>
        <w:rPr>
          <w:rFonts w:ascii="Arial" w:cs="Arial" w:eastAsia="Arial" w:hAnsi="Arial"/>
          <w:sz w:val="16"/>
          <w:szCs w:val="16"/>
          <w:b w:val="1"/>
          <w:bCs w:val="1"/>
          <w:color w:val="0071CE"/>
        </w:rPr>
        <w:t>Proposal 2:</w:t>
      </w:r>
      <w:r>
        <w:rPr>
          <w:sz w:val="20"/>
          <w:szCs w:val="20"/>
          <w:color w:val="auto"/>
        </w:rPr>
        <w:tab/>
      </w:r>
      <w:r>
        <w:rPr>
          <w:rFonts w:ascii="Arial" w:cs="Arial" w:eastAsia="Arial" w:hAnsi="Arial"/>
          <w:sz w:val="16"/>
          <w:szCs w:val="16"/>
          <w:b w:val="1"/>
          <w:bCs w:val="1"/>
          <w:color w:val="3DAE2B"/>
        </w:rPr>
        <w:t xml:space="preserve">‘‘FOR’’ </w:t>
      </w:r>
      <w:r>
        <w:rPr>
          <w:rFonts w:ascii="Arial" w:cs="Arial" w:eastAsia="Arial" w:hAnsi="Arial"/>
          <w:sz w:val="16"/>
          <w:szCs w:val="16"/>
          <w:color w:val="000000"/>
        </w:rPr>
        <w:t>the ratification of the selection of Ernst &amp; Young LLP as our independent registered public accounting firm for the year ending</w:t>
      </w:r>
      <w:r>
        <w:rPr>
          <w:rFonts w:ascii="Arial" w:cs="Arial" w:eastAsia="Arial" w:hAnsi="Arial"/>
          <w:sz w:val="16"/>
          <w:szCs w:val="16"/>
          <w:b w:val="1"/>
          <w:bCs w:val="1"/>
          <w:color w:val="3DAE2B"/>
        </w:rPr>
        <w:t xml:space="preserve"> </w:t>
      </w:r>
      <w:r>
        <w:rPr>
          <w:rFonts w:ascii="Arial" w:cs="Arial" w:eastAsia="Arial" w:hAnsi="Arial"/>
          <w:sz w:val="16"/>
          <w:szCs w:val="16"/>
          <w:color w:val="000000"/>
        </w:rPr>
        <w:t>December 31, 2026;</w:t>
      </w:r>
    </w:p>
    <w:p>
      <w:pPr>
        <w:spacing w:after="0" w:line="182"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0071CE"/>
        </w:rPr>
        <w:t>Proposal 3:</w:t>
      </w:r>
      <w:r>
        <w:rPr>
          <w:rFonts w:ascii="Arial" w:cs="Arial" w:eastAsia="Arial" w:hAnsi="Arial"/>
          <w:sz w:val="16"/>
          <w:szCs w:val="16"/>
          <w:b w:val="1"/>
          <w:bCs w:val="1"/>
          <w:color w:val="3DAE2B"/>
        </w:rPr>
        <w:tab/>
        <w:t xml:space="preserve">‘‘FOR’’ </w:t>
      </w:r>
      <w:r>
        <w:rPr>
          <w:rFonts w:ascii="Arial" w:cs="Arial" w:eastAsia="Arial" w:hAnsi="Arial"/>
          <w:sz w:val="16"/>
          <w:szCs w:val="16"/>
          <w:color w:val="000000"/>
        </w:rPr>
        <w:t>the approval, on an advisory basis, of the compensation of our named executive officers, as disclosed in this proxy statement;</w:t>
      </w:r>
    </w:p>
    <w:p>
      <w:pPr>
        <w:spacing w:after="0" w:line="248" w:lineRule="exact"/>
        <w:rPr>
          <w:sz w:val="20"/>
          <w:szCs w:val="20"/>
          <w:color w:val="auto"/>
        </w:rPr>
      </w:pPr>
    </w:p>
    <w:p>
      <w:pPr>
        <w:spacing w:after="0"/>
        <w:tabs>
          <w:tab w:leader="none" w:pos="1100" w:val="left"/>
        </w:tabs>
        <w:rPr>
          <w:sz w:val="20"/>
          <w:szCs w:val="20"/>
          <w:color w:val="auto"/>
        </w:rPr>
      </w:pPr>
      <w:r>
        <w:rPr>
          <w:rFonts w:ascii="Arial" w:cs="Arial" w:eastAsia="Arial" w:hAnsi="Arial"/>
          <w:sz w:val="16"/>
          <w:szCs w:val="16"/>
          <w:b w:val="1"/>
          <w:bCs w:val="1"/>
          <w:color w:val="0071CE"/>
        </w:rPr>
        <w:t>Proposal 4:</w:t>
      </w:r>
      <w:r>
        <w:rPr>
          <w:rFonts w:ascii="Arial" w:cs="Arial" w:eastAsia="Arial" w:hAnsi="Arial"/>
          <w:sz w:val="16"/>
          <w:szCs w:val="16"/>
          <w:b w:val="1"/>
          <w:bCs w:val="1"/>
          <w:color w:val="3DAE2B"/>
        </w:rPr>
        <w:tab/>
        <w:t xml:space="preserve">‘‘FOR’’ </w:t>
      </w:r>
      <w:r>
        <w:rPr>
          <w:rFonts w:ascii="Arial" w:cs="Arial" w:eastAsia="Arial" w:hAnsi="Arial"/>
          <w:sz w:val="16"/>
          <w:szCs w:val="16"/>
          <w:color w:val="000000"/>
        </w:rPr>
        <w:t>the approval of the proposed amendment to the Amended and Restated 2012 Employee Stock Purchase Plan; and</w:t>
      </w:r>
    </w:p>
    <w:p>
      <w:pPr>
        <w:spacing w:after="0" w:line="262"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0071CE"/>
        </w:rPr>
        <w:t>Proposal 5:</w:t>
      </w:r>
      <w:r>
        <w:rPr>
          <w:rFonts w:ascii="Arial" w:cs="Arial" w:eastAsia="Arial" w:hAnsi="Arial"/>
          <w:sz w:val="16"/>
          <w:szCs w:val="16"/>
          <w:b w:val="1"/>
          <w:bCs w:val="1"/>
          <w:color w:val="3DAE2B"/>
        </w:rPr>
        <w:tab/>
        <w:t xml:space="preserve">‘‘FOR’’ </w:t>
      </w:r>
      <w:r>
        <w:rPr>
          <w:rFonts w:ascii="Arial" w:cs="Arial" w:eastAsia="Arial" w:hAnsi="Arial"/>
          <w:sz w:val="16"/>
          <w:szCs w:val="16"/>
          <w:color w:val="000000"/>
        </w:rPr>
        <w:t>the approval of the proposed 2026 Employee, Director and Consultant Equity Incentive Plan.</w:t>
      </w:r>
    </w:p>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any other matter is presented, your proxy provides that your shares will be voted by the proxy holder listed in the proxy in accordance with his or her best judgment. At the time this proxy statement was first made available, we knew of no matters that needed to be acted on at the Annual Meeting, other than those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May I Change or Revoke My Proxy?</w:t>
      </w:r>
    </w:p>
    <w:p>
      <w:pPr>
        <w:spacing w:after="0" w:line="2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If you give us your proxy, you may change or revoke it at any time before the Annual Meeting. You may change or revoke your proxy in any of the following ways:</w:t>
      </w:r>
    </w:p>
    <w:p>
      <w:pPr>
        <w:spacing w:after="0" w:line="87" w:lineRule="exact"/>
        <w:rPr>
          <w:sz w:val="20"/>
          <w:szCs w:val="20"/>
          <w:color w:val="auto"/>
        </w:rPr>
      </w:pPr>
    </w:p>
    <w:p>
      <w:pPr>
        <w:ind w:left="640" w:hanging="389"/>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 re-voting by Internet or by telephone as instructed above;</w:t>
      </w:r>
    </w:p>
    <w:p>
      <w:pPr>
        <w:spacing w:after="0" w:line="167" w:lineRule="exact"/>
        <w:rPr>
          <w:rFonts w:ascii="Arial" w:cs="Arial" w:eastAsia="Arial" w:hAnsi="Arial"/>
          <w:sz w:val="16"/>
          <w:szCs w:val="16"/>
          <w:color w:val="auto"/>
        </w:rPr>
      </w:pPr>
    </w:p>
    <w:p>
      <w:pPr>
        <w:ind w:left="660" w:hanging="409"/>
        <w:spacing w:after="0" w:line="304"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you received printed proxy materials, by signing a new proxy card with a date later than your previously delivered proxy and submitting it as instructed above;</w:t>
      </w:r>
    </w:p>
    <w:p>
      <w:pPr>
        <w:spacing w:after="0" w:line="87" w:lineRule="exact"/>
        <w:rPr>
          <w:rFonts w:ascii="Arial" w:cs="Arial" w:eastAsia="Arial" w:hAnsi="Arial"/>
          <w:sz w:val="16"/>
          <w:szCs w:val="16"/>
          <w:color w:val="auto"/>
        </w:rPr>
      </w:pPr>
    </w:p>
    <w:p>
      <w:pPr>
        <w:ind w:left="640" w:hanging="389"/>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 notifying our Corporate Secretary in writing before the Annual Meeting that you have revoked your proxy; or</w:t>
      </w:r>
    </w:p>
    <w:p>
      <w:pPr>
        <w:spacing w:after="0" w:line="180" w:lineRule="exact"/>
        <w:rPr>
          <w:rFonts w:ascii="Arial" w:cs="Arial" w:eastAsia="Arial" w:hAnsi="Arial"/>
          <w:sz w:val="16"/>
          <w:szCs w:val="16"/>
          <w:color w:val="auto"/>
        </w:rPr>
      </w:pPr>
    </w:p>
    <w:p>
      <w:pPr>
        <w:ind w:left="660" w:hanging="409"/>
        <w:spacing w:after="0" w:line="28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 attending the Annual Meeting and voting by Internet during the Annual Meeting in accordance with the instructions provided. Attending the Annual Meeting will not in and of itself revoke a previously submitted proxy unless you specifically re-vote during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Your most current vote, whether by telephone, Internet, proxy card or during the Annual Meeting, is the one that will be counted.</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What if I Receive More Than One Notice or Proxy Card?</w:t>
      </w:r>
    </w:p>
    <w:p>
      <w:pPr>
        <w:spacing w:after="0" w:line="2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You may receive more than one Notice or proxy card if you hold shares of our common stock in more than one account, which may be in registered form or held in street name. Please vote in the manner described under ‘‘How Do I Vote?’’ for each account to ensure that all of your shares are voted.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Will My Shares Be Voted if I Do Not Vote?</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your shares are registered in your name, they will not be voted if you do not vote as described above under ‘‘How Do I Vote?’’ If your shares are held in street name and you do not provide voting instructions to the bank, broker or other holder of record of your shares as described above, the holder of record has the authority to vote your unvoted shares only on Proposal 2 if it does not receive instructions from you and does not have the ability to vote your uninstructed shares on any other proposal. Therefore, we encourage you to provide voting instructions. This ensures that your shares will be voted at the Annual Meeting and in the manner you desire. When your broker cannot vote your shares on a particular matter because it has not received instructions from you and does not have discretionary voting authority, it is referred to as a ‘‘broker non-vote.’’ Thus, if you hold your shares in street name and do not instruct your bank, broker or other nominee how to vote, no votes will be cast on any proposal on your behalf other than the ratification of our independent registered public accounting firm if your bank, broker or other nominee exercises their discretion to vote your shares on this proposal.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003595"/>
        </w:rPr>
        <w:t>What Vote is Required to Approve Each Proposal and How are Votes Counted?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Borders>
              <w:top w:val="single" w:sz="8" w:color="0071CE"/>
              <w:right w:val="single" w:sz="8" w:color="00497F"/>
            </w:tcBorders>
          </w:tcPr>
          <w:p>
            <w:pPr>
              <w:ind w:left="40"/>
              <w:spacing w:after="0"/>
              <w:rPr>
                <w:sz w:val="20"/>
                <w:szCs w:val="20"/>
                <w:color w:val="auto"/>
              </w:rPr>
            </w:pPr>
            <w:r>
              <w:rPr>
                <w:rFonts w:ascii="Arial" w:cs="Arial" w:eastAsia="Arial" w:hAnsi="Arial"/>
                <w:sz w:val="16"/>
                <w:szCs w:val="16"/>
                <w:b w:val="1"/>
                <w:bCs w:val="1"/>
                <w:color w:val="0071CE"/>
              </w:rPr>
              <w:t>Proposal 1:</w:t>
            </w:r>
          </w:p>
        </w:tc>
        <w:tc>
          <w:tcPr>
            <w:tcW w:w="5640" w:type="dxa"/>
            <w:vAlign w:val="bottom"/>
            <w:tcBorders>
              <w:top w:val="single" w:sz="8" w:color="0071CE"/>
              <w:right w:val="single" w:sz="8" w:color="00497F"/>
            </w:tcBorders>
          </w:tcPr>
          <w:p>
            <w:pPr>
              <w:spacing w:after="0"/>
              <w:rPr>
                <w:sz w:val="20"/>
                <w:szCs w:val="20"/>
                <w:color w:val="auto"/>
              </w:rPr>
            </w:pPr>
            <w:r>
              <w:rPr>
                <w:rFonts w:ascii="Arial" w:cs="Arial" w:eastAsia="Arial" w:hAnsi="Arial"/>
                <w:sz w:val="16"/>
                <w:szCs w:val="16"/>
                <w:color w:val="auto"/>
              </w:rPr>
              <w:t>The  affirmative  vote  of  a  majority  of  the  shares  voted  affirmatively  or</w:t>
            </w:r>
          </w:p>
        </w:tc>
        <w:tc>
          <w:tcPr>
            <w:tcW w:w="2600" w:type="dxa"/>
            <w:vAlign w:val="bottom"/>
            <w:tcBorders>
              <w:top w:val="single" w:sz="8" w:color="0071CE"/>
            </w:tcBorders>
          </w:tcPr>
          <w:p>
            <w:pPr>
              <w:jc w:val="center"/>
              <w:spacing w:after="0"/>
              <w:rPr>
                <w:sz w:val="20"/>
                <w:szCs w:val="20"/>
                <w:color w:val="auto"/>
              </w:rPr>
            </w:pPr>
            <w:r>
              <w:rPr>
                <w:rFonts w:ascii="Arial" w:cs="Arial" w:eastAsia="Arial" w:hAnsi="Arial"/>
                <w:sz w:val="16"/>
                <w:szCs w:val="16"/>
                <w:b w:val="1"/>
                <w:bCs w:val="1"/>
                <w:color w:val="76777A"/>
              </w:rPr>
              <w:t>Recommendation:</w:t>
            </w:r>
          </w:p>
        </w:tc>
      </w:tr>
      <w:tr>
        <w:trPr>
          <w:trHeight w:val="189"/>
        </w:trPr>
        <w:tc>
          <w:tcPr>
            <w:tcW w:w="2640" w:type="dxa"/>
            <w:vAlign w:val="bottom"/>
            <w:tcBorders>
              <w:right w:val="single" w:sz="8" w:color="00497F"/>
            </w:tcBorders>
          </w:tcPr>
          <w:p>
            <w:pPr>
              <w:ind w:left="40"/>
              <w:spacing w:after="0"/>
              <w:rPr>
                <w:sz w:val="20"/>
                <w:szCs w:val="20"/>
                <w:color w:val="auto"/>
              </w:rPr>
            </w:pPr>
            <w:r>
              <w:rPr>
                <w:rFonts w:ascii="Arial" w:cs="Arial" w:eastAsia="Arial" w:hAnsi="Arial"/>
                <w:sz w:val="16"/>
                <w:szCs w:val="16"/>
                <w:b w:val="1"/>
                <w:bCs w:val="1"/>
                <w:color w:val="76777A"/>
              </w:rPr>
              <w:t>Elect Directors</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negatively is required for each nominee for director to be elected. For each</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3DAE2B"/>
              </w:rPr>
              <w:t>FOR</w:t>
            </w:r>
          </w:p>
        </w:tc>
      </w:tr>
      <w:tr>
        <w:trPr>
          <w:trHeight w:val="203"/>
        </w:trPr>
        <w:tc>
          <w:tcPr>
            <w:tcW w:w="2640" w:type="dxa"/>
            <w:vAlign w:val="bottom"/>
            <w:tcBorders>
              <w:right w:val="single" w:sz="8" w:color="00497F"/>
            </w:tcBorders>
          </w:tcPr>
          <w:p>
            <w:pPr>
              <w:spacing w:after="0"/>
              <w:rPr>
                <w:sz w:val="17"/>
                <w:szCs w:val="17"/>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nominee, you may vote either FOR or AGAINST such nominee. Abstentions</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76777A"/>
              </w:rPr>
              <w:t>the election of the three Class III</w:t>
            </w: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will have no effect on the results of this vote. Brokerage firms do not have the</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76777A"/>
                <w:w w:val="99"/>
              </w:rPr>
              <w:t>Directors</w:t>
            </w:r>
          </w:p>
        </w:tc>
      </w:tr>
      <w:tr>
        <w:trPr>
          <w:trHeight w:val="203"/>
        </w:trPr>
        <w:tc>
          <w:tcPr>
            <w:tcW w:w="2640" w:type="dxa"/>
            <w:vAlign w:val="bottom"/>
            <w:tcBorders>
              <w:right w:val="single" w:sz="8" w:color="00497F"/>
            </w:tcBorders>
          </w:tcPr>
          <w:p>
            <w:pPr>
              <w:spacing w:after="0"/>
              <w:rPr>
                <w:sz w:val="17"/>
                <w:szCs w:val="17"/>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authority to vote customers’ unvoted shares held by the firms in street name</w:t>
            </w:r>
          </w:p>
        </w:tc>
        <w:tc>
          <w:tcPr>
            <w:tcW w:w="2600" w:type="dxa"/>
            <w:vAlign w:val="bottom"/>
          </w:tcPr>
          <w:p>
            <w:pPr>
              <w:spacing w:after="0"/>
              <w:rPr>
                <w:sz w:val="17"/>
                <w:szCs w:val="17"/>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on this proposal. As a result, any shares not voted by a customer will be</w:t>
            </w:r>
          </w:p>
        </w:tc>
        <w:tc>
          <w:tcPr>
            <w:tcW w:w="2600" w:type="dxa"/>
            <w:vAlign w:val="bottom"/>
          </w:tcPr>
          <w:p>
            <w:pPr>
              <w:spacing w:after="0"/>
              <w:rPr>
                <w:sz w:val="16"/>
                <w:szCs w:val="16"/>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treated as a broker non-vote. Such broker non-votes will have no effect on the</w:t>
            </w:r>
          </w:p>
        </w:tc>
        <w:tc>
          <w:tcPr>
            <w:tcW w:w="2600" w:type="dxa"/>
            <w:vAlign w:val="bottom"/>
          </w:tcPr>
          <w:p>
            <w:pPr>
              <w:spacing w:after="0"/>
              <w:rPr>
                <w:sz w:val="16"/>
                <w:szCs w:val="16"/>
                <w:color w:val="auto"/>
              </w:rPr>
            </w:pPr>
          </w:p>
        </w:tc>
      </w:tr>
      <w:tr>
        <w:trPr>
          <w:trHeight w:val="215"/>
        </w:trPr>
        <w:tc>
          <w:tcPr>
            <w:tcW w:w="2640" w:type="dxa"/>
            <w:vAlign w:val="bottom"/>
            <w:tcBorders>
              <w:right w:val="single" w:sz="8" w:color="00497F"/>
            </w:tcBorders>
          </w:tcPr>
          <w:p>
            <w:pPr>
              <w:spacing w:after="0"/>
              <w:rPr>
                <w:sz w:val="18"/>
                <w:szCs w:val="18"/>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results of this vote.</w:t>
            </w:r>
          </w:p>
        </w:tc>
        <w:tc>
          <w:tcPr>
            <w:tcW w:w="2600" w:type="dxa"/>
            <w:vAlign w:val="bottom"/>
          </w:tcPr>
          <w:p>
            <w:pPr>
              <w:spacing w:after="0"/>
              <w:rPr>
                <w:sz w:val="18"/>
                <w:szCs w:val="18"/>
                <w:color w:val="auto"/>
              </w:rPr>
            </w:pPr>
          </w:p>
        </w:tc>
      </w:tr>
      <w:tr>
        <w:trPr>
          <w:trHeight w:val="29"/>
        </w:trPr>
        <w:tc>
          <w:tcPr>
            <w:tcW w:w="2640" w:type="dxa"/>
            <w:vAlign w:val="bottom"/>
            <w:tcBorders>
              <w:bottom w:val="single" w:sz="8" w:color="0071CE"/>
              <w:right w:val="single" w:sz="8" w:color="00497F"/>
            </w:tcBorders>
          </w:tcPr>
          <w:p>
            <w:pPr>
              <w:spacing w:after="0"/>
              <w:rPr>
                <w:sz w:val="2"/>
                <w:szCs w:val="2"/>
                <w:color w:val="auto"/>
              </w:rPr>
            </w:pPr>
          </w:p>
        </w:tc>
        <w:tc>
          <w:tcPr>
            <w:tcW w:w="5640" w:type="dxa"/>
            <w:vAlign w:val="bottom"/>
            <w:tcBorders>
              <w:bottom w:val="single" w:sz="8" w:color="0071CE"/>
              <w:right w:val="single" w:sz="8" w:color="00497F"/>
            </w:tcBorders>
          </w:tcPr>
          <w:p>
            <w:pPr>
              <w:spacing w:after="0"/>
              <w:rPr>
                <w:sz w:val="2"/>
                <w:szCs w:val="2"/>
                <w:color w:val="auto"/>
              </w:rPr>
            </w:pPr>
          </w:p>
        </w:tc>
        <w:tc>
          <w:tcPr>
            <w:tcW w:w="2600" w:type="dxa"/>
            <w:vAlign w:val="bottom"/>
            <w:tcBorders>
              <w:bottom w:val="single" w:sz="8" w:color="0071CE"/>
            </w:tcBorders>
          </w:tcPr>
          <w:p>
            <w:pPr>
              <w:spacing w:after="0"/>
              <w:rPr>
                <w:sz w:val="2"/>
                <w:szCs w:val="2"/>
                <w:color w:val="auto"/>
              </w:rPr>
            </w:pPr>
          </w:p>
        </w:tc>
      </w:tr>
      <w:tr>
        <w:trPr>
          <w:trHeight w:val="195"/>
        </w:trPr>
        <w:tc>
          <w:tcPr>
            <w:tcW w:w="2640" w:type="dxa"/>
            <w:vAlign w:val="bottom"/>
            <w:tcBorders>
              <w:right w:val="single" w:sz="8" w:color="00497F"/>
            </w:tcBorders>
          </w:tcPr>
          <w:p>
            <w:pPr>
              <w:ind w:left="40"/>
              <w:spacing w:after="0"/>
              <w:rPr>
                <w:sz w:val="20"/>
                <w:szCs w:val="20"/>
                <w:color w:val="auto"/>
              </w:rPr>
            </w:pPr>
            <w:r>
              <w:rPr>
                <w:rFonts w:ascii="Arial" w:cs="Arial" w:eastAsia="Arial" w:hAnsi="Arial"/>
                <w:sz w:val="16"/>
                <w:szCs w:val="16"/>
                <w:b w:val="1"/>
                <w:bCs w:val="1"/>
                <w:color w:val="0071CE"/>
              </w:rPr>
              <w:t>Proposal 2:</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The  affirmative  vote  of  a  majority  of  the  shares  voted  affirmatively  or</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76777A"/>
              </w:rPr>
              <w:t>Recommendation:</w:t>
            </w:r>
          </w:p>
        </w:tc>
      </w:tr>
      <w:tr>
        <w:trPr>
          <w:trHeight w:val="189"/>
        </w:trPr>
        <w:tc>
          <w:tcPr>
            <w:tcW w:w="2640" w:type="dxa"/>
            <w:vAlign w:val="bottom"/>
            <w:tcBorders>
              <w:right w:val="single" w:sz="8" w:color="00497F"/>
            </w:tcBorders>
          </w:tcPr>
          <w:p>
            <w:pPr>
              <w:ind w:left="40"/>
              <w:spacing w:after="0"/>
              <w:rPr>
                <w:sz w:val="20"/>
                <w:szCs w:val="20"/>
                <w:color w:val="auto"/>
              </w:rPr>
            </w:pPr>
            <w:r>
              <w:rPr>
                <w:rFonts w:ascii="Arial" w:cs="Arial" w:eastAsia="Arial" w:hAnsi="Arial"/>
                <w:sz w:val="16"/>
                <w:szCs w:val="16"/>
                <w:b w:val="1"/>
                <w:bCs w:val="1"/>
                <w:color w:val="76777A"/>
              </w:rPr>
              <w:t>Ratify the Selection of our</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negatively for this proposal is required to ratify the selection of Ernst &amp; Young</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3DAE2B"/>
              </w:rPr>
              <w:t>FOR</w:t>
            </w:r>
          </w:p>
        </w:tc>
      </w:tr>
      <w:tr>
        <w:trPr>
          <w:trHeight w:val="203"/>
        </w:trPr>
        <w:tc>
          <w:tcPr>
            <w:tcW w:w="2640" w:type="dxa"/>
            <w:vAlign w:val="bottom"/>
            <w:tcBorders>
              <w:right w:val="single" w:sz="8" w:color="00497F"/>
            </w:tcBorders>
          </w:tcPr>
          <w:p>
            <w:pPr>
              <w:ind w:left="40"/>
              <w:spacing w:after="0"/>
              <w:rPr>
                <w:sz w:val="20"/>
                <w:szCs w:val="20"/>
                <w:color w:val="auto"/>
              </w:rPr>
            </w:pPr>
            <w:r>
              <w:rPr>
                <w:rFonts w:ascii="Arial" w:cs="Arial" w:eastAsia="Arial" w:hAnsi="Arial"/>
                <w:sz w:val="16"/>
                <w:szCs w:val="16"/>
                <w:b w:val="1"/>
                <w:bCs w:val="1"/>
                <w:color w:val="76777A"/>
              </w:rPr>
              <w:t>Registered Independent Public</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LLP as our independent registered public accounting firm for the year ending</w:t>
            </w:r>
          </w:p>
        </w:tc>
        <w:tc>
          <w:tcPr>
            <w:tcW w:w="2600" w:type="dxa"/>
            <w:vAlign w:val="bottom"/>
          </w:tcPr>
          <w:p>
            <w:pPr>
              <w:spacing w:after="0"/>
              <w:rPr>
                <w:sz w:val="17"/>
                <w:szCs w:val="17"/>
                <w:color w:val="auto"/>
              </w:rPr>
            </w:pPr>
          </w:p>
        </w:tc>
      </w:tr>
      <w:tr>
        <w:trPr>
          <w:trHeight w:val="189"/>
        </w:trPr>
        <w:tc>
          <w:tcPr>
            <w:tcW w:w="2640" w:type="dxa"/>
            <w:vAlign w:val="bottom"/>
            <w:tcBorders>
              <w:right w:val="single" w:sz="8" w:color="00497F"/>
            </w:tcBorders>
          </w:tcPr>
          <w:p>
            <w:pPr>
              <w:ind w:left="40"/>
              <w:spacing w:after="0"/>
              <w:rPr>
                <w:sz w:val="20"/>
                <w:szCs w:val="20"/>
                <w:color w:val="auto"/>
              </w:rPr>
            </w:pPr>
            <w:r>
              <w:rPr>
                <w:rFonts w:ascii="Arial" w:cs="Arial" w:eastAsia="Arial" w:hAnsi="Arial"/>
                <w:sz w:val="16"/>
                <w:szCs w:val="16"/>
                <w:b w:val="1"/>
                <w:bCs w:val="1"/>
                <w:color w:val="76777A"/>
              </w:rPr>
              <w:t>Accounting Firm</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December 31, 2026. Abstentions will have no effect on the results of this vote.</w:t>
            </w:r>
          </w:p>
        </w:tc>
        <w:tc>
          <w:tcPr>
            <w:tcW w:w="2600" w:type="dxa"/>
            <w:vAlign w:val="bottom"/>
          </w:tcPr>
          <w:p>
            <w:pPr>
              <w:spacing w:after="0"/>
              <w:rPr>
                <w:sz w:val="16"/>
                <w:szCs w:val="16"/>
                <w:color w:val="auto"/>
              </w:rPr>
            </w:pPr>
          </w:p>
        </w:tc>
      </w:tr>
      <w:tr>
        <w:trPr>
          <w:trHeight w:val="203"/>
        </w:trPr>
        <w:tc>
          <w:tcPr>
            <w:tcW w:w="2640" w:type="dxa"/>
            <w:vAlign w:val="bottom"/>
            <w:tcBorders>
              <w:right w:val="single" w:sz="8" w:color="00497F"/>
            </w:tcBorders>
          </w:tcPr>
          <w:p>
            <w:pPr>
              <w:spacing w:after="0"/>
              <w:rPr>
                <w:sz w:val="17"/>
                <w:szCs w:val="17"/>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Brokerage firms have authority to vote customers’ unvoted shares held by the</w:t>
            </w:r>
          </w:p>
        </w:tc>
        <w:tc>
          <w:tcPr>
            <w:tcW w:w="2600" w:type="dxa"/>
            <w:vAlign w:val="bottom"/>
          </w:tcPr>
          <w:p>
            <w:pPr>
              <w:spacing w:after="0"/>
              <w:rPr>
                <w:sz w:val="17"/>
                <w:szCs w:val="17"/>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firms in street name on this proposal. Accordingly, we do not expect broker</w:t>
            </w:r>
          </w:p>
        </w:tc>
        <w:tc>
          <w:tcPr>
            <w:tcW w:w="2600" w:type="dxa"/>
            <w:vAlign w:val="bottom"/>
          </w:tcPr>
          <w:p>
            <w:pPr>
              <w:spacing w:after="0"/>
              <w:rPr>
                <w:sz w:val="16"/>
                <w:szCs w:val="16"/>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non-votes on this proposal. Broker non-votes will have no effect on the results</w:t>
            </w:r>
          </w:p>
        </w:tc>
        <w:tc>
          <w:tcPr>
            <w:tcW w:w="2600" w:type="dxa"/>
            <w:vAlign w:val="bottom"/>
          </w:tcPr>
          <w:p>
            <w:pPr>
              <w:spacing w:after="0"/>
              <w:rPr>
                <w:sz w:val="16"/>
                <w:szCs w:val="16"/>
                <w:color w:val="auto"/>
              </w:rPr>
            </w:pPr>
          </w:p>
        </w:tc>
      </w:tr>
      <w:tr>
        <w:trPr>
          <w:trHeight w:val="203"/>
        </w:trPr>
        <w:tc>
          <w:tcPr>
            <w:tcW w:w="2640" w:type="dxa"/>
            <w:vAlign w:val="bottom"/>
            <w:tcBorders>
              <w:right w:val="single" w:sz="8" w:color="00497F"/>
            </w:tcBorders>
          </w:tcPr>
          <w:p>
            <w:pPr>
              <w:spacing w:after="0"/>
              <w:rPr>
                <w:sz w:val="17"/>
                <w:szCs w:val="17"/>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of this vote. We are not required to obtain the approval of our stockholders to</w:t>
            </w:r>
          </w:p>
        </w:tc>
        <w:tc>
          <w:tcPr>
            <w:tcW w:w="2600" w:type="dxa"/>
            <w:vAlign w:val="bottom"/>
          </w:tcPr>
          <w:p>
            <w:pPr>
              <w:spacing w:after="0"/>
              <w:rPr>
                <w:sz w:val="17"/>
                <w:szCs w:val="17"/>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select our independent registered public accounting firm. However, if our</w:t>
            </w:r>
          </w:p>
        </w:tc>
        <w:tc>
          <w:tcPr>
            <w:tcW w:w="2600" w:type="dxa"/>
            <w:vAlign w:val="bottom"/>
          </w:tcPr>
          <w:p>
            <w:pPr>
              <w:spacing w:after="0"/>
              <w:rPr>
                <w:sz w:val="16"/>
                <w:szCs w:val="16"/>
                <w:color w:val="auto"/>
              </w:rPr>
            </w:pPr>
          </w:p>
        </w:tc>
      </w:tr>
      <w:tr>
        <w:trPr>
          <w:trHeight w:val="203"/>
        </w:trPr>
        <w:tc>
          <w:tcPr>
            <w:tcW w:w="2640" w:type="dxa"/>
            <w:vAlign w:val="bottom"/>
            <w:tcBorders>
              <w:right w:val="single" w:sz="8" w:color="00497F"/>
            </w:tcBorders>
          </w:tcPr>
          <w:p>
            <w:pPr>
              <w:spacing w:after="0"/>
              <w:rPr>
                <w:sz w:val="17"/>
                <w:szCs w:val="17"/>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stockholders do not ratify the selection of Ernst &amp; Young LLP as our</w:t>
            </w:r>
          </w:p>
        </w:tc>
        <w:tc>
          <w:tcPr>
            <w:tcW w:w="2600" w:type="dxa"/>
            <w:vAlign w:val="bottom"/>
          </w:tcPr>
          <w:p>
            <w:pPr>
              <w:spacing w:after="0"/>
              <w:rPr>
                <w:sz w:val="17"/>
                <w:szCs w:val="17"/>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independent  registered  public  accounting  firm  for  the  year  ending</w:t>
            </w:r>
          </w:p>
        </w:tc>
        <w:tc>
          <w:tcPr>
            <w:tcW w:w="2600" w:type="dxa"/>
            <w:vAlign w:val="bottom"/>
          </w:tcPr>
          <w:p>
            <w:pPr>
              <w:spacing w:after="0"/>
              <w:rPr>
                <w:sz w:val="16"/>
                <w:szCs w:val="16"/>
                <w:color w:val="auto"/>
              </w:rPr>
            </w:pPr>
          </w:p>
        </w:tc>
      </w:tr>
      <w:tr>
        <w:trPr>
          <w:trHeight w:val="215"/>
        </w:trPr>
        <w:tc>
          <w:tcPr>
            <w:tcW w:w="2640" w:type="dxa"/>
            <w:vAlign w:val="bottom"/>
            <w:tcBorders>
              <w:right w:val="single" w:sz="8" w:color="00497F"/>
            </w:tcBorders>
          </w:tcPr>
          <w:p>
            <w:pPr>
              <w:spacing w:after="0"/>
              <w:rPr>
                <w:sz w:val="18"/>
                <w:szCs w:val="18"/>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December 31, 2026, the AFC will reconsider its selection.</w:t>
            </w:r>
          </w:p>
        </w:tc>
        <w:tc>
          <w:tcPr>
            <w:tcW w:w="2600" w:type="dxa"/>
            <w:vAlign w:val="bottom"/>
          </w:tcPr>
          <w:p>
            <w:pPr>
              <w:spacing w:after="0"/>
              <w:rPr>
                <w:sz w:val="18"/>
                <w:szCs w:val="18"/>
                <w:color w:val="auto"/>
              </w:rPr>
            </w:pPr>
          </w:p>
        </w:tc>
      </w:tr>
      <w:tr>
        <w:trPr>
          <w:trHeight w:val="29"/>
        </w:trPr>
        <w:tc>
          <w:tcPr>
            <w:tcW w:w="2640" w:type="dxa"/>
            <w:vAlign w:val="bottom"/>
            <w:tcBorders>
              <w:bottom w:val="single" w:sz="8" w:color="0071CE"/>
              <w:right w:val="single" w:sz="8" w:color="00497F"/>
            </w:tcBorders>
          </w:tcPr>
          <w:p>
            <w:pPr>
              <w:spacing w:after="0"/>
              <w:rPr>
                <w:sz w:val="2"/>
                <w:szCs w:val="2"/>
                <w:color w:val="auto"/>
              </w:rPr>
            </w:pPr>
          </w:p>
        </w:tc>
        <w:tc>
          <w:tcPr>
            <w:tcW w:w="5640" w:type="dxa"/>
            <w:vAlign w:val="bottom"/>
            <w:tcBorders>
              <w:bottom w:val="single" w:sz="8" w:color="0071CE"/>
              <w:right w:val="single" w:sz="8" w:color="00497F"/>
            </w:tcBorders>
          </w:tcPr>
          <w:p>
            <w:pPr>
              <w:spacing w:after="0"/>
              <w:rPr>
                <w:sz w:val="2"/>
                <w:szCs w:val="2"/>
                <w:color w:val="auto"/>
              </w:rPr>
            </w:pPr>
          </w:p>
        </w:tc>
        <w:tc>
          <w:tcPr>
            <w:tcW w:w="2600" w:type="dxa"/>
            <w:vAlign w:val="bottom"/>
            <w:tcBorders>
              <w:bottom w:val="single" w:sz="8" w:color="0071CE"/>
            </w:tcBorders>
          </w:tcPr>
          <w:p>
            <w:pPr>
              <w:spacing w:after="0"/>
              <w:rPr>
                <w:sz w:val="2"/>
                <w:szCs w:val="2"/>
                <w:color w:val="auto"/>
              </w:rPr>
            </w:pPr>
          </w:p>
        </w:tc>
      </w:tr>
      <w:tr>
        <w:trPr>
          <w:trHeight w:val="195"/>
        </w:trPr>
        <w:tc>
          <w:tcPr>
            <w:tcW w:w="2640" w:type="dxa"/>
            <w:vAlign w:val="bottom"/>
            <w:tcBorders>
              <w:right w:val="single" w:sz="8" w:color="00497F"/>
            </w:tcBorders>
          </w:tcPr>
          <w:p>
            <w:pPr>
              <w:ind w:left="40"/>
              <w:spacing w:after="0"/>
              <w:rPr>
                <w:sz w:val="20"/>
                <w:szCs w:val="20"/>
                <w:color w:val="auto"/>
              </w:rPr>
            </w:pPr>
            <w:r>
              <w:rPr>
                <w:rFonts w:ascii="Arial" w:cs="Arial" w:eastAsia="Arial" w:hAnsi="Arial"/>
                <w:sz w:val="16"/>
                <w:szCs w:val="16"/>
                <w:b w:val="1"/>
                <w:bCs w:val="1"/>
                <w:color w:val="0071CE"/>
              </w:rPr>
              <w:t>Proposal 3:</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The  affirmative  vote  of  a  majority  of  the  shares  voted  affirmatively  or</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76777A"/>
              </w:rPr>
              <w:t>Recommendation:</w:t>
            </w:r>
          </w:p>
        </w:tc>
      </w:tr>
      <w:tr>
        <w:trPr>
          <w:trHeight w:val="189"/>
        </w:trPr>
        <w:tc>
          <w:tcPr>
            <w:tcW w:w="2640" w:type="dxa"/>
            <w:vAlign w:val="bottom"/>
            <w:tcBorders>
              <w:right w:val="single" w:sz="8" w:color="00497F"/>
            </w:tcBorders>
          </w:tcPr>
          <w:p>
            <w:pPr>
              <w:ind w:left="40"/>
              <w:spacing w:after="0"/>
              <w:rPr>
                <w:sz w:val="20"/>
                <w:szCs w:val="20"/>
                <w:color w:val="auto"/>
              </w:rPr>
            </w:pPr>
            <w:r>
              <w:rPr>
                <w:rFonts w:ascii="Arial" w:cs="Arial" w:eastAsia="Arial" w:hAnsi="Arial"/>
                <w:sz w:val="16"/>
                <w:szCs w:val="16"/>
                <w:b w:val="1"/>
                <w:bCs w:val="1"/>
                <w:color w:val="76777A"/>
              </w:rPr>
              <w:t>Approve, on an Advisory Basis,</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negatively for this proposal is required to approve, on an advisory basis, the</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3DAE2B"/>
              </w:rPr>
              <w:t>FOR</w:t>
            </w:r>
          </w:p>
        </w:tc>
      </w:tr>
      <w:tr>
        <w:trPr>
          <w:trHeight w:val="203"/>
        </w:trPr>
        <w:tc>
          <w:tcPr>
            <w:tcW w:w="2640" w:type="dxa"/>
            <w:vAlign w:val="bottom"/>
            <w:tcBorders>
              <w:right w:val="single" w:sz="8" w:color="00497F"/>
            </w:tcBorders>
          </w:tcPr>
          <w:p>
            <w:pPr>
              <w:ind w:left="40"/>
              <w:spacing w:after="0"/>
              <w:rPr>
                <w:sz w:val="20"/>
                <w:szCs w:val="20"/>
                <w:color w:val="auto"/>
              </w:rPr>
            </w:pPr>
            <w:r>
              <w:rPr>
                <w:rFonts w:ascii="Arial" w:cs="Arial" w:eastAsia="Arial" w:hAnsi="Arial"/>
                <w:sz w:val="16"/>
                <w:szCs w:val="16"/>
                <w:b w:val="1"/>
                <w:bCs w:val="1"/>
                <w:color w:val="76777A"/>
              </w:rPr>
              <w:t>the Compensation of Our Named</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compensation of our named executive officers, as disclosed in this proxy</w:t>
            </w:r>
          </w:p>
        </w:tc>
        <w:tc>
          <w:tcPr>
            <w:tcW w:w="2600" w:type="dxa"/>
            <w:vAlign w:val="bottom"/>
          </w:tcPr>
          <w:p>
            <w:pPr>
              <w:spacing w:after="0"/>
              <w:rPr>
                <w:sz w:val="17"/>
                <w:szCs w:val="17"/>
                <w:color w:val="auto"/>
              </w:rPr>
            </w:pPr>
          </w:p>
        </w:tc>
      </w:tr>
      <w:tr>
        <w:trPr>
          <w:trHeight w:val="189"/>
        </w:trPr>
        <w:tc>
          <w:tcPr>
            <w:tcW w:w="2640" w:type="dxa"/>
            <w:vAlign w:val="bottom"/>
            <w:tcBorders>
              <w:right w:val="single" w:sz="8" w:color="00497F"/>
            </w:tcBorders>
          </w:tcPr>
          <w:p>
            <w:pPr>
              <w:ind w:left="40"/>
              <w:spacing w:after="0"/>
              <w:rPr>
                <w:sz w:val="20"/>
                <w:szCs w:val="20"/>
                <w:color w:val="auto"/>
              </w:rPr>
            </w:pPr>
            <w:r>
              <w:rPr>
                <w:rFonts w:ascii="Arial" w:cs="Arial" w:eastAsia="Arial" w:hAnsi="Arial"/>
                <w:sz w:val="16"/>
                <w:szCs w:val="16"/>
                <w:b w:val="1"/>
                <w:bCs w:val="1"/>
                <w:color w:val="76777A"/>
              </w:rPr>
              <w:t>Executive Officers</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statement. Abstentions will have no effect on the result of this vote. Brokerage</w:t>
            </w:r>
          </w:p>
        </w:tc>
        <w:tc>
          <w:tcPr>
            <w:tcW w:w="2600" w:type="dxa"/>
            <w:vAlign w:val="bottom"/>
          </w:tcPr>
          <w:p>
            <w:pPr>
              <w:spacing w:after="0"/>
              <w:rPr>
                <w:sz w:val="16"/>
                <w:szCs w:val="16"/>
                <w:color w:val="auto"/>
              </w:rPr>
            </w:pPr>
          </w:p>
        </w:tc>
      </w:tr>
      <w:tr>
        <w:trPr>
          <w:trHeight w:val="203"/>
        </w:trPr>
        <w:tc>
          <w:tcPr>
            <w:tcW w:w="2640" w:type="dxa"/>
            <w:vAlign w:val="bottom"/>
            <w:tcBorders>
              <w:right w:val="single" w:sz="8" w:color="00497F"/>
            </w:tcBorders>
          </w:tcPr>
          <w:p>
            <w:pPr>
              <w:spacing w:after="0"/>
              <w:rPr>
                <w:sz w:val="17"/>
                <w:szCs w:val="17"/>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firms do not have authority to vote customers’ unvoted shares held by the</w:t>
            </w:r>
          </w:p>
        </w:tc>
        <w:tc>
          <w:tcPr>
            <w:tcW w:w="2600" w:type="dxa"/>
            <w:vAlign w:val="bottom"/>
          </w:tcPr>
          <w:p>
            <w:pPr>
              <w:spacing w:after="0"/>
              <w:rPr>
                <w:sz w:val="17"/>
                <w:szCs w:val="17"/>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firms in street name on this proposal. As a result, any shares not voted by a</w:t>
            </w:r>
          </w:p>
        </w:tc>
        <w:tc>
          <w:tcPr>
            <w:tcW w:w="2600" w:type="dxa"/>
            <w:vAlign w:val="bottom"/>
          </w:tcPr>
          <w:p>
            <w:pPr>
              <w:spacing w:after="0"/>
              <w:rPr>
                <w:sz w:val="16"/>
                <w:szCs w:val="16"/>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customer will be treated as a broker non-vote. Such broker non-votes will</w:t>
            </w:r>
          </w:p>
        </w:tc>
        <w:tc>
          <w:tcPr>
            <w:tcW w:w="2600" w:type="dxa"/>
            <w:vAlign w:val="bottom"/>
          </w:tcPr>
          <w:p>
            <w:pPr>
              <w:spacing w:after="0"/>
              <w:rPr>
                <w:sz w:val="16"/>
                <w:szCs w:val="16"/>
                <w:color w:val="auto"/>
              </w:rPr>
            </w:pPr>
          </w:p>
        </w:tc>
      </w:tr>
      <w:tr>
        <w:trPr>
          <w:trHeight w:val="203"/>
        </w:trPr>
        <w:tc>
          <w:tcPr>
            <w:tcW w:w="2640" w:type="dxa"/>
            <w:vAlign w:val="bottom"/>
            <w:tcBorders>
              <w:right w:val="single" w:sz="8" w:color="00497F"/>
            </w:tcBorders>
          </w:tcPr>
          <w:p>
            <w:pPr>
              <w:spacing w:after="0"/>
              <w:rPr>
                <w:sz w:val="17"/>
                <w:szCs w:val="17"/>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have no effect on the results of this vote. Although the advisory vote is non-</w:t>
            </w:r>
          </w:p>
        </w:tc>
        <w:tc>
          <w:tcPr>
            <w:tcW w:w="2600" w:type="dxa"/>
            <w:vAlign w:val="bottom"/>
          </w:tcPr>
          <w:p>
            <w:pPr>
              <w:spacing w:after="0"/>
              <w:rPr>
                <w:sz w:val="17"/>
                <w:szCs w:val="17"/>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binding, the CHCC and the Board will review the voting results and take them</w:t>
            </w:r>
          </w:p>
        </w:tc>
        <w:tc>
          <w:tcPr>
            <w:tcW w:w="2600" w:type="dxa"/>
            <w:vAlign w:val="bottom"/>
          </w:tcPr>
          <w:p>
            <w:pPr>
              <w:spacing w:after="0"/>
              <w:rPr>
                <w:sz w:val="16"/>
                <w:szCs w:val="16"/>
                <w:color w:val="auto"/>
              </w:rPr>
            </w:pPr>
          </w:p>
        </w:tc>
      </w:tr>
      <w:tr>
        <w:trPr>
          <w:trHeight w:val="203"/>
        </w:trPr>
        <w:tc>
          <w:tcPr>
            <w:tcW w:w="2640" w:type="dxa"/>
            <w:vAlign w:val="bottom"/>
            <w:tcBorders>
              <w:right w:val="single" w:sz="8" w:color="00497F"/>
            </w:tcBorders>
          </w:tcPr>
          <w:p>
            <w:pPr>
              <w:spacing w:after="0"/>
              <w:rPr>
                <w:sz w:val="17"/>
                <w:szCs w:val="17"/>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into consideration when making future decisions regarding the compensation</w:t>
            </w:r>
          </w:p>
        </w:tc>
        <w:tc>
          <w:tcPr>
            <w:tcW w:w="2600" w:type="dxa"/>
            <w:vAlign w:val="bottom"/>
          </w:tcPr>
          <w:p>
            <w:pPr>
              <w:spacing w:after="0"/>
              <w:rPr>
                <w:sz w:val="17"/>
                <w:szCs w:val="17"/>
                <w:color w:val="auto"/>
              </w:rPr>
            </w:pPr>
          </w:p>
        </w:tc>
      </w:tr>
      <w:tr>
        <w:trPr>
          <w:trHeight w:val="224"/>
        </w:trPr>
        <w:tc>
          <w:tcPr>
            <w:tcW w:w="2640" w:type="dxa"/>
            <w:vAlign w:val="bottom"/>
            <w:tcBorders>
              <w:bottom w:val="single" w:sz="8" w:color="026DCE"/>
              <w:right w:val="single" w:sz="8" w:color="00497F"/>
            </w:tcBorders>
          </w:tcPr>
          <w:p>
            <w:pPr>
              <w:spacing w:after="0"/>
              <w:rPr>
                <w:sz w:val="19"/>
                <w:szCs w:val="19"/>
                <w:color w:val="auto"/>
              </w:rPr>
            </w:pPr>
          </w:p>
        </w:tc>
        <w:tc>
          <w:tcPr>
            <w:tcW w:w="5640" w:type="dxa"/>
            <w:vAlign w:val="bottom"/>
            <w:tcBorders>
              <w:bottom w:val="single" w:sz="8" w:color="026DCE"/>
              <w:right w:val="single" w:sz="8" w:color="00497F"/>
            </w:tcBorders>
          </w:tcPr>
          <w:p>
            <w:pPr>
              <w:spacing w:after="0"/>
              <w:rPr>
                <w:sz w:val="20"/>
                <w:szCs w:val="20"/>
                <w:color w:val="auto"/>
              </w:rPr>
            </w:pPr>
            <w:r>
              <w:rPr>
                <w:rFonts w:ascii="Arial" w:cs="Arial" w:eastAsia="Arial" w:hAnsi="Arial"/>
                <w:sz w:val="16"/>
                <w:szCs w:val="16"/>
                <w:color w:val="auto"/>
              </w:rPr>
              <w:t>of our named executive officers.</w:t>
            </w:r>
          </w:p>
        </w:tc>
        <w:tc>
          <w:tcPr>
            <w:tcW w:w="2600" w:type="dxa"/>
            <w:vAlign w:val="bottom"/>
            <w:tcBorders>
              <w:bottom w:val="single" w:sz="8" w:color="026DCE"/>
            </w:tcBorders>
          </w:tcPr>
          <w:p>
            <w:pPr>
              <w:spacing w:after="0"/>
              <w:rPr>
                <w:sz w:val="19"/>
                <w:szCs w:val="19"/>
                <w:color w:val="auto"/>
              </w:rPr>
            </w:pPr>
          </w:p>
        </w:tc>
      </w:tr>
      <w:tr>
        <w:trPr>
          <w:trHeight w:val="202"/>
        </w:trPr>
        <w:tc>
          <w:tcPr>
            <w:tcW w:w="2640" w:type="dxa"/>
            <w:vAlign w:val="bottom"/>
            <w:tcBorders>
              <w:right w:val="single" w:sz="8" w:color="00497F"/>
            </w:tcBorders>
          </w:tcPr>
          <w:p>
            <w:pPr>
              <w:ind w:left="20"/>
              <w:spacing w:after="0"/>
              <w:rPr>
                <w:sz w:val="20"/>
                <w:szCs w:val="20"/>
                <w:color w:val="auto"/>
              </w:rPr>
            </w:pPr>
            <w:r>
              <w:rPr>
                <w:rFonts w:ascii="Arial" w:cs="Arial" w:eastAsia="Arial" w:hAnsi="Arial"/>
                <w:sz w:val="16"/>
                <w:szCs w:val="16"/>
                <w:b w:val="1"/>
                <w:bCs w:val="1"/>
                <w:color w:val="0071CE"/>
              </w:rPr>
              <w:t>Proposal 4:</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The  affirmative  vote  of  a  majority  of  the  shares  voted  affirmatively  or</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76777A"/>
              </w:rPr>
              <w:t>Recommendation:</w:t>
            </w:r>
          </w:p>
        </w:tc>
      </w:tr>
      <w:tr>
        <w:trPr>
          <w:trHeight w:val="189"/>
        </w:trPr>
        <w:tc>
          <w:tcPr>
            <w:tcW w:w="2640" w:type="dxa"/>
            <w:vAlign w:val="bottom"/>
            <w:tcBorders>
              <w:right w:val="single" w:sz="8" w:color="00497F"/>
            </w:tcBorders>
          </w:tcPr>
          <w:p>
            <w:pPr>
              <w:ind w:left="20"/>
              <w:spacing w:after="0"/>
              <w:rPr>
                <w:sz w:val="20"/>
                <w:szCs w:val="20"/>
                <w:color w:val="auto"/>
              </w:rPr>
            </w:pPr>
            <w:r>
              <w:rPr>
                <w:rFonts w:ascii="Arial" w:cs="Arial" w:eastAsia="Arial" w:hAnsi="Arial"/>
                <w:sz w:val="16"/>
                <w:szCs w:val="16"/>
                <w:b w:val="1"/>
                <w:bCs w:val="1"/>
                <w:color w:val="76777A"/>
              </w:rPr>
              <w:t>Approve the Proposed</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negatively for this proposal is required to approve the amendment to the</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3DAE2B"/>
              </w:rPr>
              <w:t>FOR</w:t>
            </w:r>
          </w:p>
        </w:tc>
      </w:tr>
      <w:tr>
        <w:trPr>
          <w:trHeight w:val="203"/>
        </w:trPr>
        <w:tc>
          <w:tcPr>
            <w:tcW w:w="2640" w:type="dxa"/>
            <w:vAlign w:val="bottom"/>
            <w:tcBorders>
              <w:right w:val="single" w:sz="8" w:color="00497F"/>
            </w:tcBorders>
          </w:tcPr>
          <w:p>
            <w:pPr>
              <w:ind w:left="20"/>
              <w:spacing w:after="0"/>
              <w:rPr>
                <w:sz w:val="20"/>
                <w:szCs w:val="20"/>
                <w:color w:val="auto"/>
              </w:rPr>
            </w:pPr>
            <w:r>
              <w:rPr>
                <w:rFonts w:ascii="Arial" w:cs="Arial" w:eastAsia="Arial" w:hAnsi="Arial"/>
                <w:sz w:val="16"/>
                <w:szCs w:val="16"/>
                <w:b w:val="1"/>
                <w:bCs w:val="1"/>
                <w:color w:val="76777A"/>
              </w:rPr>
              <w:t>Amendment to the Amended and</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Amended and Restated 2012 Employee Stock Purchase Plan (the "Purchase</w:t>
            </w:r>
          </w:p>
        </w:tc>
        <w:tc>
          <w:tcPr>
            <w:tcW w:w="2600" w:type="dxa"/>
            <w:vAlign w:val="bottom"/>
          </w:tcPr>
          <w:p>
            <w:pPr>
              <w:spacing w:after="0"/>
              <w:rPr>
                <w:sz w:val="17"/>
                <w:szCs w:val="17"/>
                <w:color w:val="auto"/>
              </w:rPr>
            </w:pPr>
          </w:p>
        </w:tc>
      </w:tr>
      <w:tr>
        <w:trPr>
          <w:trHeight w:val="189"/>
        </w:trPr>
        <w:tc>
          <w:tcPr>
            <w:tcW w:w="2640" w:type="dxa"/>
            <w:vAlign w:val="bottom"/>
            <w:tcBorders>
              <w:right w:val="single" w:sz="8" w:color="00497F"/>
            </w:tcBorders>
          </w:tcPr>
          <w:p>
            <w:pPr>
              <w:ind w:left="20"/>
              <w:spacing w:after="0"/>
              <w:rPr>
                <w:sz w:val="20"/>
                <w:szCs w:val="20"/>
                <w:color w:val="auto"/>
              </w:rPr>
            </w:pPr>
            <w:r>
              <w:rPr>
                <w:rFonts w:ascii="Arial" w:cs="Arial" w:eastAsia="Arial" w:hAnsi="Arial"/>
                <w:sz w:val="16"/>
                <w:szCs w:val="16"/>
                <w:b w:val="1"/>
                <w:bCs w:val="1"/>
                <w:color w:val="76777A"/>
              </w:rPr>
              <w:t>Restated 2012 Employee Stock</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Plan"),  which  increases  the  number  of  shares  authorized  for  issuance</w:t>
            </w:r>
          </w:p>
        </w:tc>
        <w:tc>
          <w:tcPr>
            <w:tcW w:w="2600" w:type="dxa"/>
            <w:vAlign w:val="bottom"/>
          </w:tcPr>
          <w:p>
            <w:pPr>
              <w:spacing w:after="0"/>
              <w:rPr>
                <w:sz w:val="16"/>
                <w:szCs w:val="16"/>
                <w:color w:val="auto"/>
              </w:rPr>
            </w:pPr>
          </w:p>
        </w:tc>
      </w:tr>
      <w:tr>
        <w:trPr>
          <w:trHeight w:val="203"/>
        </w:trPr>
        <w:tc>
          <w:tcPr>
            <w:tcW w:w="2640" w:type="dxa"/>
            <w:vAlign w:val="bottom"/>
            <w:tcBorders>
              <w:right w:val="single" w:sz="8" w:color="00497F"/>
            </w:tcBorders>
          </w:tcPr>
          <w:p>
            <w:pPr>
              <w:ind w:left="20"/>
              <w:spacing w:after="0"/>
              <w:rPr>
                <w:sz w:val="20"/>
                <w:szCs w:val="20"/>
                <w:color w:val="auto"/>
              </w:rPr>
            </w:pPr>
            <w:r>
              <w:rPr>
                <w:rFonts w:ascii="Arial" w:cs="Arial" w:eastAsia="Arial" w:hAnsi="Arial"/>
                <w:sz w:val="16"/>
                <w:szCs w:val="16"/>
                <w:b w:val="1"/>
                <w:bCs w:val="1"/>
                <w:color w:val="76777A"/>
              </w:rPr>
              <w:t>Purchase plan, as amended</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thereunder by an additional 4,000,000 shares. Abstentions will have no effect</w:t>
            </w:r>
          </w:p>
        </w:tc>
        <w:tc>
          <w:tcPr>
            <w:tcW w:w="2600" w:type="dxa"/>
            <w:vAlign w:val="bottom"/>
          </w:tcPr>
          <w:p>
            <w:pPr>
              <w:spacing w:after="0"/>
              <w:rPr>
                <w:sz w:val="17"/>
                <w:szCs w:val="17"/>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on the results of this vote. Brokerage firms do not have the authority to vote</w:t>
            </w:r>
          </w:p>
        </w:tc>
        <w:tc>
          <w:tcPr>
            <w:tcW w:w="2600" w:type="dxa"/>
            <w:vAlign w:val="bottom"/>
          </w:tcPr>
          <w:p>
            <w:pPr>
              <w:spacing w:after="0"/>
              <w:rPr>
                <w:sz w:val="16"/>
                <w:szCs w:val="16"/>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customers’ unvoted shares held by the firms in street name on this proposal.</w:t>
            </w:r>
          </w:p>
        </w:tc>
        <w:tc>
          <w:tcPr>
            <w:tcW w:w="2600" w:type="dxa"/>
            <w:vAlign w:val="bottom"/>
          </w:tcPr>
          <w:p>
            <w:pPr>
              <w:spacing w:after="0"/>
              <w:rPr>
                <w:sz w:val="16"/>
                <w:szCs w:val="16"/>
                <w:color w:val="auto"/>
              </w:rPr>
            </w:pPr>
          </w:p>
        </w:tc>
      </w:tr>
      <w:tr>
        <w:trPr>
          <w:trHeight w:val="203"/>
        </w:trPr>
        <w:tc>
          <w:tcPr>
            <w:tcW w:w="2640" w:type="dxa"/>
            <w:vAlign w:val="bottom"/>
            <w:tcBorders>
              <w:right w:val="single" w:sz="8" w:color="00497F"/>
            </w:tcBorders>
          </w:tcPr>
          <w:p>
            <w:pPr>
              <w:spacing w:after="0"/>
              <w:rPr>
                <w:sz w:val="17"/>
                <w:szCs w:val="17"/>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As a result, any shares not voted by a customer will be treated as a broker</w:t>
            </w:r>
          </w:p>
        </w:tc>
        <w:tc>
          <w:tcPr>
            <w:tcW w:w="2600" w:type="dxa"/>
            <w:vAlign w:val="bottom"/>
          </w:tcPr>
          <w:p>
            <w:pPr>
              <w:spacing w:after="0"/>
              <w:rPr>
                <w:sz w:val="17"/>
                <w:szCs w:val="17"/>
                <w:color w:val="auto"/>
              </w:rPr>
            </w:pPr>
          </w:p>
        </w:tc>
      </w:tr>
      <w:tr>
        <w:trPr>
          <w:trHeight w:val="215"/>
        </w:trPr>
        <w:tc>
          <w:tcPr>
            <w:tcW w:w="2640" w:type="dxa"/>
            <w:vAlign w:val="bottom"/>
            <w:tcBorders>
              <w:right w:val="single" w:sz="8" w:color="00497F"/>
            </w:tcBorders>
          </w:tcPr>
          <w:p>
            <w:pPr>
              <w:spacing w:after="0"/>
              <w:rPr>
                <w:sz w:val="18"/>
                <w:szCs w:val="18"/>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non-vote. Such broker non-votes will have no effect on the results of this vote.</w:t>
            </w:r>
          </w:p>
        </w:tc>
        <w:tc>
          <w:tcPr>
            <w:tcW w:w="2600" w:type="dxa"/>
            <w:vAlign w:val="bottom"/>
          </w:tcPr>
          <w:p>
            <w:pPr>
              <w:spacing w:after="0"/>
              <w:rPr>
                <w:sz w:val="18"/>
                <w:szCs w:val="18"/>
                <w:color w:val="auto"/>
              </w:rPr>
            </w:pPr>
          </w:p>
        </w:tc>
      </w:tr>
      <w:tr>
        <w:trPr>
          <w:trHeight w:val="29"/>
        </w:trPr>
        <w:tc>
          <w:tcPr>
            <w:tcW w:w="2640" w:type="dxa"/>
            <w:vAlign w:val="bottom"/>
            <w:tcBorders>
              <w:bottom w:val="single" w:sz="8" w:color="026DCE"/>
              <w:right w:val="single" w:sz="8" w:color="00497F"/>
            </w:tcBorders>
          </w:tcPr>
          <w:p>
            <w:pPr>
              <w:spacing w:after="0"/>
              <w:rPr>
                <w:sz w:val="2"/>
                <w:szCs w:val="2"/>
                <w:color w:val="auto"/>
              </w:rPr>
            </w:pPr>
          </w:p>
        </w:tc>
        <w:tc>
          <w:tcPr>
            <w:tcW w:w="5640" w:type="dxa"/>
            <w:vAlign w:val="bottom"/>
            <w:tcBorders>
              <w:bottom w:val="single" w:sz="8" w:color="026DCE"/>
              <w:right w:val="single" w:sz="8" w:color="00497F"/>
            </w:tcBorders>
          </w:tcPr>
          <w:p>
            <w:pPr>
              <w:spacing w:after="0"/>
              <w:rPr>
                <w:sz w:val="2"/>
                <w:szCs w:val="2"/>
                <w:color w:val="auto"/>
              </w:rPr>
            </w:pPr>
          </w:p>
        </w:tc>
        <w:tc>
          <w:tcPr>
            <w:tcW w:w="2600" w:type="dxa"/>
            <w:vAlign w:val="bottom"/>
            <w:tcBorders>
              <w:bottom w:val="single" w:sz="8" w:color="026DCE"/>
            </w:tcBorders>
          </w:tcPr>
          <w:p>
            <w:pPr>
              <w:spacing w:after="0"/>
              <w:rPr>
                <w:sz w:val="2"/>
                <w:szCs w:val="2"/>
                <w:color w:val="auto"/>
              </w:rPr>
            </w:pPr>
          </w:p>
        </w:tc>
      </w:tr>
      <w:tr>
        <w:trPr>
          <w:trHeight w:val="195"/>
        </w:trPr>
        <w:tc>
          <w:tcPr>
            <w:tcW w:w="2640" w:type="dxa"/>
            <w:vAlign w:val="bottom"/>
            <w:tcBorders>
              <w:right w:val="single" w:sz="8" w:color="00497F"/>
            </w:tcBorders>
          </w:tcPr>
          <w:p>
            <w:pPr>
              <w:ind w:left="20"/>
              <w:spacing w:after="0"/>
              <w:rPr>
                <w:sz w:val="20"/>
                <w:szCs w:val="20"/>
                <w:color w:val="auto"/>
              </w:rPr>
            </w:pPr>
            <w:r>
              <w:rPr>
                <w:rFonts w:ascii="Arial" w:cs="Arial" w:eastAsia="Arial" w:hAnsi="Arial"/>
                <w:sz w:val="16"/>
                <w:szCs w:val="16"/>
                <w:b w:val="1"/>
                <w:bCs w:val="1"/>
                <w:color w:val="0071CE"/>
              </w:rPr>
              <w:t>Proposal 5:</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The  affirmative  vote  of  a  majority  of  the  shares  voted  affirmatively  or</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76777A"/>
              </w:rPr>
              <w:t>Recommendation:</w:t>
            </w:r>
          </w:p>
        </w:tc>
      </w:tr>
      <w:tr>
        <w:trPr>
          <w:trHeight w:val="189"/>
        </w:trPr>
        <w:tc>
          <w:tcPr>
            <w:tcW w:w="2640" w:type="dxa"/>
            <w:vAlign w:val="bottom"/>
            <w:tcBorders>
              <w:right w:val="single" w:sz="8" w:color="00497F"/>
            </w:tcBorders>
          </w:tcPr>
          <w:p>
            <w:pPr>
              <w:ind w:left="20"/>
              <w:spacing w:after="0"/>
              <w:rPr>
                <w:sz w:val="20"/>
                <w:szCs w:val="20"/>
                <w:color w:val="auto"/>
              </w:rPr>
            </w:pPr>
            <w:r>
              <w:rPr>
                <w:rFonts w:ascii="Arial" w:cs="Arial" w:eastAsia="Arial" w:hAnsi="Arial"/>
                <w:sz w:val="16"/>
                <w:szCs w:val="16"/>
                <w:b w:val="1"/>
                <w:bCs w:val="1"/>
                <w:color w:val="76777A"/>
              </w:rPr>
              <w:t>Approve the Proposed 2026</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negatively for this proposal is required to approve the Myriad Genetics, Inc.</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3DAE2B"/>
              </w:rPr>
              <w:t>FOR</w:t>
            </w:r>
          </w:p>
        </w:tc>
      </w:tr>
      <w:tr>
        <w:trPr>
          <w:trHeight w:val="203"/>
        </w:trPr>
        <w:tc>
          <w:tcPr>
            <w:tcW w:w="2640" w:type="dxa"/>
            <w:vAlign w:val="bottom"/>
            <w:tcBorders>
              <w:right w:val="single" w:sz="8" w:color="00497F"/>
            </w:tcBorders>
          </w:tcPr>
          <w:p>
            <w:pPr>
              <w:ind w:left="20"/>
              <w:spacing w:after="0"/>
              <w:rPr>
                <w:sz w:val="20"/>
                <w:szCs w:val="20"/>
                <w:color w:val="auto"/>
              </w:rPr>
            </w:pPr>
            <w:r>
              <w:rPr>
                <w:rFonts w:ascii="Arial" w:cs="Arial" w:eastAsia="Arial" w:hAnsi="Arial"/>
                <w:sz w:val="16"/>
                <w:szCs w:val="16"/>
                <w:b w:val="1"/>
                <w:bCs w:val="1"/>
                <w:color w:val="76777A"/>
              </w:rPr>
              <w:t>Employee, Director and</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2026 Employee, Director and Consultant Equity Incentive Plan. Abstentions</w:t>
            </w:r>
          </w:p>
        </w:tc>
        <w:tc>
          <w:tcPr>
            <w:tcW w:w="2600" w:type="dxa"/>
            <w:vAlign w:val="bottom"/>
          </w:tcPr>
          <w:p>
            <w:pPr>
              <w:spacing w:after="0"/>
              <w:rPr>
                <w:sz w:val="17"/>
                <w:szCs w:val="17"/>
                <w:color w:val="auto"/>
              </w:rPr>
            </w:pPr>
          </w:p>
        </w:tc>
      </w:tr>
      <w:tr>
        <w:trPr>
          <w:trHeight w:val="189"/>
        </w:trPr>
        <w:tc>
          <w:tcPr>
            <w:tcW w:w="2640" w:type="dxa"/>
            <w:vAlign w:val="bottom"/>
            <w:tcBorders>
              <w:right w:val="single" w:sz="8" w:color="00497F"/>
            </w:tcBorders>
          </w:tcPr>
          <w:p>
            <w:pPr>
              <w:ind w:left="20"/>
              <w:spacing w:after="0"/>
              <w:rPr>
                <w:sz w:val="20"/>
                <w:szCs w:val="20"/>
                <w:color w:val="auto"/>
              </w:rPr>
            </w:pPr>
            <w:r>
              <w:rPr>
                <w:rFonts w:ascii="Arial" w:cs="Arial" w:eastAsia="Arial" w:hAnsi="Arial"/>
                <w:sz w:val="16"/>
                <w:szCs w:val="16"/>
                <w:b w:val="1"/>
                <w:bCs w:val="1"/>
                <w:color w:val="76777A"/>
              </w:rPr>
              <w:t>Consultant Equity Incentive Plan</w:t>
            </w: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will have no effect on the results of this vote. Brokerage firms do not have the</w:t>
            </w:r>
          </w:p>
        </w:tc>
        <w:tc>
          <w:tcPr>
            <w:tcW w:w="2600" w:type="dxa"/>
            <w:vAlign w:val="bottom"/>
          </w:tcPr>
          <w:p>
            <w:pPr>
              <w:spacing w:after="0"/>
              <w:rPr>
                <w:sz w:val="16"/>
                <w:szCs w:val="16"/>
                <w:color w:val="auto"/>
              </w:rPr>
            </w:pPr>
          </w:p>
        </w:tc>
      </w:tr>
      <w:tr>
        <w:trPr>
          <w:trHeight w:val="203"/>
        </w:trPr>
        <w:tc>
          <w:tcPr>
            <w:tcW w:w="2640" w:type="dxa"/>
            <w:vAlign w:val="bottom"/>
            <w:tcBorders>
              <w:right w:val="single" w:sz="8" w:color="00497F"/>
            </w:tcBorders>
          </w:tcPr>
          <w:p>
            <w:pPr>
              <w:spacing w:after="0"/>
              <w:rPr>
                <w:sz w:val="17"/>
                <w:szCs w:val="17"/>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authority to vote customers’ unvoted shares held by the firms in street name</w:t>
            </w:r>
          </w:p>
        </w:tc>
        <w:tc>
          <w:tcPr>
            <w:tcW w:w="2600" w:type="dxa"/>
            <w:vAlign w:val="bottom"/>
          </w:tcPr>
          <w:p>
            <w:pPr>
              <w:spacing w:after="0"/>
              <w:rPr>
                <w:sz w:val="17"/>
                <w:szCs w:val="17"/>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on this proposal. As a result, any shares not voted by a customer will be</w:t>
            </w:r>
          </w:p>
        </w:tc>
        <w:tc>
          <w:tcPr>
            <w:tcW w:w="2600" w:type="dxa"/>
            <w:vAlign w:val="bottom"/>
          </w:tcPr>
          <w:p>
            <w:pPr>
              <w:spacing w:after="0"/>
              <w:rPr>
                <w:sz w:val="16"/>
                <w:szCs w:val="16"/>
                <w:color w:val="auto"/>
              </w:rPr>
            </w:pPr>
          </w:p>
        </w:tc>
      </w:tr>
      <w:tr>
        <w:trPr>
          <w:trHeight w:val="189"/>
        </w:trPr>
        <w:tc>
          <w:tcPr>
            <w:tcW w:w="2640" w:type="dxa"/>
            <w:vAlign w:val="bottom"/>
            <w:tcBorders>
              <w:right w:val="single" w:sz="8" w:color="00497F"/>
            </w:tcBorders>
          </w:tcPr>
          <w:p>
            <w:pPr>
              <w:spacing w:after="0"/>
              <w:rPr>
                <w:sz w:val="16"/>
                <w:szCs w:val="16"/>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treated as a broker non-vote. Such broker non-votes will have no effect on the</w:t>
            </w:r>
          </w:p>
        </w:tc>
        <w:tc>
          <w:tcPr>
            <w:tcW w:w="2600" w:type="dxa"/>
            <w:vAlign w:val="bottom"/>
          </w:tcPr>
          <w:p>
            <w:pPr>
              <w:spacing w:after="0"/>
              <w:rPr>
                <w:sz w:val="16"/>
                <w:szCs w:val="16"/>
                <w:color w:val="auto"/>
              </w:rPr>
            </w:pPr>
          </w:p>
        </w:tc>
      </w:tr>
      <w:tr>
        <w:trPr>
          <w:trHeight w:val="215"/>
        </w:trPr>
        <w:tc>
          <w:tcPr>
            <w:tcW w:w="2640" w:type="dxa"/>
            <w:vAlign w:val="bottom"/>
            <w:tcBorders>
              <w:right w:val="single" w:sz="8" w:color="00497F"/>
            </w:tcBorders>
          </w:tcPr>
          <w:p>
            <w:pPr>
              <w:spacing w:after="0"/>
              <w:rPr>
                <w:sz w:val="18"/>
                <w:szCs w:val="18"/>
                <w:color w:val="auto"/>
              </w:rPr>
            </w:pPr>
          </w:p>
        </w:tc>
        <w:tc>
          <w:tcPr>
            <w:tcW w:w="564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results of this vote.</w:t>
            </w:r>
          </w:p>
        </w:tc>
        <w:tc>
          <w:tcPr>
            <w:tcW w:w="2600" w:type="dxa"/>
            <w:vAlign w:val="bottom"/>
          </w:tcPr>
          <w:p>
            <w:pPr>
              <w:spacing w:after="0"/>
              <w:rPr>
                <w:sz w:val="18"/>
                <w:szCs w:val="18"/>
                <w:color w:val="auto"/>
              </w:rPr>
            </w:pPr>
          </w:p>
        </w:tc>
      </w:tr>
      <w:tr>
        <w:trPr>
          <w:trHeight w:val="29"/>
        </w:trPr>
        <w:tc>
          <w:tcPr>
            <w:tcW w:w="2640" w:type="dxa"/>
            <w:vAlign w:val="bottom"/>
            <w:tcBorders>
              <w:bottom w:val="single" w:sz="8" w:color="026DCE"/>
              <w:right w:val="single" w:sz="8" w:color="00497F"/>
            </w:tcBorders>
          </w:tcPr>
          <w:p>
            <w:pPr>
              <w:spacing w:after="0"/>
              <w:rPr>
                <w:sz w:val="2"/>
                <w:szCs w:val="2"/>
                <w:color w:val="auto"/>
              </w:rPr>
            </w:pPr>
          </w:p>
        </w:tc>
        <w:tc>
          <w:tcPr>
            <w:tcW w:w="5640" w:type="dxa"/>
            <w:vAlign w:val="bottom"/>
            <w:tcBorders>
              <w:bottom w:val="single" w:sz="8" w:color="026DCE"/>
              <w:right w:val="single" w:sz="8" w:color="00497F"/>
            </w:tcBorders>
          </w:tcPr>
          <w:p>
            <w:pPr>
              <w:spacing w:after="0"/>
              <w:rPr>
                <w:sz w:val="2"/>
                <w:szCs w:val="2"/>
                <w:color w:val="auto"/>
              </w:rPr>
            </w:pPr>
          </w:p>
        </w:tc>
        <w:tc>
          <w:tcPr>
            <w:tcW w:w="2600" w:type="dxa"/>
            <w:vAlign w:val="bottom"/>
            <w:tcBorders>
              <w:bottom w:val="single" w:sz="8" w:color="026DCE"/>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6905625</wp:posOffset>
            </wp:positionH>
            <wp:positionV relativeFrom="paragraph">
              <wp:posOffset>-6145530</wp:posOffset>
            </wp:positionV>
            <wp:extent cx="8890" cy="3960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3960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-6145530</wp:posOffset>
            </wp:positionV>
            <wp:extent cx="8890" cy="3960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00497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764" w:right="69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003595"/>
        </w:rPr>
        <w:t>Is Voting Confidential?</w:t>
      </w:r>
    </w:p>
    <w:p>
      <w:pPr>
        <w:spacing w:after="0" w:line="2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will keep all the proxies, ballots and voting tabulations private. We only let our Inspector of Elections and our transfer agent, Equiniti Trust Company, LLC, examine these documents. Management, other than the Inspector of Elections, will not know how you voted on a specific proposal unless it is necessary to meet legal requirements. We will, however, forward to management any written comments you make on the proxy card or elsewhere.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Where Can I Find the Voting Results of the Annual Meeting?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preliminary voting results will be announced at the Annual Meeting, and we will publish preliminary results, or final results if available, in a Current Report on Form 8-K within four business days of the Annual Meeting. If final results are unavailable at the time the Form 8-K is filed, we will file an amended report on Form 8-K to disclose the final voting results within four business days after the final results are known.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What Are the Costs of Soliciting Proxies?</w:t>
      </w:r>
    </w:p>
    <w:p>
      <w:pPr>
        <w:spacing w:after="0" w:line="2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will pay all of the costs of soliciting proxies. Our directors and employees may solicit proxies in person or by telephone, fax or email. We will pay these employees and directors no additional compensation for these services. We may ask banks, brokers and other institutions, nominees and fiduciaries to forward these proxy materials to their principals and to obtain authority to deliver proxies. We will then reimburse them for their expenses.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What Constitutes a Quorum for the Annual Meeting?</w:t>
      </w:r>
    </w:p>
    <w:p>
      <w:pPr>
        <w:spacing w:after="0" w:line="2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presence, in person (by means of remote communication as authorized by the Board) or by proxy, of the holders of a majority of the voting power of the outstanding shares of our common stock is necessary to constitute a quorum at the Annual Meeting. Votes of stockholders of record who are present virtually at the meeting or by proxy, abstentions, and broker non-votes are counted for purposes of determining whether a quorum exists.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Attending the Annual Meeting</w:t>
      </w:r>
    </w:p>
    <w:p>
      <w:pPr>
        <w:spacing w:after="0" w:line="252"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Annual Meeting will be held at 8:00 a.m. MDT on Thursday, June 4, 2026, via Internet webcast. Our Annual Meeting will be held in a virtual meeting format only.</w:t>
      </w:r>
    </w:p>
    <w:p>
      <w:pPr>
        <w:spacing w:after="0" w:line="168"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To attend the virtual Annual Meeting, go to the following URL: www.virtualshareholdermeeting.com/MYGN2026 shortly before the meeting time, and follow the instructions for downloading the webcast.</w:t>
      </w:r>
    </w:p>
    <w:p>
      <w:pPr>
        <w:spacing w:after="0" w:line="16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If you miss the Annual Meeting, you can view a replay of the webcast at the following URL: www.virtualshareholdermeeting.com/MYGN2026 for one year following the Annual Meeting. You need not attend the Annual Meeting in order to vote.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Householding of Annual Disclosure Documents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200" w:lineRule="exact"/>
        <w:rPr>
          <w:sz w:val="20"/>
          <w:szCs w:val="20"/>
          <w:color w:val="auto"/>
        </w:rPr>
      </w:pP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your household received a single Notice or, if applicable, set of proxy materials this year, but you would prefer to receive your own copy, please contact Broadridge by calling their toll-free number, 1-866-540-7095. If you do not wish to participate in ‘‘householding’’ and would like to receive your own Notice or, if applicable, a set of proxy materials in future years, follow the instructions described below.</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7" w:name="page18"/>
    <w:bookmarkEnd w:id="17"/>
    <w:p>
      <w:pPr>
        <w:ind w:right="20"/>
        <w:spacing w:after="0" w:line="286" w:lineRule="auto"/>
        <w:rPr>
          <w:sz w:val="20"/>
          <w:szCs w:val="20"/>
          <w:color w:val="auto"/>
        </w:rPr>
      </w:pPr>
      <w:r>
        <w:rPr>
          <w:rFonts w:ascii="Arial" w:cs="Arial" w:eastAsia="Arial" w:hAnsi="Arial"/>
          <w:sz w:val="16"/>
          <w:szCs w:val="16"/>
          <w:color w:val="auto"/>
        </w:rPr>
        <w:t>Conversely, if you share an address with another Myriad Genetics, Inc. stockholder and together both of you would like to receive only a single Notice or, if applicable, set of proxy materials, follow these instructions:</w:t>
      </w:r>
    </w:p>
    <w:p>
      <w:pPr>
        <w:spacing w:after="0" w:line="196" w:lineRule="exact"/>
        <w:rPr>
          <w:sz w:val="20"/>
          <w:szCs w:val="20"/>
          <w:color w:val="auto"/>
        </w:rPr>
      </w:pPr>
    </w:p>
    <w:p>
      <w:pPr>
        <w:ind w:left="660" w:hanging="328"/>
        <w:spacing w:after="0" w:line="28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your Myriad Genetics, Inc. shares are registered in your own name, please contact Broadridge and inform them of your request by calling them at 1-866-540-7095 or writing them at Broadridge Householding Department, 51 Mercedes Way, Edgewood, NY 11717.</w:t>
      </w:r>
    </w:p>
    <w:p>
      <w:pPr>
        <w:spacing w:after="0" w:line="196"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 broker or other nominee holds your Myriad Genetics, Inc. shares, please contact the broker or other nominee directly and inform them of your request. Be sure to include your name, the name of your brokerage firm and your account number.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Electronic Delivery of Company Stockholder Communications</w:t>
      </w:r>
    </w:p>
    <w:p>
      <w:pPr>
        <w:spacing w:after="0" w:line="2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Most stockholders can elect to receive notices of the availability of future proxy materials by email instead of receiving a paper copy in the mail. You can choose this option and save the cost of producing and mailing these documents by following the instructions provided on your Notice or proxy card or following the instructions provided when you vote over the Internet at </w:t>
      </w:r>
      <w:r>
        <w:rPr>
          <w:rFonts w:ascii="Arial" w:cs="Arial" w:eastAsia="Arial" w:hAnsi="Arial"/>
          <w:sz w:val="16"/>
          <w:szCs w:val="16"/>
          <w:i w:val="1"/>
          <w:iCs w:val="1"/>
          <w:u w:val="single" w:color="auto"/>
          <w:color w:val="auto"/>
        </w:rPr>
        <w:t>www.proxyvote.com</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5"/>
          <w:szCs w:val="25"/>
          <w:b w:val="1"/>
          <w:bCs w:val="1"/>
          <w:color w:val="003595"/>
        </w:rPr>
        <w:t>Management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900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The Board of Directors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Restated Certificate of Incorporation, as amended, and Restated By-Laws provide that our business is to be managed by or under the direction of our Board. Our Board is divided into three classes for purposes of election. One class is elected at each annual meeting of stockholders to serve for a term to expire at the third succeeding annual meeting after their election. The Board currently consists of nine members, classified into three classes as follows: S. Louise Phanstiel (Chair), Mark S. Davis, and Daniel M. Skovronsky M.D., Ph.D. constitute a class with a term ending at the 2027 Annual Meeting of Stockholders (the ‘‘Class I Directors’’); Samraat S. Raha, Heiner Dreismann, Ph.D., and Colleen F. Reitan constitute a class with a term ending at the 2028 Annual Meeting of Stockholders (the ‘‘Class II Directors’’); and Rashmi Kumar, Paul M. Bisaro, and Lee N. Newcomer, M.D. constitute a class with a term ending at the 2026 Annual Meeting of Stockholders (the ‘‘Class III Directors’’).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Board Composition and Refreshment</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Annually, the NGC considers the size, structure and needs of the Board, reviews and considers potential changes to the size and composition of the Board, and recommends director nominees to the Board for approval. In addition, the NGC regularly assesses the effectiveness of each director.</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its review of directors, and its director nominees, the NGC considers the composition of the Board, including the capabilities, areas of expertise, and experience of the Board, as well as the current and future business strategies and challenges and opportunities for the Company. These considerations have resulted in the addition of two new independent directors, Mr. Bisaro and Mr. Davis, over the past four years.</w:t>
      </w:r>
    </w:p>
    <w:p>
      <w:pPr>
        <w:spacing w:after="0" w:line="178"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The Board accepted the recommendation of the NGC and unanimously resolved to nominate Paul M. Bisaro, Rashmi Kumar, and Lee N. Newcomer for election at the Annual Meeting as Class III Directors to serve until the 2029 Annual Meeting of Stockholders, and until their successors have been elected and qualified, or until his or her earlier death, resignation, retirement or removal.</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Set forth below in the table and biographies are the names of the persons nominated as directors and the current directors of the Company, their ages as of April 14, 2026, their offices in the Company, if any, their principal occupations or employment for at least the past five years, the length of their tenure as directors and the names of other public companies in which such persons currently hold directorships or have held directorships in the past five years. Additionally, information about the specific experience, qualifications, attributes or skills that led to the Board’s conclusion at the time of the filing of this proxy statement that each person listed below should serve as a director is set forth below for each individual director.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15"/>
        </w:trPr>
        <w:tc>
          <w:tcPr>
            <w:tcW w:w="3960" w:type="dxa"/>
            <w:vAlign w:val="bottom"/>
            <w:tcBorders>
              <w:left w:val="single" w:sz="8" w:color="00497F"/>
            </w:tcBorders>
            <w:shd w:val="clear" w:color="auto" w:fill="003595"/>
          </w:tcPr>
          <w:p>
            <w:pPr>
              <w:spacing w:after="0"/>
              <w:rPr>
                <w:sz w:val="18"/>
                <w:szCs w:val="18"/>
                <w:color w:val="auto"/>
              </w:rPr>
            </w:pPr>
          </w:p>
        </w:tc>
        <w:tc>
          <w:tcPr>
            <w:tcW w:w="600" w:type="dxa"/>
            <w:vAlign w:val="bottom"/>
            <w:shd w:val="clear" w:color="auto" w:fill="003595"/>
          </w:tcPr>
          <w:p>
            <w:pPr>
              <w:spacing w:after="0"/>
              <w:rPr>
                <w:sz w:val="18"/>
                <w:szCs w:val="18"/>
                <w:color w:val="auto"/>
              </w:rPr>
            </w:pPr>
          </w:p>
        </w:tc>
        <w:tc>
          <w:tcPr>
            <w:tcW w:w="120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Audit and</w:t>
            </w:r>
          </w:p>
        </w:tc>
        <w:tc>
          <w:tcPr>
            <w:tcW w:w="174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Compensation and</w:t>
            </w:r>
          </w:p>
        </w:tc>
        <w:tc>
          <w:tcPr>
            <w:tcW w:w="166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Nominating and</w:t>
            </w:r>
          </w:p>
        </w:tc>
        <w:tc>
          <w:tcPr>
            <w:tcW w:w="1740" w:type="dxa"/>
            <w:vAlign w:val="bottom"/>
            <w:tcBorders>
              <w:right w:val="single" w:sz="8" w:color="00497F"/>
            </w:tcBorders>
            <w:shd w:val="clear" w:color="auto" w:fill="003595"/>
          </w:tcPr>
          <w:p>
            <w:pPr>
              <w:jc w:val="center"/>
              <w:spacing w:after="0"/>
              <w:rPr>
                <w:sz w:val="20"/>
                <w:szCs w:val="20"/>
                <w:color w:val="auto"/>
              </w:rPr>
            </w:pPr>
            <w:r>
              <w:rPr>
                <w:rFonts w:ascii="Arial" w:cs="Arial" w:eastAsia="Arial" w:hAnsi="Arial"/>
                <w:sz w:val="16"/>
                <w:szCs w:val="16"/>
                <w:b w:val="1"/>
                <w:bCs w:val="1"/>
                <w:color w:val="FFFFFF"/>
              </w:rPr>
              <w:t>Research and</w:t>
            </w:r>
          </w:p>
        </w:tc>
      </w:tr>
      <w:tr>
        <w:trPr>
          <w:trHeight w:val="203"/>
        </w:trPr>
        <w:tc>
          <w:tcPr>
            <w:tcW w:w="3960" w:type="dxa"/>
            <w:vAlign w:val="bottom"/>
            <w:tcBorders>
              <w:left w:val="single" w:sz="8" w:color="00497F"/>
            </w:tcBorders>
            <w:shd w:val="clear" w:color="auto" w:fill="003595"/>
          </w:tcPr>
          <w:p>
            <w:pPr>
              <w:ind w:left="1260"/>
              <w:spacing w:after="0"/>
              <w:rPr>
                <w:sz w:val="20"/>
                <w:szCs w:val="20"/>
                <w:color w:val="auto"/>
              </w:rPr>
            </w:pPr>
            <w:r>
              <w:rPr>
                <w:rFonts w:ascii="Arial" w:cs="Arial" w:eastAsia="Arial" w:hAnsi="Arial"/>
                <w:sz w:val="16"/>
                <w:szCs w:val="16"/>
                <w:b w:val="1"/>
                <w:bCs w:val="1"/>
                <w:color w:val="FFFFFF"/>
              </w:rPr>
              <w:t>Name and Position</w:t>
            </w:r>
          </w:p>
        </w:tc>
        <w:tc>
          <w:tcPr>
            <w:tcW w:w="60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w w:val="99"/>
              </w:rPr>
              <w:t>Age</w:t>
            </w:r>
          </w:p>
        </w:tc>
        <w:tc>
          <w:tcPr>
            <w:tcW w:w="120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Finance</w:t>
            </w:r>
          </w:p>
        </w:tc>
        <w:tc>
          <w:tcPr>
            <w:tcW w:w="174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Human Capital</w:t>
            </w:r>
          </w:p>
        </w:tc>
        <w:tc>
          <w:tcPr>
            <w:tcW w:w="166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Governance</w:t>
            </w:r>
          </w:p>
        </w:tc>
        <w:tc>
          <w:tcPr>
            <w:tcW w:w="1740" w:type="dxa"/>
            <w:vAlign w:val="bottom"/>
            <w:tcBorders>
              <w:right w:val="single" w:sz="8" w:color="00497F"/>
            </w:tcBorders>
            <w:shd w:val="clear" w:color="auto" w:fill="003595"/>
          </w:tcPr>
          <w:p>
            <w:pPr>
              <w:jc w:val="center"/>
              <w:spacing w:after="0"/>
              <w:rPr>
                <w:sz w:val="20"/>
                <w:szCs w:val="20"/>
                <w:color w:val="auto"/>
              </w:rPr>
            </w:pPr>
            <w:r>
              <w:rPr>
                <w:rFonts w:ascii="Arial" w:cs="Arial" w:eastAsia="Arial" w:hAnsi="Arial"/>
                <w:sz w:val="16"/>
                <w:szCs w:val="16"/>
                <w:b w:val="1"/>
                <w:bCs w:val="1"/>
                <w:color w:val="FFFFFF"/>
              </w:rPr>
              <w:t>Product Innovation</w:t>
            </w:r>
          </w:p>
        </w:tc>
      </w:tr>
      <w:tr>
        <w:trPr>
          <w:trHeight w:val="224"/>
        </w:trPr>
        <w:tc>
          <w:tcPr>
            <w:tcW w:w="3960" w:type="dxa"/>
            <w:vAlign w:val="bottom"/>
            <w:tcBorders>
              <w:left w:val="single" w:sz="8" w:color="00497F"/>
              <w:bottom w:val="single" w:sz="8" w:color="003595"/>
            </w:tcBorders>
            <w:shd w:val="clear" w:color="auto" w:fill="003595"/>
          </w:tcPr>
          <w:p>
            <w:pPr>
              <w:spacing w:after="0"/>
              <w:rPr>
                <w:sz w:val="19"/>
                <w:szCs w:val="19"/>
                <w:color w:val="auto"/>
              </w:rPr>
            </w:pPr>
          </w:p>
        </w:tc>
        <w:tc>
          <w:tcPr>
            <w:tcW w:w="600" w:type="dxa"/>
            <w:vAlign w:val="bottom"/>
            <w:tcBorders>
              <w:bottom w:val="single" w:sz="8" w:color="003595"/>
            </w:tcBorders>
            <w:shd w:val="clear" w:color="auto" w:fill="003595"/>
          </w:tcPr>
          <w:p>
            <w:pPr>
              <w:spacing w:after="0"/>
              <w:rPr>
                <w:sz w:val="19"/>
                <w:szCs w:val="19"/>
                <w:color w:val="auto"/>
              </w:rPr>
            </w:pPr>
          </w:p>
        </w:tc>
        <w:tc>
          <w:tcPr>
            <w:tcW w:w="120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6"/>
                <w:szCs w:val="16"/>
                <w:b w:val="1"/>
                <w:bCs w:val="1"/>
                <w:color w:val="FFFFFF"/>
              </w:rPr>
              <w:t>Committee</w:t>
            </w:r>
          </w:p>
        </w:tc>
        <w:tc>
          <w:tcPr>
            <w:tcW w:w="174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6"/>
                <w:szCs w:val="16"/>
                <w:b w:val="1"/>
                <w:bCs w:val="1"/>
                <w:color w:val="FFFFFF"/>
              </w:rPr>
              <w:t>Committee</w:t>
            </w:r>
          </w:p>
        </w:tc>
        <w:tc>
          <w:tcPr>
            <w:tcW w:w="166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1740" w:type="dxa"/>
            <w:vAlign w:val="bottom"/>
            <w:tcBorders>
              <w:bottom w:val="single" w:sz="8" w:color="003595"/>
              <w:right w:val="single" w:sz="8" w:color="00497F"/>
            </w:tcBorders>
            <w:shd w:val="clear" w:color="auto" w:fill="003595"/>
          </w:tcPr>
          <w:p>
            <w:pPr>
              <w:jc w:val="center"/>
              <w:spacing w:after="0"/>
              <w:rPr>
                <w:sz w:val="20"/>
                <w:szCs w:val="20"/>
                <w:color w:val="auto"/>
              </w:rPr>
            </w:pPr>
            <w:r>
              <w:rPr>
                <w:rFonts w:ascii="Arial" w:cs="Arial" w:eastAsia="Arial" w:hAnsi="Arial"/>
                <w:sz w:val="16"/>
                <w:szCs w:val="16"/>
                <w:b w:val="1"/>
                <w:bCs w:val="1"/>
                <w:color w:val="FFFFFF"/>
              </w:rPr>
              <w:t>Committee</w:t>
            </w:r>
          </w:p>
        </w:tc>
      </w:tr>
      <w:tr>
        <w:trPr>
          <w:trHeight w:val="202"/>
        </w:trPr>
        <w:tc>
          <w:tcPr>
            <w:tcW w:w="3960" w:type="dxa"/>
            <w:vAlign w:val="bottom"/>
            <w:tcBorders>
              <w:left w:val="single" w:sz="8" w:color="00497F"/>
            </w:tcBorders>
          </w:tcPr>
          <w:p>
            <w:pPr>
              <w:ind w:left="40"/>
              <w:spacing w:after="0"/>
              <w:rPr>
                <w:sz w:val="20"/>
                <w:szCs w:val="20"/>
                <w:color w:val="auto"/>
              </w:rPr>
            </w:pPr>
            <w:r>
              <w:rPr>
                <w:rFonts w:ascii="Arial" w:cs="Arial" w:eastAsia="Arial" w:hAnsi="Arial"/>
                <w:sz w:val="16"/>
                <w:szCs w:val="16"/>
                <w:b w:val="1"/>
                <w:bCs w:val="1"/>
                <w:color w:val="003595"/>
              </w:rPr>
              <w:t>S. Louise Phanstiel</w:t>
            </w:r>
          </w:p>
        </w:tc>
        <w:tc>
          <w:tcPr>
            <w:tcW w:w="600" w:type="dxa"/>
            <w:vAlign w:val="bottom"/>
          </w:tcPr>
          <w:p>
            <w:pPr>
              <w:jc w:val="center"/>
              <w:spacing w:after="0"/>
              <w:rPr>
                <w:sz w:val="20"/>
                <w:szCs w:val="20"/>
                <w:color w:val="auto"/>
              </w:rPr>
            </w:pPr>
            <w:r>
              <w:rPr>
                <w:rFonts w:ascii="Arial" w:cs="Arial" w:eastAsia="Arial" w:hAnsi="Arial"/>
                <w:sz w:val="16"/>
                <w:szCs w:val="16"/>
                <w:color w:val="auto"/>
              </w:rPr>
              <w:t>67</w:t>
            </w: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40" w:type="dxa"/>
            <w:vAlign w:val="bottom"/>
            <w:tcBorders>
              <w:right w:val="single" w:sz="8" w:color="00497F"/>
            </w:tcBorders>
          </w:tcPr>
          <w:p>
            <w:pPr>
              <w:spacing w:after="0"/>
              <w:rPr>
                <w:sz w:val="17"/>
                <w:szCs w:val="17"/>
                <w:color w:val="auto"/>
              </w:rPr>
            </w:pPr>
          </w:p>
        </w:tc>
      </w:tr>
      <w:tr>
        <w:trPr>
          <w:trHeight w:val="215"/>
        </w:trPr>
        <w:tc>
          <w:tcPr>
            <w:tcW w:w="3960" w:type="dxa"/>
            <w:vAlign w:val="bottom"/>
            <w:tcBorders>
              <w:left w:val="single" w:sz="8" w:color="00497F"/>
            </w:tcBorders>
          </w:tcPr>
          <w:p>
            <w:pPr>
              <w:ind w:left="120"/>
              <w:spacing w:after="0"/>
              <w:rPr>
                <w:sz w:val="20"/>
                <w:szCs w:val="20"/>
                <w:color w:val="auto"/>
              </w:rPr>
            </w:pPr>
            <w:r>
              <w:rPr>
                <w:rFonts w:ascii="Arial" w:cs="Arial" w:eastAsia="Arial" w:hAnsi="Arial"/>
                <w:sz w:val="16"/>
                <w:szCs w:val="16"/>
                <w:color w:val="003595"/>
              </w:rPr>
              <w:t>Chair of the Board</w:t>
            </w: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Borders>
              <w:right w:val="single" w:sz="8" w:color="00497F"/>
            </w:tcBorders>
          </w:tcPr>
          <w:p>
            <w:pPr>
              <w:spacing w:after="0"/>
              <w:rPr>
                <w:sz w:val="18"/>
                <w:szCs w:val="18"/>
                <w:color w:val="auto"/>
              </w:rPr>
            </w:pPr>
          </w:p>
        </w:tc>
      </w:tr>
      <w:tr>
        <w:trPr>
          <w:trHeight w:val="151"/>
        </w:trPr>
        <w:tc>
          <w:tcPr>
            <w:tcW w:w="3960" w:type="dxa"/>
            <w:vAlign w:val="bottom"/>
            <w:tcBorders>
              <w:left w:val="single" w:sz="8" w:color="00497F"/>
              <w:bottom w:val="single" w:sz="8" w:color="00497F"/>
            </w:tcBorders>
          </w:tcPr>
          <w:p>
            <w:pPr>
              <w:spacing w:after="0"/>
              <w:rPr>
                <w:sz w:val="13"/>
                <w:szCs w:val="13"/>
                <w:color w:val="auto"/>
              </w:rPr>
            </w:pPr>
          </w:p>
        </w:tc>
        <w:tc>
          <w:tcPr>
            <w:tcW w:w="600" w:type="dxa"/>
            <w:vAlign w:val="bottom"/>
            <w:tcBorders>
              <w:bottom w:val="single" w:sz="8" w:color="00497F"/>
            </w:tcBorders>
          </w:tcPr>
          <w:p>
            <w:pPr>
              <w:spacing w:after="0"/>
              <w:rPr>
                <w:sz w:val="13"/>
                <w:szCs w:val="13"/>
                <w:color w:val="auto"/>
              </w:rPr>
            </w:pPr>
          </w:p>
        </w:tc>
        <w:tc>
          <w:tcPr>
            <w:tcW w:w="1200" w:type="dxa"/>
            <w:vAlign w:val="bottom"/>
            <w:tcBorders>
              <w:bottom w:val="single" w:sz="8" w:color="00497F"/>
            </w:tcBorders>
          </w:tcPr>
          <w:p>
            <w:pPr>
              <w:spacing w:after="0"/>
              <w:rPr>
                <w:sz w:val="13"/>
                <w:szCs w:val="13"/>
                <w:color w:val="auto"/>
              </w:rPr>
            </w:pPr>
          </w:p>
        </w:tc>
        <w:tc>
          <w:tcPr>
            <w:tcW w:w="1740" w:type="dxa"/>
            <w:vAlign w:val="bottom"/>
            <w:tcBorders>
              <w:bottom w:val="single" w:sz="8" w:color="00497F"/>
            </w:tcBorders>
          </w:tcPr>
          <w:p>
            <w:pPr>
              <w:spacing w:after="0"/>
              <w:rPr>
                <w:sz w:val="13"/>
                <w:szCs w:val="13"/>
                <w:color w:val="auto"/>
              </w:rPr>
            </w:pPr>
          </w:p>
        </w:tc>
        <w:tc>
          <w:tcPr>
            <w:tcW w:w="1660" w:type="dxa"/>
            <w:vAlign w:val="bottom"/>
            <w:tcBorders>
              <w:bottom w:val="single" w:sz="8" w:color="0A2299"/>
            </w:tcBorders>
          </w:tcPr>
          <w:p>
            <w:pPr>
              <w:spacing w:after="0"/>
              <w:rPr>
                <w:sz w:val="13"/>
                <w:szCs w:val="13"/>
                <w:color w:val="auto"/>
              </w:rPr>
            </w:pPr>
          </w:p>
        </w:tc>
        <w:tc>
          <w:tcPr>
            <w:tcW w:w="1740" w:type="dxa"/>
            <w:vAlign w:val="bottom"/>
            <w:tcBorders>
              <w:bottom w:val="single" w:sz="8" w:color="00497F"/>
              <w:right w:val="single" w:sz="8" w:color="00497F"/>
            </w:tcBorders>
          </w:tcPr>
          <w:p>
            <w:pPr>
              <w:spacing w:after="0"/>
              <w:rPr>
                <w:sz w:val="13"/>
                <w:szCs w:val="13"/>
                <w:color w:val="auto"/>
              </w:rPr>
            </w:pPr>
          </w:p>
        </w:tc>
      </w:tr>
      <w:tr>
        <w:trPr>
          <w:trHeight w:val="195"/>
        </w:trPr>
        <w:tc>
          <w:tcPr>
            <w:tcW w:w="3960" w:type="dxa"/>
            <w:vAlign w:val="bottom"/>
            <w:tcBorders>
              <w:left w:val="single" w:sz="8" w:color="00497F"/>
            </w:tcBorders>
          </w:tcPr>
          <w:p>
            <w:pPr>
              <w:ind w:left="40"/>
              <w:spacing w:after="0"/>
              <w:rPr>
                <w:sz w:val="20"/>
                <w:szCs w:val="20"/>
                <w:color w:val="auto"/>
              </w:rPr>
            </w:pPr>
            <w:r>
              <w:rPr>
                <w:rFonts w:ascii="Arial" w:cs="Arial" w:eastAsia="Arial" w:hAnsi="Arial"/>
                <w:sz w:val="16"/>
                <w:szCs w:val="16"/>
                <w:b w:val="1"/>
                <w:bCs w:val="1"/>
                <w:color w:val="003595"/>
              </w:rPr>
              <w:t>Samraat S. Raha</w:t>
            </w:r>
          </w:p>
        </w:tc>
        <w:tc>
          <w:tcPr>
            <w:tcW w:w="600" w:type="dxa"/>
            <w:vAlign w:val="bottom"/>
          </w:tcPr>
          <w:p>
            <w:pPr>
              <w:jc w:val="center"/>
              <w:spacing w:after="0"/>
              <w:rPr>
                <w:sz w:val="20"/>
                <w:szCs w:val="20"/>
                <w:color w:val="auto"/>
              </w:rPr>
            </w:pPr>
            <w:r>
              <w:rPr>
                <w:rFonts w:ascii="Arial" w:cs="Arial" w:eastAsia="Arial" w:hAnsi="Arial"/>
                <w:sz w:val="16"/>
                <w:szCs w:val="16"/>
                <w:color w:val="auto"/>
              </w:rPr>
              <w:t>54</w:t>
            </w: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40" w:type="dxa"/>
            <w:vAlign w:val="bottom"/>
            <w:tcBorders>
              <w:right w:val="single" w:sz="8" w:color="00497F"/>
            </w:tcBorders>
          </w:tcPr>
          <w:p>
            <w:pPr>
              <w:spacing w:after="0"/>
              <w:rPr>
                <w:sz w:val="16"/>
                <w:szCs w:val="16"/>
                <w:color w:val="auto"/>
              </w:rPr>
            </w:pPr>
          </w:p>
        </w:tc>
      </w:tr>
      <w:tr>
        <w:trPr>
          <w:trHeight w:val="215"/>
        </w:trPr>
        <w:tc>
          <w:tcPr>
            <w:tcW w:w="3960" w:type="dxa"/>
            <w:vAlign w:val="bottom"/>
            <w:tcBorders>
              <w:left w:val="single" w:sz="8" w:color="00497F"/>
            </w:tcBorders>
          </w:tcPr>
          <w:p>
            <w:pPr>
              <w:ind w:left="120"/>
              <w:spacing w:after="0"/>
              <w:rPr>
                <w:sz w:val="20"/>
                <w:szCs w:val="20"/>
                <w:color w:val="auto"/>
              </w:rPr>
            </w:pPr>
            <w:r>
              <w:rPr>
                <w:rFonts w:ascii="Arial" w:cs="Arial" w:eastAsia="Arial" w:hAnsi="Arial"/>
                <w:sz w:val="16"/>
                <w:szCs w:val="16"/>
                <w:color w:val="003595"/>
              </w:rPr>
              <w:t>President, Chief Executive Officer, Director</w:t>
            </w: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Borders>
              <w:right w:val="single" w:sz="8" w:color="00497F"/>
            </w:tcBorders>
          </w:tcPr>
          <w:p>
            <w:pPr>
              <w:spacing w:after="0"/>
              <w:rPr>
                <w:sz w:val="18"/>
                <w:szCs w:val="18"/>
                <w:color w:val="auto"/>
              </w:rPr>
            </w:pPr>
          </w:p>
        </w:tc>
      </w:tr>
      <w:tr>
        <w:trPr>
          <w:trHeight w:val="29"/>
        </w:trPr>
        <w:tc>
          <w:tcPr>
            <w:tcW w:w="3960" w:type="dxa"/>
            <w:vAlign w:val="bottom"/>
            <w:tcBorders>
              <w:left w:val="single" w:sz="8" w:color="00497F"/>
              <w:bottom w:val="single" w:sz="8" w:color="00497F"/>
            </w:tcBorders>
          </w:tcPr>
          <w:p>
            <w:pPr>
              <w:spacing w:after="0"/>
              <w:rPr>
                <w:sz w:val="2"/>
                <w:szCs w:val="2"/>
                <w:color w:val="auto"/>
              </w:rPr>
            </w:pPr>
          </w:p>
        </w:tc>
        <w:tc>
          <w:tcPr>
            <w:tcW w:w="600" w:type="dxa"/>
            <w:vAlign w:val="bottom"/>
            <w:tcBorders>
              <w:bottom w:val="single" w:sz="8" w:color="00497F"/>
            </w:tcBorders>
          </w:tcPr>
          <w:p>
            <w:pPr>
              <w:spacing w:after="0"/>
              <w:rPr>
                <w:sz w:val="2"/>
                <w:szCs w:val="2"/>
                <w:color w:val="auto"/>
              </w:rPr>
            </w:pPr>
          </w:p>
        </w:tc>
        <w:tc>
          <w:tcPr>
            <w:tcW w:w="1200" w:type="dxa"/>
            <w:vAlign w:val="bottom"/>
            <w:tcBorders>
              <w:bottom w:val="single" w:sz="8" w:color="00497F"/>
            </w:tcBorders>
          </w:tcPr>
          <w:p>
            <w:pPr>
              <w:spacing w:after="0"/>
              <w:rPr>
                <w:sz w:val="2"/>
                <w:szCs w:val="2"/>
                <w:color w:val="auto"/>
              </w:rPr>
            </w:pPr>
          </w:p>
        </w:tc>
        <w:tc>
          <w:tcPr>
            <w:tcW w:w="1740" w:type="dxa"/>
            <w:vAlign w:val="bottom"/>
            <w:tcBorders>
              <w:bottom w:val="single" w:sz="8" w:color="00497F"/>
            </w:tcBorders>
          </w:tcPr>
          <w:p>
            <w:pPr>
              <w:spacing w:after="0"/>
              <w:rPr>
                <w:sz w:val="2"/>
                <w:szCs w:val="2"/>
                <w:color w:val="auto"/>
              </w:rPr>
            </w:pPr>
          </w:p>
        </w:tc>
        <w:tc>
          <w:tcPr>
            <w:tcW w:w="1660" w:type="dxa"/>
            <w:vAlign w:val="bottom"/>
            <w:tcBorders>
              <w:bottom w:val="single" w:sz="8" w:color="00497F"/>
            </w:tcBorders>
          </w:tcPr>
          <w:p>
            <w:pPr>
              <w:spacing w:after="0"/>
              <w:rPr>
                <w:sz w:val="2"/>
                <w:szCs w:val="2"/>
                <w:color w:val="auto"/>
              </w:rPr>
            </w:pPr>
          </w:p>
        </w:tc>
        <w:tc>
          <w:tcPr>
            <w:tcW w:w="1740" w:type="dxa"/>
            <w:vAlign w:val="bottom"/>
            <w:tcBorders>
              <w:bottom w:val="single" w:sz="8" w:color="00497F"/>
              <w:right w:val="single" w:sz="8" w:color="00497F"/>
            </w:tcBorders>
          </w:tcPr>
          <w:p>
            <w:pPr>
              <w:spacing w:after="0"/>
              <w:rPr>
                <w:sz w:val="2"/>
                <w:szCs w:val="2"/>
                <w:color w:val="auto"/>
              </w:rPr>
            </w:pPr>
          </w:p>
        </w:tc>
      </w:tr>
      <w:tr>
        <w:trPr>
          <w:trHeight w:val="195"/>
        </w:trPr>
        <w:tc>
          <w:tcPr>
            <w:tcW w:w="3960" w:type="dxa"/>
            <w:vAlign w:val="bottom"/>
            <w:tcBorders>
              <w:left w:val="single" w:sz="8" w:color="00497F"/>
            </w:tcBorders>
          </w:tcPr>
          <w:p>
            <w:pPr>
              <w:ind w:left="40"/>
              <w:spacing w:after="0"/>
              <w:rPr>
                <w:sz w:val="20"/>
                <w:szCs w:val="20"/>
                <w:color w:val="auto"/>
              </w:rPr>
            </w:pPr>
            <w:r>
              <w:rPr>
                <w:rFonts w:ascii="Arial" w:cs="Arial" w:eastAsia="Arial" w:hAnsi="Arial"/>
                <w:sz w:val="16"/>
                <w:szCs w:val="16"/>
                <w:b w:val="1"/>
                <w:bCs w:val="1"/>
                <w:color w:val="003595"/>
              </w:rPr>
              <w:t>Paul M. Bisaro*</w:t>
            </w:r>
          </w:p>
        </w:tc>
        <w:tc>
          <w:tcPr>
            <w:tcW w:w="600" w:type="dxa"/>
            <w:vAlign w:val="bottom"/>
          </w:tcPr>
          <w:p>
            <w:pPr>
              <w:jc w:val="center"/>
              <w:spacing w:after="0"/>
              <w:rPr>
                <w:sz w:val="20"/>
                <w:szCs w:val="20"/>
                <w:color w:val="auto"/>
              </w:rPr>
            </w:pPr>
            <w:r>
              <w:rPr>
                <w:rFonts w:ascii="Arial" w:cs="Arial" w:eastAsia="Arial" w:hAnsi="Arial"/>
                <w:sz w:val="16"/>
                <w:szCs w:val="16"/>
                <w:color w:val="auto"/>
              </w:rPr>
              <w:t>65</w:t>
            </w: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40" w:type="dxa"/>
            <w:vAlign w:val="bottom"/>
            <w:tcBorders>
              <w:right w:val="single" w:sz="8" w:color="00497F"/>
            </w:tcBorders>
          </w:tcPr>
          <w:p>
            <w:pPr>
              <w:spacing w:after="0"/>
              <w:rPr>
                <w:sz w:val="16"/>
                <w:szCs w:val="16"/>
                <w:color w:val="auto"/>
              </w:rPr>
            </w:pPr>
          </w:p>
        </w:tc>
      </w:tr>
      <w:tr>
        <w:trPr>
          <w:trHeight w:val="215"/>
        </w:trPr>
        <w:tc>
          <w:tcPr>
            <w:tcW w:w="3960" w:type="dxa"/>
            <w:vAlign w:val="bottom"/>
            <w:tcBorders>
              <w:left w:val="single" w:sz="8" w:color="00497F"/>
            </w:tcBorders>
          </w:tcPr>
          <w:p>
            <w:pPr>
              <w:ind w:left="120"/>
              <w:spacing w:after="0"/>
              <w:rPr>
                <w:sz w:val="20"/>
                <w:szCs w:val="20"/>
                <w:color w:val="auto"/>
              </w:rPr>
            </w:pPr>
            <w:r>
              <w:rPr>
                <w:rFonts w:ascii="Arial" w:cs="Arial" w:eastAsia="Arial" w:hAnsi="Arial"/>
                <w:sz w:val="16"/>
                <w:szCs w:val="16"/>
                <w:color w:val="003595"/>
              </w:rPr>
              <w:t>Director</w:t>
            </w: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Borders>
              <w:right w:val="single" w:sz="8" w:color="00497F"/>
            </w:tcBorders>
          </w:tcPr>
          <w:p>
            <w:pPr>
              <w:spacing w:after="0"/>
              <w:rPr>
                <w:sz w:val="18"/>
                <w:szCs w:val="18"/>
                <w:color w:val="auto"/>
              </w:rPr>
            </w:pPr>
          </w:p>
        </w:tc>
      </w:tr>
      <w:tr>
        <w:trPr>
          <w:trHeight w:val="137"/>
        </w:trPr>
        <w:tc>
          <w:tcPr>
            <w:tcW w:w="3960" w:type="dxa"/>
            <w:vAlign w:val="bottom"/>
            <w:tcBorders>
              <w:left w:val="single" w:sz="8" w:color="00497F"/>
              <w:bottom w:val="single" w:sz="8" w:color="00497F"/>
            </w:tcBorders>
          </w:tcPr>
          <w:p>
            <w:pPr>
              <w:spacing w:after="0"/>
              <w:rPr>
                <w:sz w:val="11"/>
                <w:szCs w:val="11"/>
                <w:color w:val="auto"/>
              </w:rPr>
            </w:pPr>
          </w:p>
        </w:tc>
        <w:tc>
          <w:tcPr>
            <w:tcW w:w="600" w:type="dxa"/>
            <w:vAlign w:val="bottom"/>
            <w:tcBorders>
              <w:bottom w:val="single" w:sz="8" w:color="00497F"/>
            </w:tcBorders>
          </w:tcPr>
          <w:p>
            <w:pPr>
              <w:spacing w:after="0"/>
              <w:rPr>
                <w:sz w:val="11"/>
                <w:szCs w:val="11"/>
                <w:color w:val="auto"/>
              </w:rPr>
            </w:pPr>
          </w:p>
        </w:tc>
        <w:tc>
          <w:tcPr>
            <w:tcW w:w="1200" w:type="dxa"/>
            <w:vAlign w:val="bottom"/>
            <w:tcBorders>
              <w:bottom w:val="single" w:sz="8" w:color="00497F"/>
            </w:tcBorders>
          </w:tcPr>
          <w:p>
            <w:pPr>
              <w:spacing w:after="0"/>
              <w:rPr>
                <w:sz w:val="11"/>
                <w:szCs w:val="11"/>
                <w:color w:val="auto"/>
              </w:rPr>
            </w:pPr>
          </w:p>
        </w:tc>
        <w:tc>
          <w:tcPr>
            <w:tcW w:w="1740" w:type="dxa"/>
            <w:vAlign w:val="bottom"/>
            <w:tcBorders>
              <w:bottom w:val="single" w:sz="8" w:color="00497F"/>
            </w:tcBorders>
          </w:tcPr>
          <w:p>
            <w:pPr>
              <w:spacing w:after="0"/>
              <w:rPr>
                <w:sz w:val="11"/>
                <w:szCs w:val="11"/>
                <w:color w:val="auto"/>
              </w:rPr>
            </w:pPr>
          </w:p>
        </w:tc>
        <w:tc>
          <w:tcPr>
            <w:tcW w:w="1660" w:type="dxa"/>
            <w:vAlign w:val="bottom"/>
            <w:tcBorders>
              <w:bottom w:val="single" w:sz="8" w:color="00497F"/>
            </w:tcBorders>
          </w:tcPr>
          <w:p>
            <w:pPr>
              <w:spacing w:after="0"/>
              <w:rPr>
                <w:sz w:val="11"/>
                <w:szCs w:val="11"/>
                <w:color w:val="auto"/>
              </w:rPr>
            </w:pPr>
          </w:p>
        </w:tc>
        <w:tc>
          <w:tcPr>
            <w:tcW w:w="1740" w:type="dxa"/>
            <w:vAlign w:val="bottom"/>
            <w:tcBorders>
              <w:bottom w:val="single" w:sz="8" w:color="00497F"/>
              <w:right w:val="single" w:sz="8" w:color="00497F"/>
            </w:tcBorders>
          </w:tcPr>
          <w:p>
            <w:pPr>
              <w:spacing w:after="0"/>
              <w:rPr>
                <w:sz w:val="11"/>
                <w:szCs w:val="11"/>
                <w:color w:val="auto"/>
              </w:rPr>
            </w:pPr>
          </w:p>
        </w:tc>
      </w:tr>
      <w:tr>
        <w:trPr>
          <w:trHeight w:val="195"/>
        </w:trPr>
        <w:tc>
          <w:tcPr>
            <w:tcW w:w="3960" w:type="dxa"/>
            <w:vAlign w:val="bottom"/>
            <w:tcBorders>
              <w:left w:val="single" w:sz="8" w:color="00497F"/>
            </w:tcBorders>
          </w:tcPr>
          <w:p>
            <w:pPr>
              <w:ind w:left="40"/>
              <w:spacing w:after="0"/>
              <w:rPr>
                <w:sz w:val="20"/>
                <w:szCs w:val="20"/>
                <w:color w:val="auto"/>
              </w:rPr>
            </w:pPr>
            <w:r>
              <w:rPr>
                <w:rFonts w:ascii="Arial" w:cs="Arial" w:eastAsia="Arial" w:hAnsi="Arial"/>
                <w:sz w:val="16"/>
                <w:szCs w:val="16"/>
                <w:b w:val="1"/>
                <w:bCs w:val="1"/>
                <w:color w:val="003595"/>
              </w:rPr>
              <w:t>Mark S. Davis</w:t>
            </w:r>
          </w:p>
        </w:tc>
        <w:tc>
          <w:tcPr>
            <w:tcW w:w="600" w:type="dxa"/>
            <w:vAlign w:val="bottom"/>
          </w:tcPr>
          <w:p>
            <w:pPr>
              <w:jc w:val="center"/>
              <w:spacing w:after="0"/>
              <w:rPr>
                <w:sz w:val="20"/>
                <w:szCs w:val="20"/>
                <w:color w:val="auto"/>
              </w:rPr>
            </w:pPr>
            <w:r>
              <w:rPr>
                <w:rFonts w:ascii="Arial" w:cs="Arial" w:eastAsia="Arial" w:hAnsi="Arial"/>
                <w:sz w:val="16"/>
                <w:szCs w:val="16"/>
                <w:color w:val="auto"/>
              </w:rPr>
              <w:t>63</w:t>
            </w: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40" w:type="dxa"/>
            <w:vAlign w:val="bottom"/>
            <w:tcBorders>
              <w:right w:val="single" w:sz="8" w:color="00497F"/>
            </w:tcBorders>
          </w:tcPr>
          <w:p>
            <w:pPr>
              <w:spacing w:after="0"/>
              <w:rPr>
                <w:sz w:val="16"/>
                <w:szCs w:val="16"/>
                <w:color w:val="auto"/>
              </w:rPr>
            </w:pPr>
          </w:p>
        </w:tc>
      </w:tr>
      <w:tr>
        <w:trPr>
          <w:trHeight w:val="215"/>
        </w:trPr>
        <w:tc>
          <w:tcPr>
            <w:tcW w:w="3960" w:type="dxa"/>
            <w:vAlign w:val="bottom"/>
            <w:tcBorders>
              <w:left w:val="single" w:sz="8" w:color="00497F"/>
            </w:tcBorders>
          </w:tcPr>
          <w:p>
            <w:pPr>
              <w:ind w:left="120"/>
              <w:spacing w:after="0"/>
              <w:rPr>
                <w:sz w:val="20"/>
                <w:szCs w:val="20"/>
                <w:color w:val="auto"/>
              </w:rPr>
            </w:pPr>
            <w:r>
              <w:rPr>
                <w:rFonts w:ascii="Arial" w:cs="Arial" w:eastAsia="Arial" w:hAnsi="Arial"/>
                <w:sz w:val="16"/>
                <w:szCs w:val="16"/>
                <w:color w:val="003595"/>
              </w:rPr>
              <w:t>Director</w:t>
            </w: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Borders>
              <w:right w:val="single" w:sz="8" w:color="00497F"/>
            </w:tcBorders>
          </w:tcPr>
          <w:p>
            <w:pPr>
              <w:spacing w:after="0"/>
              <w:rPr>
                <w:sz w:val="18"/>
                <w:szCs w:val="18"/>
                <w:color w:val="auto"/>
              </w:rPr>
            </w:pPr>
          </w:p>
        </w:tc>
      </w:tr>
      <w:tr>
        <w:trPr>
          <w:trHeight w:val="151"/>
        </w:trPr>
        <w:tc>
          <w:tcPr>
            <w:tcW w:w="3960" w:type="dxa"/>
            <w:vAlign w:val="bottom"/>
            <w:tcBorders>
              <w:left w:val="single" w:sz="8" w:color="00497F"/>
              <w:bottom w:val="single" w:sz="8" w:color="00497F"/>
            </w:tcBorders>
          </w:tcPr>
          <w:p>
            <w:pPr>
              <w:spacing w:after="0"/>
              <w:rPr>
                <w:sz w:val="13"/>
                <w:szCs w:val="13"/>
                <w:color w:val="auto"/>
              </w:rPr>
            </w:pPr>
          </w:p>
        </w:tc>
        <w:tc>
          <w:tcPr>
            <w:tcW w:w="600" w:type="dxa"/>
            <w:vAlign w:val="bottom"/>
            <w:tcBorders>
              <w:bottom w:val="single" w:sz="8" w:color="00497F"/>
            </w:tcBorders>
          </w:tcPr>
          <w:p>
            <w:pPr>
              <w:spacing w:after="0"/>
              <w:rPr>
                <w:sz w:val="13"/>
                <w:szCs w:val="13"/>
                <w:color w:val="auto"/>
              </w:rPr>
            </w:pPr>
          </w:p>
        </w:tc>
        <w:tc>
          <w:tcPr>
            <w:tcW w:w="1200" w:type="dxa"/>
            <w:vAlign w:val="bottom"/>
            <w:tcBorders>
              <w:bottom w:val="single" w:sz="8" w:color="00497F"/>
            </w:tcBorders>
          </w:tcPr>
          <w:p>
            <w:pPr>
              <w:spacing w:after="0"/>
              <w:rPr>
                <w:sz w:val="13"/>
                <w:szCs w:val="13"/>
                <w:color w:val="auto"/>
              </w:rPr>
            </w:pPr>
          </w:p>
        </w:tc>
        <w:tc>
          <w:tcPr>
            <w:tcW w:w="1740" w:type="dxa"/>
            <w:vAlign w:val="bottom"/>
            <w:tcBorders>
              <w:bottom w:val="single" w:sz="8" w:color="00497F"/>
            </w:tcBorders>
          </w:tcPr>
          <w:p>
            <w:pPr>
              <w:spacing w:after="0"/>
              <w:rPr>
                <w:sz w:val="13"/>
                <w:szCs w:val="13"/>
                <w:color w:val="auto"/>
              </w:rPr>
            </w:pPr>
          </w:p>
        </w:tc>
        <w:tc>
          <w:tcPr>
            <w:tcW w:w="1660" w:type="dxa"/>
            <w:vAlign w:val="bottom"/>
            <w:tcBorders>
              <w:bottom w:val="single" w:sz="8" w:color="00497F"/>
            </w:tcBorders>
          </w:tcPr>
          <w:p>
            <w:pPr>
              <w:spacing w:after="0"/>
              <w:rPr>
                <w:sz w:val="13"/>
                <w:szCs w:val="13"/>
                <w:color w:val="auto"/>
              </w:rPr>
            </w:pPr>
          </w:p>
        </w:tc>
        <w:tc>
          <w:tcPr>
            <w:tcW w:w="1740" w:type="dxa"/>
            <w:vAlign w:val="bottom"/>
            <w:tcBorders>
              <w:bottom w:val="single" w:sz="8" w:color="00497F"/>
              <w:right w:val="single" w:sz="8" w:color="00497F"/>
            </w:tcBorders>
          </w:tcPr>
          <w:p>
            <w:pPr>
              <w:spacing w:after="0"/>
              <w:rPr>
                <w:sz w:val="13"/>
                <w:szCs w:val="13"/>
                <w:color w:val="auto"/>
              </w:rPr>
            </w:pPr>
          </w:p>
        </w:tc>
      </w:tr>
      <w:tr>
        <w:trPr>
          <w:trHeight w:val="195"/>
        </w:trPr>
        <w:tc>
          <w:tcPr>
            <w:tcW w:w="3960" w:type="dxa"/>
            <w:vAlign w:val="bottom"/>
            <w:tcBorders>
              <w:left w:val="single" w:sz="8" w:color="00497F"/>
            </w:tcBorders>
          </w:tcPr>
          <w:p>
            <w:pPr>
              <w:ind w:left="40"/>
              <w:spacing w:after="0"/>
              <w:rPr>
                <w:sz w:val="20"/>
                <w:szCs w:val="20"/>
                <w:color w:val="auto"/>
              </w:rPr>
            </w:pPr>
            <w:r>
              <w:rPr>
                <w:rFonts w:ascii="Arial" w:cs="Arial" w:eastAsia="Arial" w:hAnsi="Arial"/>
                <w:sz w:val="16"/>
                <w:szCs w:val="16"/>
                <w:b w:val="1"/>
                <w:bCs w:val="1"/>
                <w:color w:val="003595"/>
              </w:rPr>
              <w:t>Heiner Dreismann, Ph.D.</w:t>
            </w:r>
          </w:p>
        </w:tc>
        <w:tc>
          <w:tcPr>
            <w:tcW w:w="600" w:type="dxa"/>
            <w:vAlign w:val="bottom"/>
          </w:tcPr>
          <w:p>
            <w:pPr>
              <w:jc w:val="center"/>
              <w:spacing w:after="0"/>
              <w:rPr>
                <w:sz w:val="20"/>
                <w:szCs w:val="20"/>
                <w:color w:val="auto"/>
              </w:rPr>
            </w:pPr>
            <w:r>
              <w:rPr>
                <w:rFonts w:ascii="Arial" w:cs="Arial" w:eastAsia="Arial" w:hAnsi="Arial"/>
                <w:sz w:val="16"/>
                <w:szCs w:val="16"/>
                <w:color w:val="auto"/>
              </w:rPr>
              <w:t>72</w:t>
            </w: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40" w:type="dxa"/>
            <w:vAlign w:val="bottom"/>
            <w:tcBorders>
              <w:right w:val="single" w:sz="8" w:color="00497F"/>
            </w:tcBorders>
          </w:tcPr>
          <w:p>
            <w:pPr>
              <w:spacing w:after="0"/>
              <w:rPr>
                <w:sz w:val="16"/>
                <w:szCs w:val="16"/>
                <w:color w:val="auto"/>
              </w:rPr>
            </w:pPr>
          </w:p>
        </w:tc>
      </w:tr>
      <w:tr>
        <w:trPr>
          <w:trHeight w:val="215"/>
        </w:trPr>
        <w:tc>
          <w:tcPr>
            <w:tcW w:w="3960" w:type="dxa"/>
            <w:vAlign w:val="bottom"/>
            <w:tcBorders>
              <w:left w:val="single" w:sz="8" w:color="00497F"/>
            </w:tcBorders>
          </w:tcPr>
          <w:p>
            <w:pPr>
              <w:ind w:left="120"/>
              <w:spacing w:after="0"/>
              <w:rPr>
                <w:sz w:val="20"/>
                <w:szCs w:val="20"/>
                <w:color w:val="auto"/>
              </w:rPr>
            </w:pPr>
            <w:r>
              <w:rPr>
                <w:rFonts w:ascii="Arial" w:cs="Arial" w:eastAsia="Arial" w:hAnsi="Arial"/>
                <w:sz w:val="16"/>
                <w:szCs w:val="16"/>
                <w:color w:val="003595"/>
              </w:rPr>
              <w:t>Director</w:t>
            </w: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Borders>
              <w:right w:val="single" w:sz="8" w:color="00497F"/>
            </w:tcBorders>
          </w:tcPr>
          <w:p>
            <w:pPr>
              <w:spacing w:after="0"/>
              <w:rPr>
                <w:sz w:val="18"/>
                <w:szCs w:val="18"/>
                <w:color w:val="auto"/>
              </w:rPr>
            </w:pPr>
          </w:p>
        </w:tc>
      </w:tr>
      <w:tr>
        <w:trPr>
          <w:trHeight w:val="178"/>
        </w:trPr>
        <w:tc>
          <w:tcPr>
            <w:tcW w:w="3960" w:type="dxa"/>
            <w:vAlign w:val="bottom"/>
            <w:tcBorders>
              <w:left w:val="single" w:sz="8" w:color="00497F"/>
              <w:bottom w:val="single" w:sz="8" w:color="00497F"/>
            </w:tcBorders>
          </w:tcPr>
          <w:p>
            <w:pPr>
              <w:spacing w:after="0"/>
              <w:rPr>
                <w:sz w:val="15"/>
                <w:szCs w:val="15"/>
                <w:color w:val="auto"/>
              </w:rPr>
            </w:pPr>
          </w:p>
        </w:tc>
        <w:tc>
          <w:tcPr>
            <w:tcW w:w="600" w:type="dxa"/>
            <w:vAlign w:val="bottom"/>
            <w:tcBorders>
              <w:bottom w:val="single" w:sz="8" w:color="00497F"/>
            </w:tcBorders>
          </w:tcPr>
          <w:p>
            <w:pPr>
              <w:spacing w:after="0"/>
              <w:rPr>
                <w:sz w:val="15"/>
                <w:szCs w:val="15"/>
                <w:color w:val="auto"/>
              </w:rPr>
            </w:pPr>
          </w:p>
        </w:tc>
        <w:tc>
          <w:tcPr>
            <w:tcW w:w="1200" w:type="dxa"/>
            <w:vAlign w:val="bottom"/>
            <w:tcBorders>
              <w:bottom w:val="single" w:sz="8" w:color="00497F"/>
            </w:tcBorders>
          </w:tcPr>
          <w:p>
            <w:pPr>
              <w:spacing w:after="0"/>
              <w:rPr>
                <w:sz w:val="15"/>
                <w:szCs w:val="15"/>
                <w:color w:val="auto"/>
              </w:rPr>
            </w:pPr>
          </w:p>
        </w:tc>
        <w:tc>
          <w:tcPr>
            <w:tcW w:w="1740" w:type="dxa"/>
            <w:vAlign w:val="bottom"/>
            <w:tcBorders>
              <w:bottom w:val="single" w:sz="8" w:color="00497F"/>
            </w:tcBorders>
          </w:tcPr>
          <w:p>
            <w:pPr>
              <w:spacing w:after="0"/>
              <w:rPr>
                <w:sz w:val="15"/>
                <w:szCs w:val="15"/>
                <w:color w:val="auto"/>
              </w:rPr>
            </w:pPr>
          </w:p>
        </w:tc>
        <w:tc>
          <w:tcPr>
            <w:tcW w:w="1660" w:type="dxa"/>
            <w:vAlign w:val="bottom"/>
            <w:tcBorders>
              <w:bottom w:val="single" w:sz="8" w:color="00497F"/>
            </w:tcBorders>
          </w:tcPr>
          <w:p>
            <w:pPr>
              <w:spacing w:after="0"/>
              <w:rPr>
                <w:sz w:val="15"/>
                <w:szCs w:val="15"/>
                <w:color w:val="auto"/>
              </w:rPr>
            </w:pPr>
          </w:p>
        </w:tc>
        <w:tc>
          <w:tcPr>
            <w:tcW w:w="1740" w:type="dxa"/>
            <w:vAlign w:val="bottom"/>
            <w:tcBorders>
              <w:bottom w:val="single" w:sz="8" w:color="00497F"/>
              <w:right w:val="single" w:sz="8" w:color="00497F"/>
            </w:tcBorders>
          </w:tcPr>
          <w:p>
            <w:pPr>
              <w:spacing w:after="0"/>
              <w:rPr>
                <w:sz w:val="15"/>
                <w:szCs w:val="15"/>
                <w:color w:val="auto"/>
              </w:rPr>
            </w:pPr>
          </w:p>
        </w:tc>
      </w:tr>
      <w:tr>
        <w:trPr>
          <w:trHeight w:val="195"/>
        </w:trPr>
        <w:tc>
          <w:tcPr>
            <w:tcW w:w="3960" w:type="dxa"/>
            <w:vAlign w:val="bottom"/>
            <w:tcBorders>
              <w:left w:val="single" w:sz="8" w:color="00497F"/>
            </w:tcBorders>
          </w:tcPr>
          <w:p>
            <w:pPr>
              <w:ind w:left="40"/>
              <w:spacing w:after="0"/>
              <w:rPr>
                <w:sz w:val="20"/>
                <w:szCs w:val="20"/>
                <w:color w:val="auto"/>
              </w:rPr>
            </w:pPr>
            <w:r>
              <w:rPr>
                <w:rFonts w:ascii="Arial" w:cs="Arial" w:eastAsia="Arial" w:hAnsi="Arial"/>
                <w:sz w:val="16"/>
                <w:szCs w:val="16"/>
                <w:b w:val="1"/>
                <w:bCs w:val="1"/>
                <w:color w:val="003595"/>
              </w:rPr>
              <w:t>Rashmi Kumar*</w:t>
            </w:r>
          </w:p>
        </w:tc>
        <w:tc>
          <w:tcPr>
            <w:tcW w:w="600" w:type="dxa"/>
            <w:vAlign w:val="bottom"/>
          </w:tcPr>
          <w:p>
            <w:pPr>
              <w:jc w:val="center"/>
              <w:spacing w:after="0"/>
              <w:rPr>
                <w:sz w:val="20"/>
                <w:szCs w:val="20"/>
                <w:color w:val="auto"/>
              </w:rPr>
            </w:pPr>
            <w:r>
              <w:rPr>
                <w:rFonts w:ascii="Arial" w:cs="Arial" w:eastAsia="Arial" w:hAnsi="Arial"/>
                <w:sz w:val="16"/>
                <w:szCs w:val="16"/>
                <w:color w:val="auto"/>
              </w:rPr>
              <w:t>56</w:t>
            </w: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40" w:type="dxa"/>
            <w:vAlign w:val="bottom"/>
            <w:tcBorders>
              <w:right w:val="single" w:sz="8" w:color="00497F"/>
            </w:tcBorders>
          </w:tcPr>
          <w:p>
            <w:pPr>
              <w:spacing w:after="0"/>
              <w:rPr>
                <w:sz w:val="16"/>
                <w:szCs w:val="16"/>
                <w:color w:val="auto"/>
              </w:rPr>
            </w:pPr>
          </w:p>
        </w:tc>
      </w:tr>
      <w:tr>
        <w:trPr>
          <w:trHeight w:val="215"/>
        </w:trPr>
        <w:tc>
          <w:tcPr>
            <w:tcW w:w="3960" w:type="dxa"/>
            <w:vAlign w:val="bottom"/>
            <w:tcBorders>
              <w:left w:val="single" w:sz="8" w:color="00497F"/>
            </w:tcBorders>
          </w:tcPr>
          <w:p>
            <w:pPr>
              <w:ind w:left="120"/>
              <w:spacing w:after="0"/>
              <w:rPr>
                <w:sz w:val="20"/>
                <w:szCs w:val="20"/>
                <w:color w:val="auto"/>
              </w:rPr>
            </w:pPr>
            <w:r>
              <w:rPr>
                <w:rFonts w:ascii="Arial" w:cs="Arial" w:eastAsia="Arial" w:hAnsi="Arial"/>
                <w:sz w:val="16"/>
                <w:szCs w:val="16"/>
                <w:color w:val="003595"/>
              </w:rPr>
              <w:t>Director</w:t>
            </w: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Borders>
              <w:right w:val="single" w:sz="8" w:color="00497F"/>
            </w:tcBorders>
          </w:tcPr>
          <w:p>
            <w:pPr>
              <w:spacing w:after="0"/>
              <w:rPr>
                <w:sz w:val="18"/>
                <w:szCs w:val="18"/>
                <w:color w:val="auto"/>
              </w:rPr>
            </w:pPr>
          </w:p>
        </w:tc>
      </w:tr>
      <w:tr>
        <w:trPr>
          <w:trHeight w:val="151"/>
        </w:trPr>
        <w:tc>
          <w:tcPr>
            <w:tcW w:w="3960" w:type="dxa"/>
            <w:vAlign w:val="bottom"/>
            <w:tcBorders>
              <w:left w:val="single" w:sz="8" w:color="00497F"/>
              <w:bottom w:val="single" w:sz="8" w:color="00497F"/>
            </w:tcBorders>
          </w:tcPr>
          <w:p>
            <w:pPr>
              <w:spacing w:after="0"/>
              <w:rPr>
                <w:sz w:val="13"/>
                <w:szCs w:val="13"/>
                <w:color w:val="auto"/>
              </w:rPr>
            </w:pPr>
          </w:p>
        </w:tc>
        <w:tc>
          <w:tcPr>
            <w:tcW w:w="600" w:type="dxa"/>
            <w:vAlign w:val="bottom"/>
            <w:tcBorders>
              <w:bottom w:val="single" w:sz="8" w:color="00497F"/>
            </w:tcBorders>
          </w:tcPr>
          <w:p>
            <w:pPr>
              <w:spacing w:after="0"/>
              <w:rPr>
                <w:sz w:val="13"/>
                <w:szCs w:val="13"/>
                <w:color w:val="auto"/>
              </w:rPr>
            </w:pPr>
          </w:p>
        </w:tc>
        <w:tc>
          <w:tcPr>
            <w:tcW w:w="1200" w:type="dxa"/>
            <w:vAlign w:val="bottom"/>
            <w:tcBorders>
              <w:bottom w:val="single" w:sz="8" w:color="00497F"/>
            </w:tcBorders>
          </w:tcPr>
          <w:p>
            <w:pPr>
              <w:spacing w:after="0"/>
              <w:rPr>
                <w:sz w:val="13"/>
                <w:szCs w:val="13"/>
                <w:color w:val="auto"/>
              </w:rPr>
            </w:pPr>
          </w:p>
        </w:tc>
        <w:tc>
          <w:tcPr>
            <w:tcW w:w="1740" w:type="dxa"/>
            <w:vAlign w:val="bottom"/>
            <w:tcBorders>
              <w:bottom w:val="single" w:sz="8" w:color="00497F"/>
            </w:tcBorders>
          </w:tcPr>
          <w:p>
            <w:pPr>
              <w:spacing w:after="0"/>
              <w:rPr>
                <w:sz w:val="13"/>
                <w:szCs w:val="13"/>
                <w:color w:val="auto"/>
              </w:rPr>
            </w:pPr>
          </w:p>
        </w:tc>
        <w:tc>
          <w:tcPr>
            <w:tcW w:w="1660" w:type="dxa"/>
            <w:vAlign w:val="bottom"/>
            <w:tcBorders>
              <w:bottom w:val="single" w:sz="8" w:color="00497F"/>
            </w:tcBorders>
          </w:tcPr>
          <w:p>
            <w:pPr>
              <w:spacing w:after="0"/>
              <w:rPr>
                <w:sz w:val="13"/>
                <w:szCs w:val="13"/>
                <w:color w:val="auto"/>
              </w:rPr>
            </w:pPr>
          </w:p>
        </w:tc>
        <w:tc>
          <w:tcPr>
            <w:tcW w:w="1740" w:type="dxa"/>
            <w:vAlign w:val="bottom"/>
            <w:tcBorders>
              <w:bottom w:val="single" w:sz="8" w:color="00497F"/>
              <w:right w:val="single" w:sz="8" w:color="00497F"/>
            </w:tcBorders>
          </w:tcPr>
          <w:p>
            <w:pPr>
              <w:spacing w:after="0"/>
              <w:rPr>
                <w:sz w:val="13"/>
                <w:szCs w:val="13"/>
                <w:color w:val="auto"/>
              </w:rPr>
            </w:pPr>
          </w:p>
        </w:tc>
      </w:tr>
      <w:tr>
        <w:trPr>
          <w:trHeight w:val="195"/>
        </w:trPr>
        <w:tc>
          <w:tcPr>
            <w:tcW w:w="3960" w:type="dxa"/>
            <w:vAlign w:val="bottom"/>
            <w:tcBorders>
              <w:left w:val="single" w:sz="8" w:color="00497F"/>
            </w:tcBorders>
          </w:tcPr>
          <w:p>
            <w:pPr>
              <w:ind w:left="40"/>
              <w:spacing w:after="0"/>
              <w:rPr>
                <w:sz w:val="20"/>
                <w:szCs w:val="20"/>
                <w:color w:val="auto"/>
              </w:rPr>
            </w:pPr>
            <w:r>
              <w:rPr>
                <w:rFonts w:ascii="Arial" w:cs="Arial" w:eastAsia="Arial" w:hAnsi="Arial"/>
                <w:sz w:val="16"/>
                <w:szCs w:val="16"/>
                <w:b w:val="1"/>
                <w:bCs w:val="1"/>
                <w:color w:val="003595"/>
              </w:rPr>
              <w:t>Lee N. Newcomer M.D.*</w:t>
            </w:r>
          </w:p>
        </w:tc>
        <w:tc>
          <w:tcPr>
            <w:tcW w:w="600" w:type="dxa"/>
            <w:vAlign w:val="bottom"/>
          </w:tcPr>
          <w:p>
            <w:pPr>
              <w:jc w:val="center"/>
              <w:spacing w:after="0"/>
              <w:rPr>
                <w:sz w:val="20"/>
                <w:szCs w:val="20"/>
                <w:color w:val="auto"/>
              </w:rPr>
            </w:pPr>
            <w:r>
              <w:rPr>
                <w:rFonts w:ascii="Arial" w:cs="Arial" w:eastAsia="Arial" w:hAnsi="Arial"/>
                <w:sz w:val="16"/>
                <w:szCs w:val="16"/>
                <w:color w:val="auto"/>
              </w:rPr>
              <w:t>73</w:t>
            </w: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40" w:type="dxa"/>
            <w:vAlign w:val="bottom"/>
            <w:tcBorders>
              <w:right w:val="single" w:sz="8" w:color="00497F"/>
            </w:tcBorders>
          </w:tcPr>
          <w:p>
            <w:pPr>
              <w:spacing w:after="0"/>
              <w:rPr>
                <w:sz w:val="16"/>
                <w:szCs w:val="16"/>
                <w:color w:val="auto"/>
              </w:rPr>
            </w:pPr>
          </w:p>
        </w:tc>
      </w:tr>
      <w:tr>
        <w:trPr>
          <w:trHeight w:val="215"/>
        </w:trPr>
        <w:tc>
          <w:tcPr>
            <w:tcW w:w="3960" w:type="dxa"/>
            <w:vAlign w:val="bottom"/>
            <w:tcBorders>
              <w:left w:val="single" w:sz="8" w:color="00497F"/>
            </w:tcBorders>
          </w:tcPr>
          <w:p>
            <w:pPr>
              <w:ind w:left="120"/>
              <w:spacing w:after="0"/>
              <w:rPr>
                <w:sz w:val="20"/>
                <w:szCs w:val="20"/>
                <w:color w:val="auto"/>
              </w:rPr>
            </w:pPr>
            <w:r>
              <w:rPr>
                <w:rFonts w:ascii="Arial" w:cs="Arial" w:eastAsia="Arial" w:hAnsi="Arial"/>
                <w:sz w:val="16"/>
                <w:szCs w:val="16"/>
                <w:color w:val="003595"/>
              </w:rPr>
              <w:t>Director</w:t>
            </w: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Borders>
              <w:right w:val="single" w:sz="8" w:color="00497F"/>
            </w:tcBorders>
          </w:tcPr>
          <w:p>
            <w:pPr>
              <w:spacing w:after="0"/>
              <w:rPr>
                <w:sz w:val="18"/>
                <w:szCs w:val="18"/>
                <w:color w:val="auto"/>
              </w:rPr>
            </w:pPr>
          </w:p>
        </w:tc>
      </w:tr>
      <w:tr>
        <w:trPr>
          <w:trHeight w:val="151"/>
        </w:trPr>
        <w:tc>
          <w:tcPr>
            <w:tcW w:w="3960" w:type="dxa"/>
            <w:vAlign w:val="bottom"/>
            <w:tcBorders>
              <w:left w:val="single" w:sz="8" w:color="00497F"/>
              <w:bottom w:val="single" w:sz="8" w:color="00497F"/>
            </w:tcBorders>
          </w:tcPr>
          <w:p>
            <w:pPr>
              <w:spacing w:after="0"/>
              <w:rPr>
                <w:sz w:val="13"/>
                <w:szCs w:val="13"/>
                <w:color w:val="auto"/>
              </w:rPr>
            </w:pPr>
          </w:p>
        </w:tc>
        <w:tc>
          <w:tcPr>
            <w:tcW w:w="600" w:type="dxa"/>
            <w:vAlign w:val="bottom"/>
            <w:tcBorders>
              <w:bottom w:val="single" w:sz="8" w:color="00497F"/>
            </w:tcBorders>
          </w:tcPr>
          <w:p>
            <w:pPr>
              <w:spacing w:after="0"/>
              <w:rPr>
                <w:sz w:val="13"/>
                <w:szCs w:val="13"/>
                <w:color w:val="auto"/>
              </w:rPr>
            </w:pPr>
          </w:p>
        </w:tc>
        <w:tc>
          <w:tcPr>
            <w:tcW w:w="1200" w:type="dxa"/>
            <w:vAlign w:val="bottom"/>
            <w:tcBorders>
              <w:bottom w:val="single" w:sz="8" w:color="00497F"/>
            </w:tcBorders>
          </w:tcPr>
          <w:p>
            <w:pPr>
              <w:spacing w:after="0"/>
              <w:rPr>
                <w:sz w:val="13"/>
                <w:szCs w:val="13"/>
                <w:color w:val="auto"/>
              </w:rPr>
            </w:pPr>
          </w:p>
        </w:tc>
        <w:tc>
          <w:tcPr>
            <w:tcW w:w="1740" w:type="dxa"/>
            <w:vAlign w:val="bottom"/>
            <w:tcBorders>
              <w:bottom w:val="single" w:sz="8" w:color="00497F"/>
            </w:tcBorders>
          </w:tcPr>
          <w:p>
            <w:pPr>
              <w:spacing w:after="0"/>
              <w:rPr>
                <w:sz w:val="13"/>
                <w:szCs w:val="13"/>
                <w:color w:val="auto"/>
              </w:rPr>
            </w:pPr>
          </w:p>
        </w:tc>
        <w:tc>
          <w:tcPr>
            <w:tcW w:w="1660" w:type="dxa"/>
            <w:vAlign w:val="bottom"/>
            <w:tcBorders>
              <w:bottom w:val="single" w:sz="8" w:color="00497F"/>
            </w:tcBorders>
          </w:tcPr>
          <w:p>
            <w:pPr>
              <w:spacing w:after="0"/>
              <w:rPr>
                <w:sz w:val="13"/>
                <w:szCs w:val="13"/>
                <w:color w:val="auto"/>
              </w:rPr>
            </w:pPr>
          </w:p>
        </w:tc>
        <w:tc>
          <w:tcPr>
            <w:tcW w:w="1740" w:type="dxa"/>
            <w:vAlign w:val="bottom"/>
            <w:tcBorders>
              <w:bottom w:val="single" w:sz="8" w:color="00497F"/>
              <w:right w:val="single" w:sz="8" w:color="00497F"/>
            </w:tcBorders>
          </w:tcPr>
          <w:p>
            <w:pPr>
              <w:spacing w:after="0"/>
              <w:rPr>
                <w:sz w:val="13"/>
                <w:szCs w:val="13"/>
                <w:color w:val="auto"/>
              </w:rPr>
            </w:pPr>
          </w:p>
        </w:tc>
      </w:tr>
      <w:tr>
        <w:trPr>
          <w:trHeight w:val="195"/>
        </w:trPr>
        <w:tc>
          <w:tcPr>
            <w:tcW w:w="3960" w:type="dxa"/>
            <w:vAlign w:val="bottom"/>
            <w:tcBorders>
              <w:left w:val="single" w:sz="8" w:color="00497F"/>
            </w:tcBorders>
          </w:tcPr>
          <w:p>
            <w:pPr>
              <w:ind w:left="40"/>
              <w:spacing w:after="0"/>
              <w:rPr>
                <w:sz w:val="20"/>
                <w:szCs w:val="20"/>
                <w:color w:val="auto"/>
              </w:rPr>
            </w:pPr>
            <w:r>
              <w:rPr>
                <w:rFonts w:ascii="Arial" w:cs="Arial" w:eastAsia="Arial" w:hAnsi="Arial"/>
                <w:sz w:val="16"/>
                <w:szCs w:val="16"/>
                <w:b w:val="1"/>
                <w:bCs w:val="1"/>
                <w:color w:val="003595"/>
              </w:rPr>
              <w:t>Colleen F. Reitan</w:t>
            </w:r>
          </w:p>
        </w:tc>
        <w:tc>
          <w:tcPr>
            <w:tcW w:w="600" w:type="dxa"/>
            <w:vAlign w:val="bottom"/>
          </w:tcPr>
          <w:p>
            <w:pPr>
              <w:jc w:val="center"/>
              <w:spacing w:after="0"/>
              <w:rPr>
                <w:sz w:val="20"/>
                <w:szCs w:val="20"/>
                <w:color w:val="auto"/>
              </w:rPr>
            </w:pPr>
            <w:r>
              <w:rPr>
                <w:rFonts w:ascii="Arial" w:cs="Arial" w:eastAsia="Arial" w:hAnsi="Arial"/>
                <w:sz w:val="16"/>
                <w:szCs w:val="16"/>
                <w:color w:val="auto"/>
              </w:rPr>
              <w:t>66</w:t>
            </w: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40" w:type="dxa"/>
            <w:vAlign w:val="bottom"/>
            <w:tcBorders>
              <w:right w:val="single" w:sz="8" w:color="00497F"/>
            </w:tcBorders>
          </w:tcPr>
          <w:p>
            <w:pPr>
              <w:spacing w:after="0"/>
              <w:rPr>
                <w:sz w:val="16"/>
                <w:szCs w:val="16"/>
                <w:color w:val="auto"/>
              </w:rPr>
            </w:pPr>
          </w:p>
        </w:tc>
      </w:tr>
      <w:tr>
        <w:trPr>
          <w:trHeight w:val="215"/>
        </w:trPr>
        <w:tc>
          <w:tcPr>
            <w:tcW w:w="3960" w:type="dxa"/>
            <w:vAlign w:val="bottom"/>
            <w:tcBorders>
              <w:left w:val="single" w:sz="8" w:color="00497F"/>
            </w:tcBorders>
          </w:tcPr>
          <w:p>
            <w:pPr>
              <w:ind w:left="120"/>
              <w:spacing w:after="0"/>
              <w:rPr>
                <w:sz w:val="20"/>
                <w:szCs w:val="20"/>
                <w:color w:val="auto"/>
              </w:rPr>
            </w:pPr>
            <w:r>
              <w:rPr>
                <w:rFonts w:ascii="Arial" w:cs="Arial" w:eastAsia="Arial" w:hAnsi="Arial"/>
                <w:sz w:val="16"/>
                <w:szCs w:val="16"/>
                <w:color w:val="003595"/>
              </w:rPr>
              <w:t>Director</w:t>
            </w: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Borders>
              <w:right w:val="single" w:sz="8" w:color="00497F"/>
            </w:tcBorders>
          </w:tcPr>
          <w:p>
            <w:pPr>
              <w:spacing w:after="0"/>
              <w:rPr>
                <w:sz w:val="18"/>
                <w:szCs w:val="18"/>
                <w:color w:val="auto"/>
              </w:rPr>
            </w:pPr>
          </w:p>
        </w:tc>
      </w:tr>
      <w:tr>
        <w:trPr>
          <w:trHeight w:val="151"/>
        </w:trPr>
        <w:tc>
          <w:tcPr>
            <w:tcW w:w="3960" w:type="dxa"/>
            <w:vAlign w:val="bottom"/>
            <w:tcBorders>
              <w:left w:val="single" w:sz="8" w:color="00497F"/>
              <w:bottom w:val="single" w:sz="8" w:color="00497F"/>
            </w:tcBorders>
          </w:tcPr>
          <w:p>
            <w:pPr>
              <w:spacing w:after="0"/>
              <w:rPr>
                <w:sz w:val="13"/>
                <w:szCs w:val="13"/>
                <w:color w:val="auto"/>
              </w:rPr>
            </w:pPr>
          </w:p>
        </w:tc>
        <w:tc>
          <w:tcPr>
            <w:tcW w:w="600" w:type="dxa"/>
            <w:vAlign w:val="bottom"/>
            <w:tcBorders>
              <w:bottom w:val="single" w:sz="8" w:color="00497F"/>
            </w:tcBorders>
          </w:tcPr>
          <w:p>
            <w:pPr>
              <w:spacing w:after="0"/>
              <w:rPr>
                <w:sz w:val="13"/>
                <w:szCs w:val="13"/>
                <w:color w:val="auto"/>
              </w:rPr>
            </w:pPr>
          </w:p>
        </w:tc>
        <w:tc>
          <w:tcPr>
            <w:tcW w:w="1200" w:type="dxa"/>
            <w:vAlign w:val="bottom"/>
            <w:tcBorders>
              <w:bottom w:val="single" w:sz="8" w:color="00497F"/>
            </w:tcBorders>
          </w:tcPr>
          <w:p>
            <w:pPr>
              <w:spacing w:after="0"/>
              <w:rPr>
                <w:sz w:val="13"/>
                <w:szCs w:val="13"/>
                <w:color w:val="auto"/>
              </w:rPr>
            </w:pPr>
          </w:p>
        </w:tc>
        <w:tc>
          <w:tcPr>
            <w:tcW w:w="1740" w:type="dxa"/>
            <w:vAlign w:val="bottom"/>
            <w:tcBorders>
              <w:bottom w:val="single" w:sz="8" w:color="00497F"/>
            </w:tcBorders>
          </w:tcPr>
          <w:p>
            <w:pPr>
              <w:spacing w:after="0"/>
              <w:rPr>
                <w:sz w:val="13"/>
                <w:szCs w:val="13"/>
                <w:color w:val="auto"/>
              </w:rPr>
            </w:pPr>
          </w:p>
        </w:tc>
        <w:tc>
          <w:tcPr>
            <w:tcW w:w="1660" w:type="dxa"/>
            <w:vAlign w:val="bottom"/>
            <w:tcBorders>
              <w:bottom w:val="single" w:sz="8" w:color="00497F"/>
            </w:tcBorders>
          </w:tcPr>
          <w:p>
            <w:pPr>
              <w:spacing w:after="0"/>
              <w:rPr>
                <w:sz w:val="13"/>
                <w:szCs w:val="13"/>
                <w:color w:val="auto"/>
              </w:rPr>
            </w:pPr>
          </w:p>
        </w:tc>
        <w:tc>
          <w:tcPr>
            <w:tcW w:w="1740" w:type="dxa"/>
            <w:vAlign w:val="bottom"/>
            <w:tcBorders>
              <w:bottom w:val="single" w:sz="8" w:color="00497F"/>
              <w:right w:val="single" w:sz="8" w:color="00497F"/>
            </w:tcBorders>
          </w:tcPr>
          <w:p>
            <w:pPr>
              <w:spacing w:after="0"/>
              <w:rPr>
                <w:sz w:val="13"/>
                <w:szCs w:val="13"/>
                <w:color w:val="auto"/>
              </w:rPr>
            </w:pPr>
          </w:p>
        </w:tc>
      </w:tr>
      <w:tr>
        <w:trPr>
          <w:trHeight w:val="195"/>
        </w:trPr>
        <w:tc>
          <w:tcPr>
            <w:tcW w:w="3960" w:type="dxa"/>
            <w:vAlign w:val="bottom"/>
            <w:tcBorders>
              <w:left w:val="single" w:sz="8" w:color="00497F"/>
            </w:tcBorders>
          </w:tcPr>
          <w:p>
            <w:pPr>
              <w:ind w:left="40"/>
              <w:spacing w:after="0"/>
              <w:rPr>
                <w:sz w:val="20"/>
                <w:szCs w:val="20"/>
                <w:color w:val="auto"/>
              </w:rPr>
            </w:pPr>
            <w:r>
              <w:rPr>
                <w:rFonts w:ascii="Arial" w:cs="Arial" w:eastAsia="Arial" w:hAnsi="Arial"/>
                <w:sz w:val="16"/>
                <w:szCs w:val="16"/>
                <w:b w:val="1"/>
                <w:bCs w:val="1"/>
                <w:color w:val="003595"/>
              </w:rPr>
              <w:t>Daniel M. Skovronsky M.D., Ph.D.</w:t>
            </w:r>
          </w:p>
        </w:tc>
        <w:tc>
          <w:tcPr>
            <w:tcW w:w="600" w:type="dxa"/>
            <w:vAlign w:val="bottom"/>
          </w:tcPr>
          <w:p>
            <w:pPr>
              <w:jc w:val="center"/>
              <w:spacing w:after="0"/>
              <w:rPr>
                <w:sz w:val="20"/>
                <w:szCs w:val="20"/>
                <w:color w:val="auto"/>
              </w:rPr>
            </w:pPr>
            <w:r>
              <w:rPr>
                <w:rFonts w:ascii="Arial" w:cs="Arial" w:eastAsia="Arial" w:hAnsi="Arial"/>
                <w:sz w:val="16"/>
                <w:szCs w:val="16"/>
                <w:color w:val="auto"/>
              </w:rPr>
              <w:t>52</w:t>
            </w: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40" w:type="dxa"/>
            <w:vAlign w:val="bottom"/>
            <w:tcBorders>
              <w:right w:val="single" w:sz="8" w:color="00497F"/>
            </w:tcBorders>
          </w:tcPr>
          <w:p>
            <w:pPr>
              <w:spacing w:after="0"/>
              <w:rPr>
                <w:sz w:val="16"/>
                <w:szCs w:val="16"/>
                <w:color w:val="auto"/>
              </w:rPr>
            </w:pPr>
          </w:p>
        </w:tc>
      </w:tr>
      <w:tr>
        <w:trPr>
          <w:trHeight w:val="215"/>
        </w:trPr>
        <w:tc>
          <w:tcPr>
            <w:tcW w:w="3960" w:type="dxa"/>
            <w:vAlign w:val="bottom"/>
            <w:tcBorders>
              <w:left w:val="single" w:sz="8" w:color="00497F"/>
            </w:tcBorders>
          </w:tcPr>
          <w:p>
            <w:pPr>
              <w:ind w:left="120"/>
              <w:spacing w:after="0"/>
              <w:rPr>
                <w:sz w:val="20"/>
                <w:szCs w:val="20"/>
                <w:color w:val="auto"/>
              </w:rPr>
            </w:pPr>
            <w:r>
              <w:rPr>
                <w:rFonts w:ascii="Arial" w:cs="Arial" w:eastAsia="Arial" w:hAnsi="Arial"/>
                <w:sz w:val="16"/>
                <w:szCs w:val="16"/>
                <w:color w:val="003595"/>
              </w:rPr>
              <w:t>Director</w:t>
            </w: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40" w:type="dxa"/>
            <w:vAlign w:val="bottom"/>
            <w:tcBorders>
              <w:right w:val="single" w:sz="8" w:color="00497F"/>
            </w:tcBorders>
          </w:tcPr>
          <w:p>
            <w:pPr>
              <w:spacing w:after="0"/>
              <w:rPr>
                <w:sz w:val="18"/>
                <w:szCs w:val="18"/>
                <w:color w:val="auto"/>
              </w:rPr>
            </w:pPr>
          </w:p>
        </w:tc>
      </w:tr>
      <w:tr>
        <w:trPr>
          <w:trHeight w:val="137"/>
        </w:trPr>
        <w:tc>
          <w:tcPr>
            <w:tcW w:w="3960" w:type="dxa"/>
            <w:vAlign w:val="bottom"/>
            <w:tcBorders>
              <w:left w:val="single" w:sz="8" w:color="00497F"/>
              <w:bottom w:val="single" w:sz="8" w:color="00497F"/>
            </w:tcBorders>
          </w:tcPr>
          <w:p>
            <w:pPr>
              <w:spacing w:after="0"/>
              <w:rPr>
                <w:sz w:val="11"/>
                <w:szCs w:val="11"/>
                <w:color w:val="auto"/>
              </w:rPr>
            </w:pPr>
          </w:p>
        </w:tc>
        <w:tc>
          <w:tcPr>
            <w:tcW w:w="600" w:type="dxa"/>
            <w:vAlign w:val="bottom"/>
            <w:tcBorders>
              <w:bottom w:val="single" w:sz="8" w:color="00497F"/>
            </w:tcBorders>
          </w:tcPr>
          <w:p>
            <w:pPr>
              <w:spacing w:after="0"/>
              <w:rPr>
                <w:sz w:val="11"/>
                <w:szCs w:val="11"/>
                <w:color w:val="auto"/>
              </w:rPr>
            </w:pPr>
          </w:p>
        </w:tc>
        <w:tc>
          <w:tcPr>
            <w:tcW w:w="1200" w:type="dxa"/>
            <w:vAlign w:val="bottom"/>
            <w:tcBorders>
              <w:bottom w:val="single" w:sz="8" w:color="00497F"/>
            </w:tcBorders>
          </w:tcPr>
          <w:p>
            <w:pPr>
              <w:spacing w:after="0"/>
              <w:rPr>
                <w:sz w:val="11"/>
                <w:szCs w:val="11"/>
                <w:color w:val="auto"/>
              </w:rPr>
            </w:pPr>
          </w:p>
        </w:tc>
        <w:tc>
          <w:tcPr>
            <w:tcW w:w="1740" w:type="dxa"/>
            <w:vAlign w:val="bottom"/>
            <w:tcBorders>
              <w:bottom w:val="single" w:sz="8" w:color="00497F"/>
            </w:tcBorders>
          </w:tcPr>
          <w:p>
            <w:pPr>
              <w:spacing w:after="0"/>
              <w:rPr>
                <w:sz w:val="11"/>
                <w:szCs w:val="11"/>
                <w:color w:val="auto"/>
              </w:rPr>
            </w:pPr>
          </w:p>
        </w:tc>
        <w:tc>
          <w:tcPr>
            <w:tcW w:w="1660" w:type="dxa"/>
            <w:vAlign w:val="bottom"/>
            <w:tcBorders>
              <w:bottom w:val="single" w:sz="8" w:color="00497F"/>
            </w:tcBorders>
          </w:tcPr>
          <w:p>
            <w:pPr>
              <w:spacing w:after="0"/>
              <w:rPr>
                <w:sz w:val="11"/>
                <w:szCs w:val="11"/>
                <w:color w:val="auto"/>
              </w:rPr>
            </w:pPr>
          </w:p>
        </w:tc>
        <w:tc>
          <w:tcPr>
            <w:tcW w:w="1740" w:type="dxa"/>
            <w:vAlign w:val="bottom"/>
            <w:tcBorders>
              <w:bottom w:val="single" w:sz="8" w:color="00497F"/>
              <w:right w:val="single" w:sz="8" w:color="00497F"/>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-3239770</wp:posOffset>
            </wp:positionV>
            <wp:extent cx="291465"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-3239770</wp:posOffset>
            </wp:positionV>
            <wp:extent cx="300355"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-2580005</wp:posOffset>
            </wp:positionV>
            <wp:extent cx="291465"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-2580005</wp:posOffset>
            </wp:positionV>
            <wp:extent cx="291465"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-2219960</wp:posOffset>
            </wp:positionV>
            <wp:extent cx="428625"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8625" cy="3003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-2219960</wp:posOffset>
            </wp:positionV>
            <wp:extent cx="300355"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-1851025</wp:posOffset>
            </wp:positionV>
            <wp:extent cx="428625" cy="317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8625" cy="31750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-1842770</wp:posOffset>
            </wp:positionV>
            <wp:extent cx="291465"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-1465580</wp:posOffset>
            </wp:positionV>
            <wp:extent cx="291465"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-1465580</wp:posOffset>
            </wp:positionV>
            <wp:extent cx="300355"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-1096645</wp:posOffset>
            </wp:positionV>
            <wp:extent cx="291465"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-1096645</wp:posOffset>
            </wp:positionV>
            <wp:extent cx="403225"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3225" cy="3003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-728345</wp:posOffset>
            </wp:positionV>
            <wp:extent cx="291465"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-728345</wp:posOffset>
            </wp:positionV>
            <wp:extent cx="428625" cy="300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8625" cy="3003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-359410</wp:posOffset>
            </wp:positionV>
            <wp:extent cx="291465"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-359410</wp:posOffset>
            </wp:positionV>
            <wp:extent cx="291465"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176" w:lineRule="exact"/>
        <w:rPr>
          <w:sz w:val="20"/>
          <w:szCs w:val="20"/>
          <w:color w:val="auto"/>
        </w:rPr>
      </w:pPr>
    </w:p>
    <w:p>
      <w:pPr>
        <w:ind w:left="260"/>
        <w:spacing w:after="0"/>
        <w:rPr>
          <w:sz w:val="20"/>
          <w:szCs w:val="20"/>
          <w:color w:val="auto"/>
        </w:rPr>
      </w:pPr>
      <w:r>
        <w:rPr>
          <w:sz w:val="1"/>
          <w:szCs w:val="1"/>
          <w:color w:val="auto"/>
        </w:rPr>
        <w:drawing>
          <wp:inline distT="0" distB="0" distL="0" distR="0">
            <wp:extent cx="291465" cy="29146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1465" cy="291465"/>
                    </a:xfrm>
                    <a:prstGeom prst="rect">
                      <a:avLst/>
                    </a:prstGeom>
                    <a:noFill/>
                    <a:ln>
                      <a:noFill/>
                    </a:ln>
                  </pic:spPr>
                </pic:pic>
              </a:graphicData>
            </a:graphic>
          </wp:inline>
        </w:drawing>
      </w:r>
      <w:r>
        <w:rPr>
          <w:rFonts w:ascii="Arial" w:cs="Arial" w:eastAsia="Arial" w:hAnsi="Arial"/>
          <w:sz w:val="16"/>
          <w:szCs w:val="16"/>
          <w:color w:val="003595"/>
        </w:rPr>
        <w:t xml:space="preserve"> Audit and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102870</wp:posOffset>
            </wp:positionV>
            <wp:extent cx="291465"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303" w:lineRule="exact"/>
        <w:rPr>
          <w:sz w:val="20"/>
          <w:szCs w:val="20"/>
          <w:color w:val="auto"/>
        </w:rPr>
      </w:pPr>
    </w:p>
    <w:p>
      <w:pPr>
        <w:ind w:left="780"/>
        <w:spacing w:after="0"/>
        <w:rPr>
          <w:sz w:val="20"/>
          <w:szCs w:val="20"/>
          <w:color w:val="auto"/>
        </w:rPr>
      </w:pPr>
      <w:r>
        <w:rPr>
          <w:rFonts w:ascii="Arial" w:cs="Arial" w:eastAsia="Arial" w:hAnsi="Arial"/>
          <w:sz w:val="16"/>
          <w:szCs w:val="16"/>
          <w:color w:val="003595"/>
        </w:rPr>
        <w:t>Compensation and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175260</wp:posOffset>
            </wp:positionV>
            <wp:extent cx="300355"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80"/>
        <w:spacing w:after="0"/>
        <w:rPr>
          <w:sz w:val="20"/>
          <w:szCs w:val="20"/>
          <w:color w:val="auto"/>
        </w:rPr>
      </w:pPr>
      <w:r>
        <w:rPr>
          <w:rFonts w:ascii="Arial" w:cs="Arial" w:eastAsia="Arial" w:hAnsi="Arial"/>
          <w:sz w:val="16"/>
          <w:szCs w:val="16"/>
          <w:color w:val="003595"/>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175260</wp:posOffset>
            </wp:positionV>
            <wp:extent cx="2743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780"/>
        <w:spacing w:after="0"/>
        <w:rPr>
          <w:sz w:val="20"/>
          <w:szCs w:val="20"/>
          <w:color w:val="auto"/>
        </w:rPr>
      </w:pPr>
      <w:r>
        <w:rPr>
          <w:rFonts w:ascii="Arial" w:cs="Arial" w:eastAsia="Arial" w:hAnsi="Arial"/>
          <w:sz w:val="16"/>
          <w:szCs w:val="16"/>
          <w:color w:val="003595"/>
        </w:rPr>
        <w:t>Research and Product Innovation Committee</w:t>
      </w:r>
    </w:p>
    <w:p>
      <w:pPr>
        <w:spacing w:after="0" w:line="243" w:lineRule="exact"/>
        <w:rPr>
          <w:sz w:val="20"/>
          <w:szCs w:val="20"/>
          <w:color w:val="auto"/>
        </w:rPr>
      </w:pPr>
    </w:p>
    <w:p>
      <w:pPr>
        <w:ind w:left="780" w:hanging="390"/>
        <w:spacing w:after="0"/>
        <w:tabs>
          <w:tab w:leader="none" w:pos="780" w:val="left"/>
        </w:tabs>
        <w:numPr>
          <w:ilvl w:val="0"/>
          <w:numId w:val="20"/>
        </w:numPr>
        <w:rPr>
          <w:rFonts w:ascii="Times New Roman" w:cs="Times New Roman" w:eastAsia="Times New Roman" w:hAnsi="Times New Roman"/>
          <w:sz w:val="25"/>
          <w:szCs w:val="25"/>
          <w:color w:val="003595"/>
        </w:rPr>
      </w:pPr>
      <w:r>
        <w:rPr>
          <w:rFonts w:ascii="Arial" w:cs="Arial" w:eastAsia="Arial" w:hAnsi="Arial"/>
          <w:sz w:val="16"/>
          <w:szCs w:val="16"/>
          <w:color w:val="003595"/>
        </w:rPr>
        <w:t>Committee Chair</w:t>
      </w:r>
    </w:p>
    <w:p>
      <w:pPr>
        <w:spacing w:after="0" w:line="64" w:lineRule="exact"/>
        <w:rPr>
          <w:sz w:val="20"/>
          <w:szCs w:val="20"/>
          <w:color w:val="auto"/>
        </w:rPr>
      </w:pPr>
    </w:p>
    <w:p>
      <w:pPr>
        <w:ind w:left="780" w:hanging="369"/>
        <w:spacing w:after="0"/>
        <w:tabs>
          <w:tab w:leader="none" w:pos="780" w:val="left"/>
        </w:tabs>
        <w:numPr>
          <w:ilvl w:val="0"/>
          <w:numId w:val="21"/>
        </w:numPr>
        <w:rPr>
          <w:rFonts w:ascii="Times New Roman" w:cs="Times New Roman" w:eastAsia="Times New Roman" w:hAnsi="Times New Roman"/>
          <w:sz w:val="25"/>
          <w:szCs w:val="25"/>
          <w:color w:val="003595"/>
        </w:rPr>
      </w:pPr>
      <w:r>
        <w:rPr>
          <w:rFonts w:ascii="Arial" w:cs="Arial" w:eastAsia="Arial" w:hAnsi="Arial"/>
          <w:sz w:val="16"/>
          <w:szCs w:val="16"/>
          <w:color w:val="003595"/>
        </w:rPr>
        <w:t>Class III Director up for re-election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00497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58" w:right="69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6"/>
          <w:szCs w:val="16"/>
          <w:color w:val="auto"/>
        </w:rPr>
        <w:t>The following is a brief biography of each of the persons nominated as directors and the directors whose terms do not expire this year and who will continue to serve as directors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6883400" cy="3574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83400" cy="3574415"/>
                    </a:xfrm>
                    <a:prstGeom prst="rect">
                      <a:avLst/>
                    </a:prstGeom>
                    <a:noFill/>
                  </pic:spPr>
                </pic:pic>
              </a:graphicData>
            </a:graphic>
          </wp:anchor>
        </w:drawing>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 Louise Phanstiel</w:t>
      </w:r>
    </w:p>
    <w:p>
      <w:pPr>
        <w:spacing w:after="0" w:line="99"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003595"/>
        </w:rPr>
        <w:t>Experience: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595"/>
        </w:rPr>
        <w:t>Age: 67</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595"/>
        </w:rPr>
        <w:t xml:space="preserve">Director Since: </w:t>
      </w:r>
      <w:r>
        <w:rPr>
          <w:rFonts w:ascii="Arial" w:cs="Arial" w:eastAsia="Arial" w:hAnsi="Arial"/>
          <w:sz w:val="16"/>
          <w:szCs w:val="16"/>
          <w:b w:val="1"/>
          <w:bCs w:val="1"/>
          <w:color w:val="FFFFFF"/>
        </w:rPr>
        <w:t>2009</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A2299"/>
        </w:rPr>
        <w:t>Committees: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 Louise Phanstiel, Chair of the Board, has been a director of Myriad since September 2009 and assumed the Chair of</w:t>
      </w:r>
    </w:p>
    <w:p>
      <w:pPr>
        <w:spacing w:after="0" w:line="8" w:lineRule="exact"/>
        <w:rPr>
          <w:sz w:val="20"/>
          <w:szCs w:val="20"/>
          <w:color w:val="auto"/>
        </w:rPr>
      </w:pPr>
    </w:p>
    <w:p>
      <w:pPr>
        <w:jc w:val="both"/>
        <w:ind w:right="400"/>
        <w:spacing w:after="0" w:line="220" w:lineRule="auto"/>
        <w:rPr>
          <w:sz w:val="20"/>
          <w:szCs w:val="20"/>
          <w:color w:val="auto"/>
        </w:rPr>
      </w:pPr>
      <w:r>
        <w:rPr>
          <w:rFonts w:ascii="Arial" w:cs="Arial" w:eastAsia="Arial" w:hAnsi="Arial"/>
          <w:sz w:val="16"/>
          <w:szCs w:val="16"/>
          <w:color w:val="auto"/>
        </w:rPr>
        <w:t>the Board role in March 2020. Previously, she held several executive positions at Elevance Health, Inc., formerly WellPoint, Inc. from 1996 to 2007, including President, Specialty Products (which included behavioral health services);</w:t>
      </w:r>
    </w:p>
    <w:p>
      <w:pPr>
        <w:jc w:val="both"/>
        <w:ind w:right="400"/>
        <w:spacing w:after="0" w:line="225" w:lineRule="auto"/>
        <w:rPr>
          <w:sz w:val="20"/>
          <w:szCs w:val="20"/>
          <w:color w:val="auto"/>
        </w:rPr>
      </w:pPr>
      <w:r>
        <w:rPr>
          <w:rFonts w:ascii="Arial" w:cs="Arial" w:eastAsia="Arial" w:hAnsi="Arial"/>
          <w:sz w:val="16"/>
          <w:szCs w:val="16"/>
          <w:color w:val="auto"/>
        </w:rPr>
        <w:t>Senior Vice President, Chief of Staff and Corporate Planning in the Office of the Chairman; and Chief Accounting Officer, Controller and Chief Financial Officer for all WellPoint, Inc. subsidiaries. Prior to her time at WellPoint, Ms. Phanstiel was a partner at the international services firm PricewaterhouseCoopers, LLP (formerly Coopers &amp; Lybrand, LLP), where she specialized in insurance. Her life science experience includes having previously served on the board of directors and Chair of the audit committees at publicly traded companies, Inveresk Research Group, Inc. and Verastem, Inc. Ms.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Phanstiel is currently a member of the board of directors of Butterfly Network, Inc.</w:t>
      </w:r>
    </w:p>
    <w:p>
      <w:pPr>
        <w:spacing w:after="0" w:line="219" w:lineRule="exact"/>
        <w:rPr>
          <w:sz w:val="20"/>
          <w:szCs w:val="20"/>
          <w:color w:val="auto"/>
        </w:rPr>
      </w:pPr>
    </w:p>
    <w:p>
      <w:pPr>
        <w:jc w:val="both"/>
        <w:ind w:right="380"/>
        <w:spacing w:after="0" w:line="234" w:lineRule="auto"/>
        <w:rPr>
          <w:sz w:val="20"/>
          <w:szCs w:val="20"/>
          <w:color w:val="auto"/>
        </w:rPr>
      </w:pPr>
      <w:r>
        <w:rPr>
          <w:rFonts w:ascii="Arial" w:cs="Arial" w:eastAsia="Arial" w:hAnsi="Arial"/>
          <w:sz w:val="16"/>
          <w:szCs w:val="16"/>
          <w:color w:val="auto"/>
        </w:rPr>
        <w:t>The Board has determined that Ms. Phanstiel should serve on the Board based on her extensive expertise in the healthcare industry, which is critical as we rely on healthcare third-party reimbursement for our molecular diagnostic testing products. Ms. Phanstiel also provides the Board with financial accounting, internal control and public company reporting expertise from her work at Coopers &amp; Lybrand, LLP and as a Certified Public Accountant. In addition, she</w:t>
      </w:r>
    </w:p>
    <w:p>
      <w:pPr>
        <w:jc w:val="both"/>
        <w:ind w:right="400"/>
        <w:spacing w:after="0" w:line="235" w:lineRule="auto"/>
        <w:rPr>
          <w:sz w:val="20"/>
          <w:szCs w:val="20"/>
          <w:color w:val="auto"/>
        </w:rPr>
      </w:pPr>
      <w:r>
        <w:rPr>
          <w:rFonts w:ascii="Arial" w:cs="Arial" w:eastAsia="Arial" w:hAnsi="Arial"/>
          <w:sz w:val="16"/>
          <w:szCs w:val="16"/>
          <w:color w:val="auto"/>
        </w:rPr>
        <w:t>provides the Board with business, financial, investment, and management expertise, resulting from her service as an executive and director of several publicly traded companies.</w:t>
      </w:r>
    </w:p>
    <w:p>
      <w:pPr>
        <w:spacing w:after="0" w:line="204" w:lineRule="exact"/>
        <w:rPr>
          <w:sz w:val="20"/>
          <w:szCs w:val="20"/>
          <w:color w:val="auto"/>
        </w:rPr>
      </w:pPr>
    </w:p>
    <w:p>
      <w:pPr>
        <w:jc w:val="both"/>
        <w:ind w:right="380"/>
        <w:spacing w:after="0" w:line="234" w:lineRule="auto"/>
        <w:rPr>
          <w:sz w:val="20"/>
          <w:szCs w:val="20"/>
          <w:color w:val="auto"/>
        </w:rPr>
      </w:pPr>
      <w:r>
        <w:rPr>
          <w:rFonts w:ascii="Arial" w:cs="Arial" w:eastAsia="Arial" w:hAnsi="Arial"/>
          <w:sz w:val="16"/>
          <w:szCs w:val="16"/>
          <w:color w:val="auto"/>
        </w:rPr>
        <w:t>Ms. Phanstiel also provides valuable institutional knowledge from her tenure as a director of Myriad since September 2009, and as Chair of the Board since March 2020. During this time, she has made significant contributions to Myriad, including navigating the Company through the COVID-19 pandemic, successfully overseeing the hiring of two Chief Executive Officers (Mr. Diaz and Mr. Raha), and presiding over the refreshment of our Board, which included the</w:t>
      </w:r>
    </w:p>
    <w:p>
      <w:pPr>
        <w:jc w:val="both"/>
        <w:ind w:right="400"/>
        <w:spacing w:after="0" w:line="235" w:lineRule="auto"/>
        <w:rPr>
          <w:sz w:val="20"/>
          <w:szCs w:val="20"/>
          <w:color w:val="auto"/>
        </w:rPr>
      </w:pPr>
      <w:r>
        <w:rPr>
          <w:rFonts w:ascii="Arial" w:cs="Arial" w:eastAsia="Arial" w:hAnsi="Arial"/>
          <w:sz w:val="16"/>
          <w:szCs w:val="16"/>
          <w:color w:val="auto"/>
        </w:rPr>
        <w:t>appointment of three new directors over the past five years, including Mr. Raha joining the Board on April 30, 2025, and the appointment of a new executive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438785</wp:posOffset>
            </wp:positionV>
            <wp:extent cx="6883400" cy="37630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83400" cy="37630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480"/>
            <w:col w:w="9040"/>
          </w:cols>
          <w:pgMar w:left="320" w:top="77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Samraat S. Raha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3595"/>
        </w:rPr>
        <w:t>Age: 54</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3595"/>
        </w:rPr>
        <w:t xml:space="preserve">Director Since: </w:t>
      </w:r>
      <w:r>
        <w:rPr>
          <w:rFonts w:ascii="Arial" w:cs="Arial" w:eastAsia="Arial" w:hAnsi="Arial"/>
          <w:sz w:val="16"/>
          <w:szCs w:val="16"/>
          <w:b w:val="1"/>
          <w:bCs w:val="1"/>
          <w:color w:val="FFFFFF"/>
        </w:rPr>
        <w:t>2025</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3595"/>
        </w:rPr>
        <w:t>President and Chief</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3595"/>
        </w:rPr>
        <w:t>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Experience:</w:t>
      </w:r>
    </w:p>
    <w:p>
      <w:pPr>
        <w:spacing w:after="0" w:line="370" w:lineRule="exact"/>
        <w:rPr>
          <w:sz w:val="20"/>
          <w:szCs w:val="20"/>
          <w:color w:val="auto"/>
        </w:rPr>
      </w:pPr>
    </w:p>
    <w:p>
      <w:pPr>
        <w:jc w:val="both"/>
        <w:ind w:right="400"/>
        <w:spacing w:after="0" w:line="257" w:lineRule="auto"/>
        <w:rPr>
          <w:sz w:val="20"/>
          <w:szCs w:val="20"/>
          <w:color w:val="auto"/>
        </w:rPr>
      </w:pPr>
      <w:r>
        <w:rPr>
          <w:rFonts w:ascii="Arial" w:cs="Arial" w:eastAsia="Arial" w:hAnsi="Arial"/>
          <w:sz w:val="16"/>
          <w:szCs w:val="16"/>
          <w:color w:val="auto"/>
        </w:rPr>
        <w:t>Samraat S. Raha has served as our President and Chief Executive Officer and a member of the Board since April 30, 2025. He joined Myriad in December 2023, initially serving as Chief Operating Officer where he focused on driving profitable growth by strengthening operations and enhancing the customer experience. Mr. Raha brings over 25 years of experience in the life sciences and diagnostics industry, with leadership roles spanning research and development, operations, and commercial functions. Before joining Myriad, Mr. Raha served as Senior Vice President and President, Diagnostics and Genomics Group, of Agilent Technologies, Inc. (“Agilent”) from April 2018 to December 2023. From May 2017 to April 2018, Mr. Raha served as Agilent's Senior Vice President, Strategy and Corporate Development. From July 2013 to January 2017, he served as Vice President, Global Marketing for Illumina, Inc., and from 2008 to 2012, he served as Vice President and General Manager, Genomics Assays / NextGen qPCR for Life Technologies, Inc. Mr. Raha graduated from the University of California, Berkeley, with a degree in molecular and cell biology and received his MBA from Santa Clara University.</w:t>
      </w:r>
    </w:p>
    <w:p>
      <w:pPr>
        <w:spacing w:after="0" w:line="168" w:lineRule="exact"/>
        <w:rPr>
          <w:sz w:val="20"/>
          <w:szCs w:val="20"/>
          <w:color w:val="auto"/>
        </w:rPr>
      </w:pPr>
    </w:p>
    <w:p>
      <w:pPr>
        <w:jc w:val="both"/>
        <w:ind w:right="400"/>
        <w:spacing w:after="0" w:line="265" w:lineRule="auto"/>
        <w:rPr>
          <w:sz w:val="20"/>
          <w:szCs w:val="20"/>
          <w:color w:val="auto"/>
        </w:rPr>
      </w:pPr>
      <w:r>
        <w:rPr>
          <w:rFonts w:ascii="Arial" w:cs="Arial" w:eastAsia="Arial" w:hAnsi="Arial"/>
          <w:sz w:val="16"/>
          <w:szCs w:val="16"/>
          <w:color w:val="auto"/>
        </w:rPr>
        <w:t>The Board has determined that Mr. Raha should serve on the Board based on his significant leadership experience in the life sciences and diagnostics industry, including expertise in general management, operations, and commercial strategy as well as his role as our President and Chief Executive Officer. His background in driving innovation and enhancing customer experience provides valuable insights into Myriad’s business. Additionally, his experience leading global teams in diagnostics and genomics strengthens Myriad’s position in advancing precision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769620</wp:posOffset>
            </wp:positionV>
            <wp:extent cx="68834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460"/>
            <w:col w:w="9020"/>
          </w:cols>
          <w:pgMar w:left="320" w:top="77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2"/>
          <w:szCs w:val="22"/>
          <w:b w:val="1"/>
          <w:bCs w:val="1"/>
          <w:color w:val="FFFFFF"/>
        </w:rPr>
        <w:t>Paul M. Bisaro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Age: 65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 xml:space="preserve">Director Since: </w:t>
      </w:r>
      <w:r>
        <w:rPr>
          <w:rFonts w:ascii="Arial" w:cs="Arial" w:eastAsia="Arial" w:hAnsi="Arial"/>
          <w:sz w:val="16"/>
          <w:szCs w:val="16"/>
          <w:b w:val="1"/>
          <w:bCs w:val="1"/>
          <w:color w:val="FFFFFF"/>
        </w:rPr>
        <w:t>2022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Committees: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-364490</wp:posOffset>
            </wp:positionV>
            <wp:extent cx="6883400" cy="41402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83400" cy="4140200"/>
                    </a:xfrm>
                    <a:prstGeom prst="rect">
                      <a:avLst/>
                    </a:prstGeom>
                    <a:noFill/>
                  </pic:spPr>
                </pic:pic>
              </a:graphicData>
            </a:graphic>
          </wp:anchor>
        </w:drawing>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Paul M. Bisaro has served as a director of Myriad since October 31, 2022. Mr. Bisaro is an accomplished global business leader with more than 30 years of generic and branded pharmaceutical experience. He currently serves as a director of Keenova Therapeutics plc (formally Mallinckrodt plc) and has served as the Chair of the Governance and Compliance Committee. Mr. Bisaro previously served as Chairman of the board of directors of Mallinckrodt from February 2024 through its transition and rebrand as Keenova Therapeutics in November 2025, and also served as its Chairman of the Board during a prior term from June 2022 to November 2023. Mr. Bisaro is also currently a member of the board of directors of Zoetis Inc. He previously served on the board of Zimmer Biomet Holding, Inc. and TherapueticsMD. Mr. Bisaro’s executive experience includes serving as the Executive Chairman of Amneal Pharmaceuticals, Inc., from May 2018 until August of 2019. Prior to that role, from May 2017 to May 2018, he was President and Chief Executive Officer, and member of the board of directors, of Impax Laboratories, Inc., until its acquisition by Amneal Pharmaceuticals. Mr. Bisaro also served as Executive Chairman of Allergan, plc, from July 2014 to November 2016, and as President and CEO of Actavis, plc (and its predecessor firm Watson Pharmaceuticals Inc.) from September 2007 to July 2014. Mr. Bisaro served on the board of directors of Allergan (and its predecessor firms) from September 2007 until August 2018. Earlier in his career, he served as President, Chief Operating Officer, and a member of the board of directors of Barr Pharmaceuticals, Inc., from 1999 to 2007. Between 1992 and 1999, Mr. Bisaro served as General Counsel of Barr. Prior to joining Barr, he was associated with the law firm Winston &amp; Strawn and a predecessor firm, Bishop, Cook, Purcell and Reynolds and served as a Senior Consultant with Arthur Andersen &amp; Co. Mr. Bisaro holds an undergraduate degree in General Studies from the University of Michigan and a J.D. from Catholic University of America in Washington, D.C.</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has determined that Mr. Bisaro should serve on the Board based on his more than 25 years of business, management and leadership experience in the pharmaceutical industry and his proven track record of driving company growth through operational execution and corporate transformation. His extensive experience as a public company director, including his leadership as a board chair through complex corporate transformations, provides our Board with deep expertise in mergers and acquisitions, finance, accounting, and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645160</wp:posOffset>
            </wp:positionV>
            <wp:extent cx="6883400" cy="32575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83400" cy="32575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320"/>
          </w:cols>
          <w:pgMar w:left="340" w:top="82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Mark S. Davis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Age: 63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 xml:space="preserve">Director Since: </w:t>
      </w:r>
      <w:r>
        <w:rPr>
          <w:rFonts w:ascii="Arial" w:cs="Arial" w:eastAsia="Arial" w:hAnsi="Arial"/>
          <w:sz w:val="16"/>
          <w:szCs w:val="16"/>
          <w:b w:val="1"/>
          <w:bCs w:val="1"/>
          <w:color w:val="FFFFFF"/>
        </w:rPr>
        <w:t>2024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Experience:</w:t>
      </w:r>
    </w:p>
    <w:p>
      <w:pPr>
        <w:spacing w:after="0" w:line="235"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Mark S. Davis has served as a director of Myriad since December 10, 2024. Mr. Davis currently serves as Senior Relationship and Growth Advisor for Cross Country Consulting, a position he has held since October 2024. Previously, Mr. Davis enjoyed a distinguished career at Deloitte &amp; Touche LLP, serving from 1985 until September 2024. During his tenure at Deloitte, he held several senior leadership roles, including Audit Partner, National Managing Partner of Deloitte Private Enterprises, and Managing Partner of the Long Island office. Since July 2024, Mr. Davis has served on the board of directors of Yext, Inc., where he is a member of the audit committee. Mr. Davis is also a member of the Board of Trustees at Adelphi University, where he serves on the finance and investment committee as well as the audit committee. His former advisory involvements include serving as a member of the advisory board of NYU-Winthrop Hospital and on the Board of Governors of the Mill River Club. He holds a B.B.A. from Adelphi University and is a certified public accountant.</w:t>
      </w:r>
    </w:p>
    <w:p>
      <w:pPr>
        <w:spacing w:after="0" w:line="22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Board has determined that Mr. Davis should serve on the Board based on his extensive expertise in financial accounting and public company reporting, developed over nearly four decades of management and executive leadership at Deloitte &amp; Touche LLP. Mr. Davis also possesses significant experience working with companies across various industries, including technology and healthcare. In addition, his deep background in corporate governance, acquisitions and public company matters make him a valuable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730885</wp:posOffset>
            </wp:positionV>
            <wp:extent cx="6883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600"/>
            <w:col w:w="8660"/>
          </w:cols>
          <w:pgMar w:left="340" w:top="82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00497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827" w:right="7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6883400" cy="29660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83400" cy="2966085"/>
                    </a:xfrm>
                    <a:prstGeom prst="rect">
                      <a:avLst/>
                    </a:prstGeom>
                    <a:noFill/>
                  </pic:spPr>
                </pic:pic>
              </a:graphicData>
            </a:graphic>
          </wp:anchor>
        </w:drawing>
        <w:t>Heiner Dreismann, Ph.D.</w:t>
      </w:r>
    </w:p>
    <w:p>
      <w:pPr>
        <w:sectPr>
          <w:pgSz w:w="11900" w:h="16838" w:orient="portrait"/>
          <w:cols w:equalWidth="0" w:num="1">
            <w:col w:w="10820"/>
          </w:cols>
          <w:pgMar w:left="340" w:top="82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 xml:space="preserve">Age: </w:t>
      </w:r>
      <w:r>
        <w:rPr>
          <w:rFonts w:ascii="Arial" w:cs="Arial" w:eastAsia="Arial" w:hAnsi="Arial"/>
          <w:sz w:val="16"/>
          <w:szCs w:val="16"/>
          <w:b w:val="1"/>
          <w:bCs w:val="1"/>
          <w:color w:val="0A2299"/>
        </w:rPr>
        <w:t>72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Director Since: 2010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Committees: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Experience:</w:t>
      </w:r>
    </w:p>
    <w:p>
      <w:pPr>
        <w:spacing w:after="0" w:line="24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Heiner Dreismann, Ph.D., has served as a director of Myriad since June 2010. Dr. Dreismann currently serves on the board of directors of Mainz Biomed N.V. and on a number of early-stage private company boards in the biotechnology industry. Previously, Dr. Dreismann had a successful career at the Roche Group from 1985 to 2006, where he held several senior positions, including President and CEO of Roche Molecular Systems, Head of Global Business Development for Roche Diagnostics and member of Roche’s Global Diagnostic Executive Committee. Dr. Dreismann's previous public board service includes Talis Biomedical Corporation, Med BioGene, Inc., Genenews Limited, Interpace Diagnostics and Ignyta, Inc. He earned a M.S. degree in biology and his Ph.D. in microbiology/molecular biology (summa cum laude) from Westfaelische Wilhelms University (The University of Münster) in Germany.</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has determined that Dr. Dreismann should serve on the Board based on his more than 20 years of business and managerial expertise at Roche, including specific expertise in developing and commercially launching diagnostic products. Furthermore, Dr. Dreismann possesses extensive experience in international markets, specifically in Europe, developed during his tenure as CEO of Roche Molecular Systems. His deep scientific background and technical expertise enable him to provide the Board with invaluable advice on product research and development. Additionally, his diversified background in managing and serving as a director of several biotechnology companies provides the Board with a broad perspective on industry trends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438150</wp:posOffset>
            </wp:positionV>
            <wp:extent cx="6883400" cy="40633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83400" cy="40633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600"/>
            <w:col w:w="8660"/>
          </w:cols>
          <w:pgMar w:left="340" w:top="82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Rashmi Kumar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Age: 56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 xml:space="preserve">Director Since: </w:t>
      </w:r>
      <w:r>
        <w:rPr>
          <w:rFonts w:ascii="Arial" w:cs="Arial" w:eastAsia="Arial" w:hAnsi="Arial"/>
          <w:sz w:val="16"/>
          <w:szCs w:val="16"/>
          <w:b w:val="1"/>
          <w:bCs w:val="1"/>
          <w:color w:val="FFFFFF"/>
        </w:rPr>
        <w:t>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Experience:</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Rashmi Kumar has served as a director of Myriad since September 2020. Ms. Kumar currently serves as Senior Vice President, Chief Information Officer with Medtronic plc, a position she has held since December 2022. Previously, she served as Senior Vice President and Chief Information Officer – Global IT with Hewlett Packard Enterprise (HPE) from January 2020 to November 2022, after joining HPE in 2018 as VP Global IT. Ms. Kumar is a seasoned technology leader with over 25 years of experience across various industries, including healthcare, cybersecurity, and financial services. Prior to HPE, Ms. Kumar held CIO and CTO leadership positions for several Fortune 50 companies, including McKesson, Southern California Edison, Toyota, HPE, and Tata Steel. Her primary areas of focus include digital transformation, AI/ML, data and analytics, and large-scale business process transformations. Ms. Kumar earned a bachelor’s degree in Metallurgical Engineering from the Bihar Institute of Technology in Sindri, India, and an MBA from the University of California, Irvine, Paul Merage School of Business.</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Board has determined that Ms. Kumar should serve on the Board based on her important expertise in the healthcare industry and her extensive experience in information technology management at leading global companies, Her specific skills in digital transformation and cybersecurity are especially critical as Myriad continues to upgrade its information technology systems and customer interfaces. Additionally, Ms. Kumar's strong scientific and engineering background, combined with her experience leading technology strategy at companies like McKesson and Medtronic, provides the Board with valuable perspective on product development and technical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1141095</wp:posOffset>
            </wp:positionV>
            <wp:extent cx="68834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600"/>
            <w:col w:w="8660"/>
          </w:cols>
          <w:pgMar w:left="340" w:top="82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00497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827" w:right="7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6883400" cy="31800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83400" cy="3180080"/>
                    </a:xfrm>
                    <a:prstGeom prst="rect">
                      <a:avLst/>
                    </a:prstGeom>
                    <a:noFill/>
                  </pic:spPr>
                </pic:pic>
              </a:graphicData>
            </a:graphic>
          </wp:anchor>
        </w:drawing>
        <w:t>Lee N. Newcomer, M.D.</w:t>
      </w:r>
    </w:p>
    <w:p>
      <w:pPr>
        <w:sectPr>
          <w:pgSz w:w="11900" w:h="16838" w:orient="portrait"/>
          <w:cols w:equalWidth="0" w:num="1">
            <w:col w:w="10820"/>
          </w:cols>
          <w:pgMar w:left="340" w:top="82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Age: 73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 xml:space="preserve">Director Since: </w:t>
      </w:r>
      <w:r>
        <w:rPr>
          <w:rFonts w:ascii="Arial" w:cs="Arial" w:eastAsia="Arial" w:hAnsi="Arial"/>
          <w:sz w:val="16"/>
          <w:szCs w:val="16"/>
          <w:b w:val="1"/>
          <w:bCs w:val="1"/>
          <w:color w:val="FFFFFF"/>
        </w:rPr>
        <w:t>2019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Committees: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Experience:</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Lee N. Newcomer, M.D., has served as a director of Myriad since September 2019. Dr. Newcomer currently manages his own consulting business, Lee N. Newcomer Consulting, LLC. He also currently serves on the board of directors of Coherus BioSciences, Inc., a public biopharmaceutical company, and Cellworks Group Inc., a private precision medicine company. Previously, he held several senior executive roles at United Healthcare Group, including Senior Vice President for Oncology and Genetics, Chief Medical Officer and Senior Vice President of Health Policy and Strategy. Dr. Newcomer also worked for Vivius, Inc., a consumer directed health plan, where he held the position of Executive Vice President and Chief Medical Officer. Dr. Newcomer's previous board service includes serving on the board of directors of Park Nicollet Health Systems, a hospital health care system with approximately 1,000 physicians and 400 beds, for ten years, including two years as Chairman. He received a B.S. from Nebraska Wesleyan University, a Master’s Degree in Healthcare Administration &amp; Management from the University of Wisconsin, Madison, and an M.D. from the University of Nebraska, Omaha.</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Board has determined that Dr. Newcomer should serve on the Board based on his extensive reimbursement and managed care experience, which aids the Company in its efforts to expand reimbursement for its new and existing innovative precision medicine tests. He provides the Board with deep expertise regarding the medical insurance industry based on his extensive experience in several senior positions at UnitedHealth Group, Inc. and CIGNA Corporation. Additionally, Dr. Newcomer’s medical background provides the Board with valuable expertise in developing predictive, personalized and prognostic testing products. Furthermore, he brings extensive business management experience from his 28 years of work in the managed care and pharmaceutical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359410</wp:posOffset>
            </wp:positionV>
            <wp:extent cx="6883400" cy="3335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83400" cy="3335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600"/>
            <w:col w:w="8660"/>
          </w:cols>
          <w:pgMar w:left="340" w:top="82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Colleen F. Reitan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Age: 66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 xml:space="preserve">Director Since: </w:t>
      </w:r>
      <w:r>
        <w:rPr>
          <w:rFonts w:ascii="Arial" w:cs="Arial" w:eastAsia="Arial" w:hAnsi="Arial"/>
          <w:sz w:val="16"/>
          <w:szCs w:val="16"/>
          <w:b w:val="1"/>
          <w:bCs w:val="1"/>
          <w:color w:val="FFFFFF"/>
        </w:rPr>
        <w:t>2019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Experience:</w:t>
      </w:r>
    </w:p>
    <w:p>
      <w:pPr>
        <w:spacing w:after="0" w:line="262"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Colleen F. Reitan has served as director of Myriad since September 2019. Ms. Reitan currently serves on the board of directors of Alnylam Pharmaceuticals, Inc. Previously, she held numerous senior leadership positions at Health Care Services Corporation (HCSC), including most recently as the Executive Vice President and President of Plan Operations, as well as the Chief Operating Officer. Prior to her time at HCSC, Ms. Reitan held several senior management positions at Blue Cross and Blue Shield of Minnesota, including President and Chief Operating Officer. In aggregate, Ms. Reitan has over 35 years of experience in the managed care industry. She holds a B.A. from Minnesota State University at Mankato and an M.S. in Health Care Administration from the University of Minnesota-Twin Cities.</w:t>
      </w:r>
    </w:p>
    <w:p>
      <w:pPr>
        <w:spacing w:after="0" w:line="20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Board has determined that Ms. Reitan should serve on the Board based on her extensive reimbursement and managed care experience, which aid the Company in its efforts to expand reimbursement for its new and existing innovative precision medicine tests. Furthermore, she provides the Board with important expertise regarding the medical insurance industry based on her extensive leadership experience in several senior positions at HCSC and Blue Cross and Blue Shield of Minnesota. In addition, she provides the Board with management expertise resulting from managing private companies and serving as a director of a publicly-traded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798195</wp:posOffset>
            </wp:positionV>
            <wp:extent cx="68834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420"/>
            <w:col w:w="8660"/>
          </w:cols>
          <w:pgMar w:left="340" w:top="82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00497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827" w:right="7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6883400" cy="2700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83400" cy="2700020"/>
                    </a:xfrm>
                    <a:prstGeom prst="rect">
                      <a:avLst/>
                    </a:prstGeom>
                    <a:noFill/>
                  </pic:spPr>
                </pic:pic>
              </a:graphicData>
            </a:graphic>
          </wp:anchor>
        </w:drawing>
        <w:t>Daniel M. Skovronsky, M.D., Ph.D.</w:t>
      </w:r>
    </w:p>
    <w:p>
      <w:pPr>
        <w:sectPr>
          <w:pgSz w:w="11900" w:h="16838" w:orient="portrait"/>
          <w:cols w:equalWidth="0" w:num="1">
            <w:col w:w="10820"/>
          </w:cols>
          <w:pgMar w:left="340" w:top="82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 xml:space="preserve">Age: </w:t>
      </w:r>
      <w:r>
        <w:rPr>
          <w:rFonts w:ascii="Arial" w:cs="Arial" w:eastAsia="Arial" w:hAnsi="Arial"/>
          <w:sz w:val="16"/>
          <w:szCs w:val="16"/>
          <w:b w:val="1"/>
          <w:bCs w:val="1"/>
          <w:color w:val="0A2299"/>
        </w:rPr>
        <w:t>52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 xml:space="preserve">Director Since: </w:t>
      </w:r>
      <w:r>
        <w:rPr>
          <w:rFonts w:ascii="Arial" w:cs="Arial" w:eastAsia="Arial" w:hAnsi="Arial"/>
          <w:sz w:val="16"/>
          <w:szCs w:val="16"/>
          <w:b w:val="1"/>
          <w:bCs w:val="1"/>
          <w:color w:val="FFFFFF"/>
        </w:rPr>
        <w:t>2020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Committees: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Experience:</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Daniel M. Skovronsky, M.D., Ph.D. has served as a director of Myriad since July 2020. Dr. Skovronsky currently serves as President of Lilly Research Laboratories, President of Lilly Immunology, and Chief Scientific Officer at Eli Lilly and Company. Previously, he served as Chief Executive Officer of Avid Radiopharmaceuticals Inc., a company he founded in 2004. Dr. Skovronsky earned his M.D. from the Perelman School of Medicine at the University of Pennsylvania, his Ph.D. in neuroscience from the University of Pennsylvania, and a B.S. in molecular biophysics and biochemistry from Yale University.</w:t>
      </w:r>
    </w:p>
    <w:p>
      <w:pPr>
        <w:spacing w:after="0" w:line="203"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Board has determined that Dr. Skovronsky should serve on the Board based on his extensive medical and scientific background, which provides the Board with expertise in developing predictive, personalized, and prognostic testing products. Dr. Skovronsky provides the Board with significant business and management expertise from his senior leadership roles at a major pharmaceutical company, particularly in research and development. His background as a neuropathologist and his extensive experience in neuroscience further provides the Board with specialized expertise in developing and commercializing diagnostics for neuropsychiatric and other complex medical conditions. As a director, Dr. Skovronsky has made significant contributions to Myriad's research and product development efforts, and long-term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294640</wp:posOffset>
            </wp:positionV>
            <wp:extent cx="68834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600"/>
            <w:col w:w="8660"/>
          </w:cols>
          <w:pgMar w:left="340" w:top="82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00497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827" w:right="7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color w:val="003595"/>
        </w:rPr>
        <w:t>Board of Director Qualifications, Expertise, and Attributes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Below are charts showing board diversity, the age range of our directors, director independence, and the average tenure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6172200" cy="1525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7220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Director Capability Definitions</w:t>
      </w:r>
    </w:p>
    <w:p>
      <w:pPr>
        <w:spacing w:after="0" w:line="2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Board Diversity – Representation of gender, ethnic, cultural, or other perspectives that expand the Board’s understanding of the needs and viewpoints of our patients, physician partners, employees, governments, and other stakeholders.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Finance and Accounting – Experience with or understanding of the financial and accounting function of an enterprise in U.S. and international markets, resulting in proficiency in complex financial management, capital allocation, mergers and acquisitions and financial accounting and reporting processes.</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Leadership – Experience leading a significant enterprise, resulting in a practical understanding of organizations, processes, strategic planning, and risk management. Demonstrated strengths in developing talent, planning succession, and driving change and long-term growth.</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Healthcare Industry – Experience with and understanding of complex issues within the health care industry including expertise in commercializing health care products or services with emphasis in oncology, women’s health, and mental health. Healthcare market experience in both the United States and internationally is valued including experience with the U.S. and international healthcare regulatory environment.</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Diagnostics Industry – Experience with complex issues involving the development and distribution of diagnostic tests, providing test results and interpretation, providing clinical laboratory services, and developing and supplying molecular diagnostics, instrumentation equipment, and consumable materials.</w:t>
      </w:r>
    </w:p>
    <w:p>
      <w:pPr>
        <w:spacing w:after="0" w:line="3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Research and Development – Experience and expertise in new product development and life cycle management, resulting in the successful introduction of innovative products and services that satisfy unmet medical needs and contribute to the Company’s profits. Expertise in designing and implementing clinical trials and in research methods used to evaluate and demonstrate improvements in health and cost outcomes. Expertise in assessing the medical and/or commercial implications for improving health and cost outcomes.</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Provider or Payor Perspective – Understanding of the delivery and/or payment of medical services obtained through experience working as a medical provider or payer, including executive or operational roles at a hospital or health insurance organization.</w:t>
      </w:r>
    </w:p>
    <w:p>
      <w:pPr>
        <w:spacing w:after="0" w:line="16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Technology – Experienced leader of information and digital technology functions with deep knowledge in anticipating technological trends including commercial and product digital solutions, disruptive innovation that extend or create new business models. Expertise in cyber security and risk management.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Public Company Governance – Experience as a board member of other publicly traded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003595"/>
        </w:rPr>
        <w:t>Director Capability Matrix</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648"/>
        </w:trPr>
        <w:tc>
          <w:tcPr>
            <w:tcW w:w="2240" w:type="dxa"/>
            <w:vAlign w:val="bottom"/>
            <w:tcBorders>
              <w:right w:val="single" w:sz="8" w:color="003595"/>
            </w:tcBorders>
          </w:tcPr>
          <w:p>
            <w:pPr>
              <w:spacing w:after="0"/>
              <w:rPr>
                <w:sz w:val="24"/>
                <w:szCs w:val="24"/>
                <w:color w:val="auto"/>
              </w:rPr>
            </w:pPr>
          </w:p>
        </w:tc>
        <w:tc>
          <w:tcPr>
            <w:tcW w:w="940" w:type="dxa"/>
            <w:vAlign w:val="bottom"/>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Board</w:t>
            </w:r>
          </w:p>
        </w:tc>
        <w:tc>
          <w:tcPr>
            <w:tcW w:w="20" w:type="dxa"/>
            <w:vAlign w:val="bottom"/>
            <w:shd w:val="clear" w:color="auto" w:fill="003595"/>
          </w:tcPr>
          <w:p>
            <w:pPr>
              <w:spacing w:after="0"/>
              <w:rPr>
                <w:sz w:val="24"/>
                <w:szCs w:val="24"/>
                <w:color w:val="auto"/>
              </w:rPr>
            </w:pPr>
          </w:p>
        </w:tc>
        <w:tc>
          <w:tcPr>
            <w:tcW w:w="960" w:type="dxa"/>
            <w:vAlign w:val="bottom"/>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Finance and</w:t>
            </w:r>
          </w:p>
        </w:tc>
        <w:tc>
          <w:tcPr>
            <w:tcW w:w="160" w:type="dxa"/>
            <w:vAlign w:val="bottom"/>
            <w:tcBorders>
              <w:left w:val="single" w:sz="8" w:color="003595"/>
            </w:tcBorders>
            <w:shd w:val="clear" w:color="auto" w:fill="003595"/>
          </w:tcPr>
          <w:p>
            <w:pPr>
              <w:spacing w:after="0"/>
              <w:rPr>
                <w:sz w:val="24"/>
                <w:szCs w:val="24"/>
                <w:color w:val="auto"/>
              </w:rPr>
            </w:pPr>
          </w:p>
        </w:tc>
        <w:tc>
          <w:tcPr>
            <w:tcW w:w="680" w:type="dxa"/>
            <w:vAlign w:val="bottom"/>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w w:val="97"/>
                <w:shd w:val="clear" w:color="auto" w:fill="003595"/>
              </w:rPr>
              <w:t>Leadership</w:t>
            </w:r>
          </w:p>
        </w:tc>
        <w:tc>
          <w:tcPr>
            <w:tcW w:w="180" w:type="dxa"/>
            <w:vAlign w:val="bottom"/>
            <w:tcBorders>
              <w:right w:val="single" w:sz="8" w:color="003595"/>
            </w:tcBorders>
            <w:shd w:val="clear" w:color="auto" w:fill="003595"/>
          </w:tcPr>
          <w:p>
            <w:pPr>
              <w:spacing w:after="0"/>
              <w:rPr>
                <w:sz w:val="24"/>
                <w:szCs w:val="24"/>
                <w:color w:val="auto"/>
              </w:rPr>
            </w:pPr>
          </w:p>
        </w:tc>
        <w:tc>
          <w:tcPr>
            <w:tcW w:w="100" w:type="dxa"/>
            <w:vAlign w:val="bottom"/>
            <w:shd w:val="clear" w:color="auto" w:fill="003595"/>
          </w:tcPr>
          <w:p>
            <w:pPr>
              <w:spacing w:after="0"/>
              <w:rPr>
                <w:sz w:val="24"/>
                <w:szCs w:val="24"/>
                <w:color w:val="auto"/>
              </w:rPr>
            </w:pPr>
          </w:p>
        </w:tc>
        <w:tc>
          <w:tcPr>
            <w:tcW w:w="700" w:type="dxa"/>
            <w:vAlign w:val="bottom"/>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shd w:val="clear" w:color="auto" w:fill="003595"/>
              </w:rPr>
              <w:t>Healthcare</w:t>
            </w:r>
          </w:p>
        </w:tc>
        <w:tc>
          <w:tcPr>
            <w:tcW w:w="120" w:type="dxa"/>
            <w:vAlign w:val="bottom"/>
            <w:tcBorders>
              <w:right w:val="single" w:sz="8" w:color="003595"/>
            </w:tcBorders>
            <w:shd w:val="clear" w:color="auto" w:fill="003595"/>
          </w:tcPr>
          <w:p>
            <w:pPr>
              <w:spacing w:after="0"/>
              <w:rPr>
                <w:sz w:val="24"/>
                <w:szCs w:val="24"/>
                <w:color w:val="auto"/>
              </w:rPr>
            </w:pPr>
          </w:p>
        </w:tc>
        <w:tc>
          <w:tcPr>
            <w:tcW w:w="920" w:type="dxa"/>
            <w:vAlign w:val="bottom"/>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Diagnostic</w:t>
            </w:r>
          </w:p>
        </w:tc>
        <w:tc>
          <w:tcPr>
            <w:tcW w:w="20" w:type="dxa"/>
            <w:vAlign w:val="bottom"/>
            <w:shd w:val="clear" w:color="auto" w:fill="003595"/>
          </w:tcPr>
          <w:p>
            <w:pPr>
              <w:spacing w:after="0"/>
              <w:rPr>
                <w:sz w:val="24"/>
                <w:szCs w:val="24"/>
                <w:color w:val="auto"/>
              </w:rPr>
            </w:pPr>
          </w:p>
        </w:tc>
        <w:tc>
          <w:tcPr>
            <w:tcW w:w="1060" w:type="dxa"/>
            <w:vAlign w:val="bottom"/>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Research and</w:t>
            </w:r>
          </w:p>
        </w:tc>
        <w:tc>
          <w:tcPr>
            <w:tcW w:w="20" w:type="dxa"/>
            <w:vAlign w:val="bottom"/>
            <w:shd w:val="clear" w:color="auto" w:fill="003595"/>
          </w:tcPr>
          <w:p>
            <w:pPr>
              <w:spacing w:after="0"/>
              <w:rPr>
                <w:sz w:val="24"/>
                <w:szCs w:val="24"/>
                <w:color w:val="auto"/>
              </w:rPr>
            </w:pPr>
          </w:p>
        </w:tc>
        <w:tc>
          <w:tcPr>
            <w:tcW w:w="1020" w:type="dxa"/>
            <w:vAlign w:val="bottom"/>
            <w:tcBorders>
              <w:right w:val="single" w:sz="8" w:color="003595"/>
            </w:tcBorders>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Provider or</w:t>
            </w:r>
          </w:p>
        </w:tc>
        <w:tc>
          <w:tcPr>
            <w:tcW w:w="120" w:type="dxa"/>
            <w:vAlign w:val="bottom"/>
            <w:shd w:val="clear" w:color="auto" w:fill="003595"/>
          </w:tcPr>
          <w:p>
            <w:pPr>
              <w:spacing w:after="0"/>
              <w:rPr>
                <w:sz w:val="24"/>
                <w:szCs w:val="24"/>
                <w:color w:val="auto"/>
              </w:rPr>
            </w:pPr>
          </w:p>
        </w:tc>
        <w:tc>
          <w:tcPr>
            <w:tcW w:w="740" w:type="dxa"/>
            <w:vAlign w:val="bottom"/>
            <w:shd w:val="clear" w:color="auto" w:fill="003595"/>
          </w:tcPr>
          <w:p>
            <w:pPr>
              <w:spacing w:after="0"/>
              <w:rPr>
                <w:sz w:val="24"/>
                <w:szCs w:val="24"/>
                <w:color w:val="auto"/>
              </w:rPr>
            </w:pPr>
          </w:p>
        </w:tc>
        <w:tc>
          <w:tcPr>
            <w:tcW w:w="160" w:type="dxa"/>
            <w:vAlign w:val="bottom"/>
            <w:tcBorders>
              <w:right w:val="single" w:sz="8" w:color="003595"/>
            </w:tcBorders>
            <w:shd w:val="clear" w:color="auto" w:fill="003595"/>
          </w:tcPr>
          <w:p>
            <w:pPr>
              <w:spacing w:after="0"/>
              <w:rPr>
                <w:sz w:val="24"/>
                <w:szCs w:val="24"/>
                <w:color w:val="auto"/>
              </w:rPr>
            </w:pPr>
          </w:p>
        </w:tc>
        <w:tc>
          <w:tcPr>
            <w:tcW w:w="1020" w:type="dxa"/>
            <w:vAlign w:val="bottom"/>
            <w:tcBorders>
              <w:right w:val="single" w:sz="8" w:color="auto"/>
            </w:tcBorders>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Public</w:t>
            </w:r>
          </w:p>
        </w:tc>
        <w:tc>
          <w:tcPr>
            <w:tcW w:w="0" w:type="dxa"/>
            <w:vAlign w:val="bottom"/>
          </w:tcPr>
          <w:p>
            <w:pPr>
              <w:spacing w:after="0"/>
              <w:rPr>
                <w:sz w:val="1"/>
                <w:szCs w:val="1"/>
                <w:color w:val="auto"/>
              </w:rPr>
            </w:pPr>
          </w:p>
        </w:tc>
      </w:tr>
      <w:tr>
        <w:trPr>
          <w:trHeight w:val="174"/>
        </w:trPr>
        <w:tc>
          <w:tcPr>
            <w:tcW w:w="2240" w:type="dxa"/>
            <w:vAlign w:val="bottom"/>
            <w:tcBorders>
              <w:right w:val="single" w:sz="8" w:color="auto"/>
            </w:tcBorders>
          </w:tcPr>
          <w:p>
            <w:pPr>
              <w:spacing w:after="0"/>
              <w:rPr>
                <w:sz w:val="15"/>
                <w:szCs w:val="15"/>
                <w:color w:val="auto"/>
              </w:rPr>
            </w:pPr>
          </w:p>
        </w:tc>
        <w:tc>
          <w:tcPr>
            <w:tcW w:w="940" w:type="dxa"/>
            <w:vAlign w:val="bottom"/>
            <w:vMerge w:val="continue"/>
            <w:shd w:val="clear" w:color="auto" w:fill="003595"/>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vMerge w:val="continue"/>
            <w:shd w:val="clear" w:color="auto" w:fill="003595"/>
          </w:tcPr>
          <w:p>
            <w:pPr>
              <w:spacing w:after="0"/>
              <w:rPr>
                <w:sz w:val="15"/>
                <w:szCs w:val="15"/>
                <w:color w:val="auto"/>
              </w:rPr>
            </w:pPr>
          </w:p>
        </w:tc>
        <w:tc>
          <w:tcPr>
            <w:tcW w:w="160" w:type="dxa"/>
            <w:vAlign w:val="bottom"/>
            <w:tcBorders>
              <w:left w:val="single" w:sz="8" w:color="auto"/>
            </w:tcBorders>
            <w:shd w:val="clear" w:color="auto" w:fill="003595"/>
          </w:tcPr>
          <w:p>
            <w:pPr>
              <w:spacing w:after="0"/>
              <w:rPr>
                <w:sz w:val="15"/>
                <w:szCs w:val="15"/>
                <w:color w:val="auto"/>
              </w:rPr>
            </w:pPr>
          </w:p>
        </w:tc>
        <w:tc>
          <w:tcPr>
            <w:tcW w:w="680" w:type="dxa"/>
            <w:vAlign w:val="bottom"/>
            <w:vMerge w:val="continue"/>
            <w:shd w:val="clear" w:color="auto" w:fill="003595"/>
          </w:tcPr>
          <w:p>
            <w:pPr>
              <w:spacing w:after="0"/>
              <w:rPr>
                <w:sz w:val="15"/>
                <w:szCs w:val="15"/>
                <w:color w:val="auto"/>
              </w:rPr>
            </w:pPr>
          </w:p>
        </w:tc>
        <w:tc>
          <w:tcPr>
            <w:tcW w:w="180" w:type="dxa"/>
            <w:vAlign w:val="bottom"/>
            <w:tcBorders>
              <w:right w:val="single" w:sz="8" w:color="auto"/>
            </w:tcBorders>
            <w:shd w:val="clear" w:color="auto" w:fill="003595"/>
          </w:tcPr>
          <w:p>
            <w:pPr>
              <w:spacing w:after="0"/>
              <w:rPr>
                <w:sz w:val="15"/>
                <w:szCs w:val="15"/>
                <w:color w:val="auto"/>
              </w:rPr>
            </w:pPr>
          </w:p>
        </w:tc>
        <w:tc>
          <w:tcPr>
            <w:tcW w:w="100" w:type="dxa"/>
            <w:vAlign w:val="bottom"/>
            <w:shd w:val="clear" w:color="auto" w:fill="003595"/>
          </w:tcPr>
          <w:p>
            <w:pPr>
              <w:spacing w:after="0"/>
              <w:rPr>
                <w:sz w:val="15"/>
                <w:szCs w:val="15"/>
                <w:color w:val="auto"/>
              </w:rPr>
            </w:pPr>
          </w:p>
        </w:tc>
        <w:tc>
          <w:tcPr>
            <w:tcW w:w="700" w:type="dxa"/>
            <w:vAlign w:val="bottom"/>
            <w:vMerge w:val="continue"/>
            <w:shd w:val="clear" w:color="auto" w:fill="003595"/>
          </w:tcPr>
          <w:p>
            <w:pPr>
              <w:spacing w:after="0"/>
              <w:rPr>
                <w:sz w:val="15"/>
                <w:szCs w:val="15"/>
                <w:color w:val="auto"/>
              </w:rPr>
            </w:pPr>
          </w:p>
        </w:tc>
        <w:tc>
          <w:tcPr>
            <w:tcW w:w="120" w:type="dxa"/>
            <w:vAlign w:val="bottom"/>
            <w:tcBorders>
              <w:right w:val="single" w:sz="8" w:color="auto"/>
            </w:tcBorders>
            <w:shd w:val="clear" w:color="auto" w:fill="003595"/>
          </w:tcPr>
          <w:p>
            <w:pPr>
              <w:spacing w:after="0"/>
              <w:rPr>
                <w:sz w:val="15"/>
                <w:szCs w:val="15"/>
                <w:color w:val="auto"/>
              </w:rPr>
            </w:pPr>
          </w:p>
        </w:tc>
        <w:tc>
          <w:tcPr>
            <w:tcW w:w="920" w:type="dxa"/>
            <w:vAlign w:val="bottom"/>
            <w:vMerge w:val="continue"/>
            <w:shd w:val="clear" w:color="auto" w:fill="003595"/>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60" w:type="dxa"/>
            <w:vAlign w:val="bottom"/>
            <w:vMerge w:val="continue"/>
            <w:shd w:val="clear" w:color="auto" w:fill="003595"/>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20" w:type="dxa"/>
            <w:vAlign w:val="bottom"/>
            <w:tcBorders>
              <w:right w:val="single" w:sz="8" w:color="003595"/>
            </w:tcBorders>
            <w:vMerge w:val="continue"/>
            <w:shd w:val="clear" w:color="auto" w:fill="003595"/>
          </w:tcPr>
          <w:p>
            <w:pPr>
              <w:spacing w:after="0"/>
              <w:rPr>
                <w:sz w:val="15"/>
                <w:szCs w:val="15"/>
                <w:color w:val="auto"/>
              </w:rPr>
            </w:pPr>
          </w:p>
        </w:tc>
        <w:tc>
          <w:tcPr>
            <w:tcW w:w="120" w:type="dxa"/>
            <w:vAlign w:val="bottom"/>
            <w:shd w:val="clear" w:color="auto" w:fill="003595"/>
          </w:tcPr>
          <w:p>
            <w:pPr>
              <w:spacing w:after="0"/>
              <w:rPr>
                <w:sz w:val="15"/>
                <w:szCs w:val="15"/>
                <w:color w:val="auto"/>
              </w:rPr>
            </w:pPr>
          </w:p>
        </w:tc>
        <w:tc>
          <w:tcPr>
            <w:tcW w:w="740" w:type="dxa"/>
            <w:vAlign w:val="bottom"/>
            <w:shd w:val="clear" w:color="auto" w:fill="003595"/>
          </w:tcPr>
          <w:p>
            <w:pPr>
              <w:spacing w:after="0"/>
              <w:rPr>
                <w:sz w:val="15"/>
                <w:szCs w:val="15"/>
                <w:color w:val="auto"/>
              </w:rPr>
            </w:pPr>
          </w:p>
        </w:tc>
        <w:tc>
          <w:tcPr>
            <w:tcW w:w="160" w:type="dxa"/>
            <w:vAlign w:val="bottom"/>
            <w:tcBorders>
              <w:right w:val="single" w:sz="8" w:color="auto"/>
            </w:tcBorders>
            <w:shd w:val="clear" w:color="auto" w:fill="003595"/>
          </w:tcPr>
          <w:p>
            <w:pPr>
              <w:spacing w:after="0"/>
              <w:rPr>
                <w:sz w:val="15"/>
                <w:szCs w:val="15"/>
                <w:color w:val="auto"/>
              </w:rPr>
            </w:pPr>
          </w:p>
        </w:tc>
        <w:tc>
          <w:tcPr>
            <w:tcW w:w="1020" w:type="dxa"/>
            <w:vAlign w:val="bottom"/>
            <w:tcBorders>
              <w:right w:val="single" w:sz="8" w:color="auto"/>
            </w:tcBorders>
            <w:vMerge w:val="continue"/>
            <w:shd w:val="clear" w:color="auto" w:fill="003595"/>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240" w:type="dxa"/>
            <w:vAlign w:val="bottom"/>
            <w:tcBorders>
              <w:right w:val="single" w:sz="8" w:color="auto"/>
            </w:tcBorders>
          </w:tcPr>
          <w:p>
            <w:pPr>
              <w:spacing w:after="0"/>
              <w:rPr>
                <w:sz w:val="7"/>
                <w:szCs w:val="7"/>
                <w:color w:val="auto"/>
              </w:rPr>
            </w:pPr>
          </w:p>
        </w:tc>
        <w:tc>
          <w:tcPr>
            <w:tcW w:w="940" w:type="dxa"/>
            <w:vAlign w:val="bottom"/>
            <w:vMerge w:val="continue"/>
            <w:shd w:val="clear" w:color="auto" w:fill="003595"/>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960" w:type="dxa"/>
            <w:vAlign w:val="bottom"/>
            <w:vMerge w:val="continue"/>
            <w:shd w:val="clear" w:color="auto" w:fill="003595"/>
          </w:tcPr>
          <w:p>
            <w:pPr>
              <w:spacing w:after="0"/>
              <w:rPr>
                <w:sz w:val="7"/>
                <w:szCs w:val="7"/>
                <w:color w:val="auto"/>
              </w:rPr>
            </w:pPr>
          </w:p>
        </w:tc>
        <w:tc>
          <w:tcPr>
            <w:tcW w:w="160" w:type="dxa"/>
            <w:vAlign w:val="bottom"/>
            <w:tcBorders>
              <w:left w:val="single" w:sz="8" w:color="auto"/>
            </w:tcBorders>
            <w:shd w:val="clear" w:color="auto" w:fill="003595"/>
          </w:tcPr>
          <w:p>
            <w:pPr>
              <w:spacing w:after="0"/>
              <w:rPr>
                <w:sz w:val="7"/>
                <w:szCs w:val="7"/>
                <w:color w:val="auto"/>
              </w:rPr>
            </w:pPr>
          </w:p>
        </w:tc>
        <w:tc>
          <w:tcPr>
            <w:tcW w:w="680" w:type="dxa"/>
            <w:vAlign w:val="bottom"/>
            <w:vMerge w:val="continue"/>
            <w:shd w:val="clear" w:color="auto" w:fill="003595"/>
          </w:tcPr>
          <w:p>
            <w:pPr>
              <w:spacing w:after="0"/>
              <w:rPr>
                <w:sz w:val="7"/>
                <w:szCs w:val="7"/>
                <w:color w:val="auto"/>
              </w:rPr>
            </w:pPr>
          </w:p>
        </w:tc>
        <w:tc>
          <w:tcPr>
            <w:tcW w:w="180" w:type="dxa"/>
            <w:vAlign w:val="bottom"/>
            <w:tcBorders>
              <w:right w:val="single" w:sz="8" w:color="auto"/>
            </w:tcBorders>
            <w:shd w:val="clear" w:color="auto" w:fill="003595"/>
          </w:tcPr>
          <w:p>
            <w:pPr>
              <w:spacing w:after="0"/>
              <w:rPr>
                <w:sz w:val="7"/>
                <w:szCs w:val="7"/>
                <w:color w:val="auto"/>
              </w:rPr>
            </w:pPr>
          </w:p>
        </w:tc>
        <w:tc>
          <w:tcPr>
            <w:tcW w:w="100" w:type="dxa"/>
            <w:vAlign w:val="bottom"/>
            <w:shd w:val="clear" w:color="auto" w:fill="003595"/>
          </w:tcPr>
          <w:p>
            <w:pPr>
              <w:spacing w:after="0"/>
              <w:rPr>
                <w:sz w:val="7"/>
                <w:szCs w:val="7"/>
                <w:color w:val="auto"/>
              </w:rPr>
            </w:pPr>
          </w:p>
        </w:tc>
        <w:tc>
          <w:tcPr>
            <w:tcW w:w="700" w:type="dxa"/>
            <w:vAlign w:val="bottom"/>
            <w:vMerge w:val="continue"/>
            <w:shd w:val="clear" w:color="auto" w:fill="003595"/>
          </w:tcPr>
          <w:p>
            <w:pPr>
              <w:spacing w:after="0"/>
              <w:rPr>
                <w:sz w:val="7"/>
                <w:szCs w:val="7"/>
                <w:color w:val="auto"/>
              </w:rPr>
            </w:pPr>
          </w:p>
        </w:tc>
        <w:tc>
          <w:tcPr>
            <w:tcW w:w="120" w:type="dxa"/>
            <w:vAlign w:val="bottom"/>
            <w:tcBorders>
              <w:right w:val="single" w:sz="8" w:color="auto"/>
            </w:tcBorders>
            <w:shd w:val="clear" w:color="auto" w:fill="003595"/>
          </w:tcPr>
          <w:p>
            <w:pPr>
              <w:spacing w:after="0"/>
              <w:rPr>
                <w:sz w:val="7"/>
                <w:szCs w:val="7"/>
                <w:color w:val="auto"/>
              </w:rPr>
            </w:pPr>
          </w:p>
        </w:tc>
        <w:tc>
          <w:tcPr>
            <w:tcW w:w="920" w:type="dxa"/>
            <w:vAlign w:val="bottom"/>
            <w:vMerge w:val="continue"/>
            <w:shd w:val="clear" w:color="auto" w:fill="003595"/>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60" w:type="dxa"/>
            <w:vAlign w:val="bottom"/>
            <w:vMerge w:val="continue"/>
            <w:shd w:val="clear" w:color="auto" w:fill="003595"/>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20" w:type="dxa"/>
            <w:vAlign w:val="bottom"/>
            <w:tcBorders>
              <w:right w:val="single" w:sz="8" w:color="003595"/>
            </w:tcBorders>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w w:val="99"/>
              </w:rPr>
              <w:t>Payor</w:t>
            </w:r>
          </w:p>
        </w:tc>
        <w:tc>
          <w:tcPr>
            <w:tcW w:w="120" w:type="dxa"/>
            <w:vAlign w:val="bottom"/>
            <w:shd w:val="clear" w:color="auto" w:fill="003595"/>
          </w:tcPr>
          <w:p>
            <w:pPr>
              <w:spacing w:after="0"/>
              <w:rPr>
                <w:sz w:val="7"/>
                <w:szCs w:val="7"/>
                <w:color w:val="auto"/>
              </w:rPr>
            </w:pPr>
          </w:p>
        </w:tc>
        <w:tc>
          <w:tcPr>
            <w:tcW w:w="740" w:type="dxa"/>
            <w:vAlign w:val="bottom"/>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shd w:val="clear" w:color="auto" w:fill="003595"/>
              </w:rPr>
              <w:t>Technology</w:t>
            </w:r>
          </w:p>
        </w:tc>
        <w:tc>
          <w:tcPr>
            <w:tcW w:w="160" w:type="dxa"/>
            <w:vAlign w:val="bottom"/>
            <w:tcBorders>
              <w:right w:val="single" w:sz="8" w:color="auto"/>
            </w:tcBorders>
            <w:shd w:val="clear" w:color="auto" w:fill="003595"/>
          </w:tcPr>
          <w:p>
            <w:pPr>
              <w:spacing w:after="0"/>
              <w:rPr>
                <w:sz w:val="7"/>
                <w:szCs w:val="7"/>
                <w:color w:val="auto"/>
              </w:rPr>
            </w:pPr>
          </w:p>
        </w:tc>
        <w:tc>
          <w:tcPr>
            <w:tcW w:w="1020" w:type="dxa"/>
            <w:vAlign w:val="bottom"/>
            <w:tcBorders>
              <w:right w:val="single" w:sz="8" w:color="auto"/>
            </w:tcBorders>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Company</w:t>
            </w:r>
          </w:p>
        </w:tc>
        <w:tc>
          <w:tcPr>
            <w:tcW w:w="0" w:type="dxa"/>
            <w:vAlign w:val="bottom"/>
          </w:tcPr>
          <w:p>
            <w:pPr>
              <w:spacing w:after="0"/>
              <w:rPr>
                <w:sz w:val="1"/>
                <w:szCs w:val="1"/>
                <w:color w:val="auto"/>
              </w:rPr>
            </w:pPr>
          </w:p>
        </w:tc>
      </w:tr>
      <w:tr>
        <w:trPr>
          <w:trHeight w:val="68"/>
        </w:trPr>
        <w:tc>
          <w:tcPr>
            <w:tcW w:w="2240" w:type="dxa"/>
            <w:vAlign w:val="bottom"/>
            <w:tcBorders>
              <w:right w:val="single" w:sz="8" w:color="auto"/>
            </w:tcBorders>
          </w:tcPr>
          <w:p>
            <w:pPr>
              <w:spacing w:after="0"/>
              <w:rPr>
                <w:sz w:val="5"/>
                <w:szCs w:val="5"/>
                <w:color w:val="auto"/>
              </w:rPr>
            </w:pPr>
          </w:p>
        </w:tc>
        <w:tc>
          <w:tcPr>
            <w:tcW w:w="940" w:type="dxa"/>
            <w:vAlign w:val="bottom"/>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Diversity</w:t>
            </w:r>
          </w:p>
        </w:tc>
        <w:tc>
          <w:tcPr>
            <w:tcW w:w="20" w:type="dxa"/>
            <w:vAlign w:val="bottom"/>
            <w:shd w:val="clear" w:color="auto" w:fill="000000"/>
          </w:tcPr>
          <w:p>
            <w:pPr>
              <w:spacing w:after="0"/>
              <w:rPr>
                <w:sz w:val="5"/>
                <w:szCs w:val="5"/>
                <w:color w:val="auto"/>
              </w:rPr>
            </w:pPr>
          </w:p>
        </w:tc>
        <w:tc>
          <w:tcPr>
            <w:tcW w:w="960" w:type="dxa"/>
            <w:vAlign w:val="bottom"/>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Accounting</w:t>
            </w:r>
          </w:p>
        </w:tc>
        <w:tc>
          <w:tcPr>
            <w:tcW w:w="160" w:type="dxa"/>
            <w:vAlign w:val="bottom"/>
            <w:tcBorders>
              <w:left w:val="single" w:sz="8" w:color="auto"/>
            </w:tcBorders>
            <w:shd w:val="clear" w:color="auto" w:fill="003595"/>
          </w:tcPr>
          <w:p>
            <w:pPr>
              <w:spacing w:after="0"/>
              <w:rPr>
                <w:sz w:val="5"/>
                <w:szCs w:val="5"/>
                <w:color w:val="auto"/>
              </w:rPr>
            </w:pPr>
          </w:p>
        </w:tc>
        <w:tc>
          <w:tcPr>
            <w:tcW w:w="680" w:type="dxa"/>
            <w:vAlign w:val="bottom"/>
            <w:vMerge w:val="continue"/>
            <w:shd w:val="clear" w:color="auto" w:fill="003595"/>
          </w:tcPr>
          <w:p>
            <w:pPr>
              <w:spacing w:after="0"/>
              <w:rPr>
                <w:sz w:val="5"/>
                <w:szCs w:val="5"/>
                <w:color w:val="auto"/>
              </w:rPr>
            </w:pPr>
          </w:p>
        </w:tc>
        <w:tc>
          <w:tcPr>
            <w:tcW w:w="180" w:type="dxa"/>
            <w:vAlign w:val="bottom"/>
            <w:tcBorders>
              <w:right w:val="single" w:sz="8" w:color="auto"/>
            </w:tcBorders>
            <w:shd w:val="clear" w:color="auto" w:fill="003595"/>
          </w:tcPr>
          <w:p>
            <w:pPr>
              <w:spacing w:after="0"/>
              <w:rPr>
                <w:sz w:val="5"/>
                <w:szCs w:val="5"/>
                <w:color w:val="auto"/>
              </w:rPr>
            </w:pPr>
          </w:p>
        </w:tc>
        <w:tc>
          <w:tcPr>
            <w:tcW w:w="100" w:type="dxa"/>
            <w:vAlign w:val="bottom"/>
            <w:shd w:val="clear" w:color="auto" w:fill="003595"/>
          </w:tcPr>
          <w:p>
            <w:pPr>
              <w:spacing w:after="0"/>
              <w:rPr>
                <w:sz w:val="5"/>
                <w:szCs w:val="5"/>
                <w:color w:val="auto"/>
              </w:rPr>
            </w:pPr>
          </w:p>
        </w:tc>
        <w:tc>
          <w:tcPr>
            <w:tcW w:w="820" w:type="dxa"/>
            <w:vAlign w:val="bottom"/>
            <w:tcBorders>
              <w:right w:val="single" w:sz="8" w:color="auto"/>
            </w:tcBorders>
            <w:gridSpan w:val="2"/>
            <w:vMerge w:val="restart"/>
            <w:shd w:val="clear" w:color="auto" w:fill="003595"/>
          </w:tcPr>
          <w:p>
            <w:pPr>
              <w:jc w:val="center"/>
              <w:ind w:right="120"/>
              <w:spacing w:after="0"/>
              <w:rPr>
                <w:sz w:val="20"/>
                <w:szCs w:val="20"/>
                <w:color w:val="auto"/>
              </w:rPr>
            </w:pPr>
            <w:r>
              <w:rPr>
                <w:rFonts w:ascii="Arial" w:cs="Arial" w:eastAsia="Arial" w:hAnsi="Arial"/>
                <w:sz w:val="13"/>
                <w:szCs w:val="13"/>
                <w:b w:val="1"/>
                <w:bCs w:val="1"/>
                <w:color w:val="FFFFFF"/>
              </w:rPr>
              <w:t>Industry</w:t>
            </w:r>
          </w:p>
        </w:tc>
        <w:tc>
          <w:tcPr>
            <w:tcW w:w="920" w:type="dxa"/>
            <w:vAlign w:val="bottom"/>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Industry</w:t>
            </w:r>
          </w:p>
        </w:tc>
        <w:tc>
          <w:tcPr>
            <w:tcW w:w="20" w:type="dxa"/>
            <w:vAlign w:val="bottom"/>
            <w:shd w:val="clear" w:color="auto" w:fill="000000"/>
          </w:tcPr>
          <w:p>
            <w:pPr>
              <w:spacing w:after="0"/>
              <w:rPr>
                <w:sz w:val="5"/>
                <w:szCs w:val="5"/>
                <w:color w:val="auto"/>
              </w:rPr>
            </w:pPr>
          </w:p>
        </w:tc>
        <w:tc>
          <w:tcPr>
            <w:tcW w:w="1060" w:type="dxa"/>
            <w:vAlign w:val="bottom"/>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Development</w:t>
            </w:r>
          </w:p>
        </w:tc>
        <w:tc>
          <w:tcPr>
            <w:tcW w:w="20" w:type="dxa"/>
            <w:vAlign w:val="bottom"/>
            <w:shd w:val="clear" w:color="auto" w:fill="000000"/>
          </w:tcPr>
          <w:p>
            <w:pPr>
              <w:spacing w:after="0"/>
              <w:rPr>
                <w:sz w:val="5"/>
                <w:szCs w:val="5"/>
                <w:color w:val="auto"/>
              </w:rPr>
            </w:pPr>
          </w:p>
        </w:tc>
        <w:tc>
          <w:tcPr>
            <w:tcW w:w="1020" w:type="dxa"/>
            <w:vAlign w:val="bottom"/>
            <w:tcBorders>
              <w:right w:val="single" w:sz="8" w:color="003595"/>
            </w:tcBorders>
            <w:vMerge w:val="continue"/>
            <w:shd w:val="clear" w:color="auto" w:fill="003595"/>
          </w:tcPr>
          <w:p>
            <w:pPr>
              <w:spacing w:after="0"/>
              <w:rPr>
                <w:sz w:val="5"/>
                <w:szCs w:val="5"/>
                <w:color w:val="auto"/>
              </w:rPr>
            </w:pPr>
          </w:p>
        </w:tc>
        <w:tc>
          <w:tcPr>
            <w:tcW w:w="120" w:type="dxa"/>
            <w:vAlign w:val="bottom"/>
            <w:shd w:val="clear" w:color="auto" w:fill="003595"/>
          </w:tcPr>
          <w:p>
            <w:pPr>
              <w:spacing w:after="0"/>
              <w:rPr>
                <w:sz w:val="5"/>
                <w:szCs w:val="5"/>
                <w:color w:val="auto"/>
              </w:rPr>
            </w:pPr>
          </w:p>
        </w:tc>
        <w:tc>
          <w:tcPr>
            <w:tcW w:w="740" w:type="dxa"/>
            <w:vAlign w:val="bottom"/>
            <w:vMerge w:val="continue"/>
            <w:shd w:val="clear" w:color="auto" w:fill="003595"/>
          </w:tcPr>
          <w:p>
            <w:pPr>
              <w:spacing w:after="0"/>
              <w:rPr>
                <w:sz w:val="5"/>
                <w:szCs w:val="5"/>
                <w:color w:val="auto"/>
              </w:rPr>
            </w:pPr>
          </w:p>
        </w:tc>
        <w:tc>
          <w:tcPr>
            <w:tcW w:w="160" w:type="dxa"/>
            <w:vAlign w:val="bottom"/>
            <w:tcBorders>
              <w:right w:val="single" w:sz="8" w:color="auto"/>
            </w:tcBorders>
            <w:shd w:val="clear" w:color="auto" w:fill="003595"/>
          </w:tcPr>
          <w:p>
            <w:pPr>
              <w:spacing w:after="0"/>
              <w:rPr>
                <w:sz w:val="5"/>
                <w:szCs w:val="5"/>
                <w:color w:val="auto"/>
              </w:rPr>
            </w:pPr>
          </w:p>
        </w:tc>
        <w:tc>
          <w:tcPr>
            <w:tcW w:w="1020" w:type="dxa"/>
            <w:vAlign w:val="bottom"/>
            <w:tcBorders>
              <w:right w:val="single" w:sz="8" w:color="auto"/>
            </w:tcBorders>
            <w:vMerge w:val="continue"/>
            <w:shd w:val="clear" w:color="auto" w:fill="003595"/>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240" w:type="dxa"/>
            <w:vAlign w:val="bottom"/>
            <w:tcBorders>
              <w:right w:val="single" w:sz="8" w:color="auto"/>
            </w:tcBorders>
          </w:tcPr>
          <w:p>
            <w:pPr>
              <w:spacing w:after="0"/>
              <w:rPr>
                <w:sz w:val="10"/>
                <w:szCs w:val="10"/>
                <w:color w:val="auto"/>
              </w:rPr>
            </w:pPr>
          </w:p>
        </w:tc>
        <w:tc>
          <w:tcPr>
            <w:tcW w:w="940" w:type="dxa"/>
            <w:vAlign w:val="bottom"/>
            <w:vMerge w:val="continue"/>
            <w:shd w:val="clear" w:color="auto" w:fill="003595"/>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960" w:type="dxa"/>
            <w:vAlign w:val="bottom"/>
            <w:vMerge w:val="continue"/>
            <w:shd w:val="clear" w:color="auto" w:fill="003595"/>
          </w:tcPr>
          <w:p>
            <w:pPr>
              <w:spacing w:after="0"/>
              <w:rPr>
                <w:sz w:val="10"/>
                <w:szCs w:val="10"/>
                <w:color w:val="auto"/>
              </w:rPr>
            </w:pPr>
          </w:p>
        </w:tc>
        <w:tc>
          <w:tcPr>
            <w:tcW w:w="160" w:type="dxa"/>
            <w:vAlign w:val="bottom"/>
            <w:tcBorders>
              <w:left w:val="single" w:sz="8" w:color="auto"/>
            </w:tcBorders>
            <w:shd w:val="clear" w:color="auto" w:fill="003595"/>
          </w:tcPr>
          <w:p>
            <w:pPr>
              <w:spacing w:after="0"/>
              <w:rPr>
                <w:sz w:val="10"/>
                <w:szCs w:val="10"/>
                <w:color w:val="auto"/>
              </w:rPr>
            </w:pPr>
          </w:p>
        </w:tc>
        <w:tc>
          <w:tcPr>
            <w:tcW w:w="680" w:type="dxa"/>
            <w:vAlign w:val="bottom"/>
            <w:shd w:val="clear" w:color="auto" w:fill="003595"/>
          </w:tcPr>
          <w:p>
            <w:pPr>
              <w:spacing w:after="0"/>
              <w:rPr>
                <w:sz w:val="10"/>
                <w:szCs w:val="10"/>
                <w:color w:val="auto"/>
              </w:rPr>
            </w:pPr>
          </w:p>
        </w:tc>
        <w:tc>
          <w:tcPr>
            <w:tcW w:w="180" w:type="dxa"/>
            <w:vAlign w:val="bottom"/>
            <w:tcBorders>
              <w:right w:val="single" w:sz="8" w:color="auto"/>
            </w:tcBorders>
            <w:shd w:val="clear" w:color="auto" w:fill="003595"/>
          </w:tcPr>
          <w:p>
            <w:pPr>
              <w:spacing w:after="0"/>
              <w:rPr>
                <w:sz w:val="10"/>
                <w:szCs w:val="10"/>
                <w:color w:val="auto"/>
              </w:rPr>
            </w:pPr>
          </w:p>
        </w:tc>
        <w:tc>
          <w:tcPr>
            <w:tcW w:w="100" w:type="dxa"/>
            <w:vAlign w:val="bottom"/>
            <w:shd w:val="clear" w:color="auto" w:fill="003595"/>
          </w:tcPr>
          <w:p>
            <w:pPr>
              <w:spacing w:after="0"/>
              <w:rPr>
                <w:sz w:val="10"/>
                <w:szCs w:val="10"/>
                <w:color w:val="auto"/>
              </w:rPr>
            </w:pPr>
          </w:p>
        </w:tc>
        <w:tc>
          <w:tcPr>
            <w:tcW w:w="820" w:type="dxa"/>
            <w:vAlign w:val="bottom"/>
            <w:tcBorders>
              <w:right w:val="single" w:sz="8" w:color="auto"/>
            </w:tcBorders>
            <w:gridSpan w:val="2"/>
            <w:vMerge w:val="continue"/>
            <w:shd w:val="clear" w:color="auto" w:fill="003595"/>
          </w:tcPr>
          <w:p>
            <w:pPr>
              <w:spacing w:after="0"/>
              <w:rPr>
                <w:sz w:val="10"/>
                <w:szCs w:val="10"/>
                <w:color w:val="auto"/>
              </w:rPr>
            </w:pPr>
          </w:p>
        </w:tc>
        <w:tc>
          <w:tcPr>
            <w:tcW w:w="920" w:type="dxa"/>
            <w:vAlign w:val="bottom"/>
            <w:vMerge w:val="continue"/>
            <w:shd w:val="clear" w:color="auto" w:fill="003595"/>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vMerge w:val="continue"/>
            <w:shd w:val="clear" w:color="auto" w:fill="003595"/>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20" w:type="dxa"/>
            <w:vAlign w:val="bottom"/>
            <w:tcBorders>
              <w:right w:val="single" w:sz="8" w:color="003595"/>
            </w:tcBorders>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Perspective</w:t>
            </w:r>
          </w:p>
        </w:tc>
        <w:tc>
          <w:tcPr>
            <w:tcW w:w="120" w:type="dxa"/>
            <w:vAlign w:val="bottom"/>
            <w:shd w:val="clear" w:color="auto" w:fill="003595"/>
          </w:tcPr>
          <w:p>
            <w:pPr>
              <w:spacing w:after="0"/>
              <w:rPr>
                <w:sz w:val="10"/>
                <w:szCs w:val="10"/>
                <w:color w:val="auto"/>
              </w:rPr>
            </w:pPr>
          </w:p>
        </w:tc>
        <w:tc>
          <w:tcPr>
            <w:tcW w:w="740" w:type="dxa"/>
            <w:vAlign w:val="bottom"/>
            <w:shd w:val="clear" w:color="auto" w:fill="003595"/>
          </w:tcPr>
          <w:p>
            <w:pPr>
              <w:spacing w:after="0"/>
              <w:rPr>
                <w:sz w:val="10"/>
                <w:szCs w:val="10"/>
                <w:color w:val="auto"/>
              </w:rPr>
            </w:pPr>
          </w:p>
        </w:tc>
        <w:tc>
          <w:tcPr>
            <w:tcW w:w="160" w:type="dxa"/>
            <w:vAlign w:val="bottom"/>
            <w:tcBorders>
              <w:right w:val="single" w:sz="8" w:color="auto"/>
            </w:tcBorders>
            <w:shd w:val="clear" w:color="auto" w:fill="003595"/>
          </w:tcPr>
          <w:p>
            <w:pPr>
              <w:spacing w:after="0"/>
              <w:rPr>
                <w:sz w:val="10"/>
                <w:szCs w:val="10"/>
                <w:color w:val="auto"/>
              </w:rPr>
            </w:pPr>
          </w:p>
        </w:tc>
        <w:tc>
          <w:tcPr>
            <w:tcW w:w="1020" w:type="dxa"/>
            <w:vAlign w:val="bottom"/>
            <w:tcBorders>
              <w:right w:val="single" w:sz="8" w:color="auto"/>
            </w:tcBorders>
            <w:vMerge w:val="restart"/>
            <w:shd w:val="clear" w:color="auto" w:fill="003595"/>
          </w:tcPr>
          <w:p>
            <w:pPr>
              <w:jc w:val="center"/>
              <w:spacing w:after="0"/>
              <w:rPr>
                <w:sz w:val="20"/>
                <w:szCs w:val="20"/>
                <w:color w:val="auto"/>
              </w:rPr>
            </w:pPr>
            <w:r>
              <w:rPr>
                <w:rFonts w:ascii="Arial" w:cs="Arial" w:eastAsia="Arial" w:hAnsi="Arial"/>
                <w:sz w:val="13"/>
                <w:szCs w:val="13"/>
                <w:b w:val="1"/>
                <w:bCs w:val="1"/>
                <w:color w:val="FFFFFF"/>
              </w:rPr>
              <w:t>Governance</w:t>
            </w:r>
          </w:p>
        </w:tc>
        <w:tc>
          <w:tcPr>
            <w:tcW w:w="0" w:type="dxa"/>
            <w:vAlign w:val="bottom"/>
          </w:tcPr>
          <w:p>
            <w:pPr>
              <w:spacing w:after="0"/>
              <w:rPr>
                <w:sz w:val="1"/>
                <w:szCs w:val="1"/>
                <w:color w:val="auto"/>
              </w:rPr>
            </w:pPr>
          </w:p>
        </w:tc>
      </w:tr>
      <w:tr>
        <w:trPr>
          <w:trHeight w:val="91"/>
        </w:trPr>
        <w:tc>
          <w:tcPr>
            <w:tcW w:w="224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003595"/>
            </w:tcBorders>
            <w:shd w:val="clear" w:color="auto" w:fill="003595"/>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960" w:type="dxa"/>
            <w:vAlign w:val="bottom"/>
            <w:tcBorders>
              <w:bottom w:val="single" w:sz="8" w:color="003595"/>
            </w:tcBorders>
            <w:shd w:val="clear" w:color="auto" w:fill="003595"/>
          </w:tcPr>
          <w:p>
            <w:pPr>
              <w:spacing w:after="0"/>
              <w:rPr>
                <w:sz w:val="7"/>
                <w:szCs w:val="7"/>
                <w:color w:val="auto"/>
              </w:rPr>
            </w:pPr>
          </w:p>
        </w:tc>
        <w:tc>
          <w:tcPr>
            <w:tcW w:w="160" w:type="dxa"/>
            <w:vAlign w:val="bottom"/>
            <w:tcBorders>
              <w:left w:val="single" w:sz="8" w:color="auto"/>
              <w:bottom w:val="single" w:sz="8" w:color="003595"/>
            </w:tcBorders>
            <w:shd w:val="clear" w:color="auto" w:fill="003595"/>
          </w:tcPr>
          <w:p>
            <w:pPr>
              <w:spacing w:after="0"/>
              <w:rPr>
                <w:sz w:val="7"/>
                <w:szCs w:val="7"/>
                <w:color w:val="auto"/>
              </w:rPr>
            </w:pPr>
          </w:p>
        </w:tc>
        <w:tc>
          <w:tcPr>
            <w:tcW w:w="680" w:type="dxa"/>
            <w:vAlign w:val="bottom"/>
            <w:tcBorders>
              <w:bottom w:val="single" w:sz="8" w:color="003595"/>
            </w:tcBorders>
            <w:shd w:val="clear" w:color="auto" w:fill="003595"/>
          </w:tcPr>
          <w:p>
            <w:pPr>
              <w:spacing w:after="0"/>
              <w:rPr>
                <w:sz w:val="7"/>
                <w:szCs w:val="7"/>
                <w:color w:val="auto"/>
              </w:rPr>
            </w:pPr>
          </w:p>
        </w:tc>
        <w:tc>
          <w:tcPr>
            <w:tcW w:w="180" w:type="dxa"/>
            <w:vAlign w:val="bottom"/>
            <w:tcBorders>
              <w:bottom w:val="single" w:sz="8" w:color="003595"/>
              <w:right w:val="single" w:sz="8" w:color="auto"/>
            </w:tcBorders>
            <w:shd w:val="clear" w:color="auto" w:fill="003595"/>
          </w:tcPr>
          <w:p>
            <w:pPr>
              <w:spacing w:after="0"/>
              <w:rPr>
                <w:sz w:val="7"/>
                <w:szCs w:val="7"/>
                <w:color w:val="auto"/>
              </w:rPr>
            </w:pPr>
          </w:p>
        </w:tc>
        <w:tc>
          <w:tcPr>
            <w:tcW w:w="100" w:type="dxa"/>
            <w:vAlign w:val="bottom"/>
            <w:tcBorders>
              <w:bottom w:val="single" w:sz="8" w:color="003595"/>
            </w:tcBorders>
            <w:shd w:val="clear" w:color="auto" w:fill="003595"/>
          </w:tcPr>
          <w:p>
            <w:pPr>
              <w:spacing w:after="0"/>
              <w:rPr>
                <w:sz w:val="7"/>
                <w:szCs w:val="7"/>
                <w:color w:val="auto"/>
              </w:rPr>
            </w:pPr>
          </w:p>
        </w:tc>
        <w:tc>
          <w:tcPr>
            <w:tcW w:w="700" w:type="dxa"/>
            <w:vAlign w:val="bottom"/>
            <w:tcBorders>
              <w:bottom w:val="single" w:sz="8" w:color="003595"/>
            </w:tcBorders>
            <w:shd w:val="clear" w:color="auto" w:fill="003595"/>
          </w:tcPr>
          <w:p>
            <w:pPr>
              <w:spacing w:after="0"/>
              <w:rPr>
                <w:sz w:val="7"/>
                <w:szCs w:val="7"/>
                <w:color w:val="auto"/>
              </w:rPr>
            </w:pPr>
          </w:p>
        </w:tc>
        <w:tc>
          <w:tcPr>
            <w:tcW w:w="120" w:type="dxa"/>
            <w:vAlign w:val="bottom"/>
            <w:tcBorders>
              <w:bottom w:val="single" w:sz="8" w:color="003595"/>
              <w:right w:val="single" w:sz="8" w:color="auto"/>
            </w:tcBorders>
            <w:shd w:val="clear" w:color="auto" w:fill="003595"/>
          </w:tcPr>
          <w:p>
            <w:pPr>
              <w:spacing w:after="0"/>
              <w:rPr>
                <w:sz w:val="7"/>
                <w:szCs w:val="7"/>
                <w:color w:val="auto"/>
              </w:rPr>
            </w:pPr>
          </w:p>
        </w:tc>
        <w:tc>
          <w:tcPr>
            <w:tcW w:w="920" w:type="dxa"/>
            <w:vAlign w:val="bottom"/>
            <w:tcBorders>
              <w:bottom w:val="single" w:sz="8" w:color="003595"/>
            </w:tcBorders>
            <w:shd w:val="clear" w:color="auto" w:fill="003595"/>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060" w:type="dxa"/>
            <w:vAlign w:val="bottom"/>
            <w:tcBorders>
              <w:bottom w:val="single" w:sz="8" w:color="003595"/>
            </w:tcBorders>
            <w:shd w:val="clear" w:color="auto" w:fill="003595"/>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020" w:type="dxa"/>
            <w:vAlign w:val="bottom"/>
            <w:tcBorders>
              <w:bottom w:val="single" w:sz="8" w:color="003595"/>
              <w:right w:val="single" w:sz="8" w:color="003595"/>
            </w:tcBorders>
            <w:vMerge w:val="continue"/>
            <w:shd w:val="clear" w:color="auto" w:fill="003595"/>
          </w:tcPr>
          <w:p>
            <w:pPr>
              <w:spacing w:after="0"/>
              <w:rPr>
                <w:sz w:val="7"/>
                <w:szCs w:val="7"/>
                <w:color w:val="auto"/>
              </w:rPr>
            </w:pPr>
          </w:p>
        </w:tc>
        <w:tc>
          <w:tcPr>
            <w:tcW w:w="120" w:type="dxa"/>
            <w:vAlign w:val="bottom"/>
            <w:tcBorders>
              <w:bottom w:val="single" w:sz="8" w:color="003595"/>
            </w:tcBorders>
            <w:shd w:val="clear" w:color="auto" w:fill="003595"/>
          </w:tcPr>
          <w:p>
            <w:pPr>
              <w:spacing w:after="0"/>
              <w:rPr>
                <w:sz w:val="7"/>
                <w:szCs w:val="7"/>
                <w:color w:val="auto"/>
              </w:rPr>
            </w:pPr>
          </w:p>
        </w:tc>
        <w:tc>
          <w:tcPr>
            <w:tcW w:w="740" w:type="dxa"/>
            <w:vAlign w:val="bottom"/>
            <w:tcBorders>
              <w:bottom w:val="single" w:sz="8" w:color="003595"/>
            </w:tcBorders>
            <w:shd w:val="clear" w:color="auto" w:fill="003595"/>
          </w:tcPr>
          <w:p>
            <w:pPr>
              <w:spacing w:after="0"/>
              <w:rPr>
                <w:sz w:val="7"/>
                <w:szCs w:val="7"/>
                <w:color w:val="auto"/>
              </w:rPr>
            </w:pPr>
          </w:p>
        </w:tc>
        <w:tc>
          <w:tcPr>
            <w:tcW w:w="160" w:type="dxa"/>
            <w:vAlign w:val="bottom"/>
            <w:tcBorders>
              <w:bottom w:val="single" w:sz="8" w:color="003595"/>
              <w:right w:val="single" w:sz="8" w:color="auto"/>
            </w:tcBorders>
            <w:shd w:val="clear" w:color="auto" w:fill="003595"/>
          </w:tcPr>
          <w:p>
            <w:pPr>
              <w:spacing w:after="0"/>
              <w:rPr>
                <w:sz w:val="7"/>
                <w:szCs w:val="7"/>
                <w:color w:val="auto"/>
              </w:rPr>
            </w:pPr>
          </w:p>
        </w:tc>
        <w:tc>
          <w:tcPr>
            <w:tcW w:w="1020" w:type="dxa"/>
            <w:vAlign w:val="bottom"/>
            <w:tcBorders>
              <w:bottom w:val="single" w:sz="8" w:color="003595"/>
              <w:right w:val="single" w:sz="8" w:color="auto"/>
            </w:tcBorders>
            <w:vMerge w:val="continue"/>
            <w:shd w:val="clear" w:color="auto" w:fill="003595"/>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24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003595"/>
              </w:rPr>
              <w:t>S. Louise Phanstiel</w:t>
            </w:r>
          </w:p>
        </w:tc>
        <w:tc>
          <w:tcPr>
            <w:tcW w:w="94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shd w:val="clear" w:color="auto" w:fill="000000"/>
          </w:tcPr>
          <w:p>
            <w:pPr>
              <w:spacing w:after="0"/>
              <w:rPr>
                <w:sz w:val="15"/>
                <w:szCs w:val="15"/>
                <w:color w:val="auto"/>
              </w:rPr>
            </w:pPr>
          </w:p>
        </w:tc>
        <w:tc>
          <w:tcPr>
            <w:tcW w:w="9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003595"/>
                <w:w w:val="91"/>
              </w:rPr>
              <w:t>✓</w:t>
            </w:r>
          </w:p>
        </w:tc>
        <w:tc>
          <w:tcPr>
            <w:tcW w:w="160" w:type="dxa"/>
            <w:vAlign w:val="bottom"/>
            <w:tcBorders>
              <w:left w:val="single" w:sz="8" w:color="auto"/>
            </w:tcBorders>
          </w:tcPr>
          <w:p>
            <w:pPr>
              <w:spacing w:after="0"/>
              <w:rPr>
                <w:sz w:val="15"/>
                <w:szCs w:val="15"/>
                <w:color w:val="auto"/>
              </w:rPr>
            </w:pPr>
          </w:p>
        </w:tc>
        <w:tc>
          <w:tcPr>
            <w:tcW w:w="860" w:type="dxa"/>
            <w:vAlign w:val="bottom"/>
            <w:tcBorders>
              <w:right w:val="single" w:sz="8" w:color="auto"/>
            </w:tcBorders>
            <w:gridSpan w:val="2"/>
            <w:vMerge w:val="restart"/>
          </w:tcPr>
          <w:p>
            <w:pPr>
              <w:jc w:val="center"/>
              <w:ind w:right="160"/>
              <w:spacing w:after="0" w:line="131" w:lineRule="exact"/>
              <w:rPr>
                <w:sz w:val="20"/>
                <w:szCs w:val="20"/>
                <w:color w:val="auto"/>
              </w:rPr>
            </w:pPr>
            <w:r>
              <w:rPr>
                <w:rFonts w:ascii="MS PGothic" w:cs="MS PGothic" w:eastAsia="MS PGothic" w:hAnsi="MS PGothic"/>
                <w:sz w:val="13"/>
                <w:szCs w:val="13"/>
                <w:color w:val="003595"/>
                <w:w w:val="76"/>
              </w:rPr>
              <w:t>✓</w:t>
            </w:r>
          </w:p>
        </w:tc>
        <w:tc>
          <w:tcPr>
            <w:tcW w:w="100" w:type="dxa"/>
            <w:vAlign w:val="bottom"/>
          </w:tcPr>
          <w:p>
            <w:pPr>
              <w:spacing w:after="0"/>
              <w:rPr>
                <w:sz w:val="15"/>
                <w:szCs w:val="15"/>
                <w:color w:val="auto"/>
              </w:rPr>
            </w:pPr>
          </w:p>
        </w:tc>
        <w:tc>
          <w:tcPr>
            <w:tcW w:w="820" w:type="dxa"/>
            <w:vAlign w:val="bottom"/>
            <w:tcBorders>
              <w:right w:val="single" w:sz="8" w:color="auto"/>
            </w:tcBorders>
            <w:gridSpan w:val="2"/>
            <w:vMerge w:val="restart"/>
          </w:tcPr>
          <w:p>
            <w:pPr>
              <w:jc w:val="center"/>
              <w:ind w:right="120"/>
              <w:spacing w:after="0" w:line="131" w:lineRule="exact"/>
              <w:rPr>
                <w:sz w:val="20"/>
                <w:szCs w:val="20"/>
                <w:color w:val="auto"/>
              </w:rPr>
            </w:pPr>
            <w:r>
              <w:rPr>
                <w:rFonts w:ascii="MS PGothic" w:cs="MS PGothic" w:eastAsia="MS PGothic" w:hAnsi="MS PGothic"/>
                <w:sz w:val="13"/>
                <w:szCs w:val="13"/>
                <w:color w:val="003595"/>
                <w:w w:val="76"/>
              </w:rPr>
              <w:t>✓</w:t>
            </w:r>
          </w:p>
        </w:tc>
        <w:tc>
          <w:tcPr>
            <w:tcW w:w="9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20" w:type="dxa"/>
            <w:vAlign w:val="bottom"/>
            <w:tcBorders>
              <w:right w:val="single" w:sz="8" w:color="auto"/>
            </w:tcBorders>
            <w:vMerge w:val="restart"/>
          </w:tcPr>
          <w:p>
            <w:pPr>
              <w:jc w:val="center"/>
              <w:spacing w:after="0" w:line="131" w:lineRule="exact"/>
              <w:rPr>
                <w:sz w:val="20"/>
                <w:szCs w:val="20"/>
                <w:color w:val="auto"/>
              </w:rPr>
            </w:pPr>
            <w:r>
              <w:rPr>
                <w:rFonts w:ascii="MS PGothic" w:cs="MS PGothic" w:eastAsia="MS PGothic" w:hAnsi="MS PGothic"/>
                <w:sz w:val="13"/>
                <w:szCs w:val="13"/>
                <w:color w:val="003595"/>
                <w:w w:val="91"/>
              </w:rPr>
              <w:t>✓</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0" w:type="dxa"/>
            <w:vAlign w:val="bottom"/>
          </w:tcPr>
          <w:p>
            <w:pPr>
              <w:spacing w:after="0"/>
              <w:rPr>
                <w:sz w:val="1"/>
                <w:szCs w:val="1"/>
                <w:color w:val="auto"/>
              </w:rPr>
            </w:pPr>
          </w:p>
        </w:tc>
      </w:tr>
      <w:tr>
        <w:trPr>
          <w:trHeight w:val="107"/>
        </w:trPr>
        <w:tc>
          <w:tcPr>
            <w:tcW w:w="2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3"/>
                <w:szCs w:val="13"/>
                <w:color w:val="003595"/>
              </w:rPr>
              <w:t>Chair of the Board</w:t>
            </w:r>
          </w:p>
        </w:tc>
        <w:tc>
          <w:tcPr>
            <w:tcW w:w="94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960" w:type="dxa"/>
            <w:vAlign w:val="bottom"/>
            <w:vMerge w:val="continue"/>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86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right w:val="single" w:sz="8" w:color="auto"/>
            </w:tcBorders>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2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003595"/>
              <w:right w:val="single" w:sz="8" w:color="auto"/>
            </w:tcBorders>
          </w:tcPr>
          <w:p>
            <w:pPr>
              <w:spacing w:after="0"/>
              <w:rPr>
                <w:sz w:val="2"/>
                <w:szCs w:val="2"/>
                <w:color w:val="auto"/>
              </w:rPr>
            </w:pPr>
          </w:p>
        </w:tc>
        <w:tc>
          <w:tcPr>
            <w:tcW w:w="94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60" w:type="dxa"/>
            <w:vAlign w:val="bottom"/>
            <w:tcBorders>
              <w:bottom w:val="single" w:sz="8" w:color="003595"/>
            </w:tcBorders>
          </w:tcPr>
          <w:p>
            <w:pPr>
              <w:spacing w:after="0"/>
              <w:rPr>
                <w:sz w:val="2"/>
                <w:szCs w:val="2"/>
                <w:color w:val="auto"/>
              </w:rPr>
            </w:pPr>
          </w:p>
        </w:tc>
        <w:tc>
          <w:tcPr>
            <w:tcW w:w="160" w:type="dxa"/>
            <w:vAlign w:val="bottom"/>
            <w:tcBorders>
              <w:left w:val="single" w:sz="8" w:color="auto"/>
              <w:bottom w:val="single" w:sz="8" w:color="003595"/>
            </w:tcBorders>
          </w:tcPr>
          <w:p>
            <w:pPr>
              <w:spacing w:after="0"/>
              <w:rPr>
                <w:sz w:val="2"/>
                <w:szCs w:val="2"/>
                <w:color w:val="auto"/>
              </w:rPr>
            </w:pPr>
          </w:p>
        </w:tc>
        <w:tc>
          <w:tcPr>
            <w:tcW w:w="680" w:type="dxa"/>
            <w:vAlign w:val="bottom"/>
            <w:tcBorders>
              <w:bottom w:val="single" w:sz="8" w:color="003595"/>
            </w:tcBorders>
          </w:tcPr>
          <w:p>
            <w:pPr>
              <w:spacing w:after="0"/>
              <w:rPr>
                <w:sz w:val="2"/>
                <w:szCs w:val="2"/>
                <w:color w:val="auto"/>
              </w:rPr>
            </w:pPr>
          </w:p>
        </w:tc>
        <w:tc>
          <w:tcPr>
            <w:tcW w:w="180" w:type="dxa"/>
            <w:vAlign w:val="bottom"/>
            <w:tcBorders>
              <w:bottom w:val="single" w:sz="8" w:color="003595"/>
              <w:right w:val="single" w:sz="8" w:color="auto"/>
            </w:tcBorders>
          </w:tcPr>
          <w:p>
            <w:pPr>
              <w:spacing w:after="0"/>
              <w:rPr>
                <w:sz w:val="2"/>
                <w:szCs w:val="2"/>
                <w:color w:val="auto"/>
              </w:rPr>
            </w:pPr>
          </w:p>
        </w:tc>
        <w:tc>
          <w:tcPr>
            <w:tcW w:w="100" w:type="dxa"/>
            <w:vAlign w:val="bottom"/>
            <w:tcBorders>
              <w:bottom w:val="single" w:sz="8" w:color="003595"/>
            </w:tcBorders>
          </w:tcPr>
          <w:p>
            <w:pPr>
              <w:spacing w:after="0"/>
              <w:rPr>
                <w:sz w:val="2"/>
                <w:szCs w:val="2"/>
                <w:color w:val="auto"/>
              </w:rPr>
            </w:pPr>
          </w:p>
        </w:tc>
        <w:tc>
          <w:tcPr>
            <w:tcW w:w="700" w:type="dxa"/>
            <w:vAlign w:val="bottom"/>
            <w:tcBorders>
              <w:bottom w:val="single" w:sz="8" w:color="003595"/>
            </w:tcBorders>
          </w:tcPr>
          <w:p>
            <w:pPr>
              <w:spacing w:after="0"/>
              <w:rPr>
                <w:sz w:val="2"/>
                <w:szCs w:val="2"/>
                <w:color w:val="auto"/>
              </w:rPr>
            </w:pPr>
          </w:p>
        </w:tc>
        <w:tc>
          <w:tcPr>
            <w:tcW w:w="120" w:type="dxa"/>
            <w:vAlign w:val="bottom"/>
            <w:tcBorders>
              <w:bottom w:val="single" w:sz="8" w:color="003595"/>
              <w:right w:val="single" w:sz="8" w:color="auto"/>
            </w:tcBorders>
          </w:tcPr>
          <w:p>
            <w:pPr>
              <w:spacing w:after="0"/>
              <w:rPr>
                <w:sz w:val="2"/>
                <w:szCs w:val="2"/>
                <w:color w:val="auto"/>
              </w:rPr>
            </w:pPr>
          </w:p>
        </w:tc>
        <w:tc>
          <w:tcPr>
            <w:tcW w:w="92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6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20" w:type="dxa"/>
            <w:vAlign w:val="bottom"/>
            <w:tcBorders>
              <w:bottom w:val="single" w:sz="8" w:color="003595"/>
              <w:right w:val="single" w:sz="8" w:color="auto"/>
            </w:tcBorders>
          </w:tcPr>
          <w:p>
            <w:pPr>
              <w:spacing w:after="0"/>
              <w:rPr>
                <w:sz w:val="2"/>
                <w:szCs w:val="2"/>
                <w:color w:val="auto"/>
              </w:rPr>
            </w:pPr>
          </w:p>
        </w:tc>
        <w:tc>
          <w:tcPr>
            <w:tcW w:w="120" w:type="dxa"/>
            <w:vAlign w:val="bottom"/>
            <w:tcBorders>
              <w:bottom w:val="single" w:sz="8" w:color="003595"/>
            </w:tcBorders>
          </w:tcPr>
          <w:p>
            <w:pPr>
              <w:spacing w:after="0"/>
              <w:rPr>
                <w:sz w:val="2"/>
                <w:szCs w:val="2"/>
                <w:color w:val="auto"/>
              </w:rPr>
            </w:pPr>
          </w:p>
        </w:tc>
        <w:tc>
          <w:tcPr>
            <w:tcW w:w="740" w:type="dxa"/>
            <w:vAlign w:val="bottom"/>
            <w:tcBorders>
              <w:bottom w:val="single" w:sz="8" w:color="003595"/>
            </w:tcBorders>
          </w:tcPr>
          <w:p>
            <w:pPr>
              <w:spacing w:after="0"/>
              <w:rPr>
                <w:sz w:val="2"/>
                <w:szCs w:val="2"/>
                <w:color w:val="auto"/>
              </w:rPr>
            </w:pPr>
          </w:p>
        </w:tc>
        <w:tc>
          <w:tcPr>
            <w:tcW w:w="160" w:type="dxa"/>
            <w:vAlign w:val="bottom"/>
            <w:tcBorders>
              <w:bottom w:val="single" w:sz="8" w:color="003595"/>
              <w:right w:val="single" w:sz="8" w:color="auto"/>
            </w:tcBorders>
          </w:tcPr>
          <w:p>
            <w:pPr>
              <w:spacing w:after="0"/>
              <w:rPr>
                <w:sz w:val="2"/>
                <w:szCs w:val="2"/>
                <w:color w:val="auto"/>
              </w:rPr>
            </w:pPr>
          </w:p>
        </w:tc>
        <w:tc>
          <w:tcPr>
            <w:tcW w:w="1020" w:type="dxa"/>
            <w:vAlign w:val="bottom"/>
            <w:tcBorders>
              <w:bottom w:val="single" w:sz="8" w:color="003595"/>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24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003595"/>
              </w:rPr>
              <w:t>Paul M. Bisaro</w:t>
            </w:r>
          </w:p>
        </w:tc>
        <w:tc>
          <w:tcPr>
            <w:tcW w:w="9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003595"/>
                <w:w w:val="91"/>
              </w:rPr>
              <w:t>✓</w:t>
            </w:r>
          </w:p>
        </w:tc>
        <w:tc>
          <w:tcPr>
            <w:tcW w:w="160" w:type="dxa"/>
            <w:vAlign w:val="bottom"/>
            <w:tcBorders>
              <w:left w:val="single" w:sz="8" w:color="auto"/>
            </w:tcBorders>
          </w:tcPr>
          <w:p>
            <w:pPr>
              <w:spacing w:after="0"/>
              <w:rPr>
                <w:sz w:val="15"/>
                <w:szCs w:val="15"/>
                <w:color w:val="auto"/>
              </w:rPr>
            </w:pPr>
          </w:p>
        </w:tc>
        <w:tc>
          <w:tcPr>
            <w:tcW w:w="860" w:type="dxa"/>
            <w:vAlign w:val="bottom"/>
            <w:tcBorders>
              <w:right w:val="single" w:sz="8" w:color="auto"/>
            </w:tcBorders>
            <w:gridSpan w:val="2"/>
            <w:vMerge w:val="restart"/>
          </w:tcPr>
          <w:p>
            <w:pPr>
              <w:jc w:val="center"/>
              <w:ind w:right="160"/>
              <w:spacing w:after="0" w:line="131" w:lineRule="exact"/>
              <w:rPr>
                <w:sz w:val="20"/>
                <w:szCs w:val="20"/>
                <w:color w:val="auto"/>
              </w:rPr>
            </w:pPr>
            <w:r>
              <w:rPr>
                <w:rFonts w:ascii="MS PGothic" w:cs="MS PGothic" w:eastAsia="MS PGothic" w:hAnsi="MS PGothic"/>
                <w:sz w:val="13"/>
                <w:szCs w:val="13"/>
                <w:color w:val="003595"/>
                <w:w w:val="76"/>
              </w:rPr>
              <w:t>✓</w:t>
            </w:r>
          </w:p>
        </w:tc>
        <w:tc>
          <w:tcPr>
            <w:tcW w:w="100" w:type="dxa"/>
            <w:vAlign w:val="bottom"/>
          </w:tcPr>
          <w:p>
            <w:pPr>
              <w:spacing w:after="0"/>
              <w:rPr>
                <w:sz w:val="15"/>
                <w:szCs w:val="15"/>
                <w:color w:val="auto"/>
              </w:rPr>
            </w:pPr>
          </w:p>
        </w:tc>
        <w:tc>
          <w:tcPr>
            <w:tcW w:w="820" w:type="dxa"/>
            <w:vAlign w:val="bottom"/>
            <w:tcBorders>
              <w:right w:val="single" w:sz="8" w:color="auto"/>
            </w:tcBorders>
            <w:gridSpan w:val="2"/>
            <w:vMerge w:val="restart"/>
          </w:tcPr>
          <w:p>
            <w:pPr>
              <w:jc w:val="center"/>
              <w:ind w:right="120"/>
              <w:spacing w:after="0" w:line="131" w:lineRule="exact"/>
              <w:rPr>
                <w:sz w:val="20"/>
                <w:szCs w:val="20"/>
                <w:color w:val="auto"/>
              </w:rPr>
            </w:pPr>
            <w:r>
              <w:rPr>
                <w:rFonts w:ascii="MS PGothic" w:cs="MS PGothic" w:eastAsia="MS PGothic" w:hAnsi="MS PGothic"/>
                <w:sz w:val="13"/>
                <w:szCs w:val="13"/>
                <w:color w:val="003595"/>
                <w:w w:val="76"/>
              </w:rPr>
              <w:t>✓</w:t>
            </w:r>
          </w:p>
        </w:tc>
        <w:tc>
          <w:tcPr>
            <w:tcW w:w="92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shd w:val="clear" w:color="auto" w:fill="000000"/>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0" w:type="dxa"/>
            <w:vAlign w:val="bottom"/>
          </w:tcPr>
          <w:p>
            <w:pPr>
              <w:spacing w:after="0"/>
              <w:rPr>
                <w:sz w:val="1"/>
                <w:szCs w:val="1"/>
                <w:color w:val="auto"/>
              </w:rPr>
            </w:pPr>
          </w:p>
        </w:tc>
      </w:tr>
      <w:tr>
        <w:trPr>
          <w:trHeight w:val="107"/>
        </w:trPr>
        <w:tc>
          <w:tcPr>
            <w:tcW w:w="2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3"/>
                <w:szCs w:val="13"/>
                <w:color w:val="003595"/>
              </w:rPr>
              <w:t>Director</w:t>
            </w:r>
          </w:p>
        </w:tc>
        <w:tc>
          <w:tcPr>
            <w:tcW w:w="94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960" w:type="dxa"/>
            <w:vAlign w:val="bottom"/>
            <w:vMerge w:val="continue"/>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86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right w:val="single" w:sz="8" w:color="auto"/>
            </w:tcBorders>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2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003595"/>
              <w:right w:val="single" w:sz="8" w:color="auto"/>
            </w:tcBorders>
          </w:tcPr>
          <w:p>
            <w:pPr>
              <w:spacing w:after="0"/>
              <w:rPr>
                <w:sz w:val="2"/>
                <w:szCs w:val="2"/>
                <w:color w:val="auto"/>
              </w:rPr>
            </w:pPr>
          </w:p>
        </w:tc>
        <w:tc>
          <w:tcPr>
            <w:tcW w:w="94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60" w:type="dxa"/>
            <w:vAlign w:val="bottom"/>
            <w:tcBorders>
              <w:bottom w:val="single" w:sz="8" w:color="003595"/>
            </w:tcBorders>
          </w:tcPr>
          <w:p>
            <w:pPr>
              <w:spacing w:after="0"/>
              <w:rPr>
                <w:sz w:val="2"/>
                <w:szCs w:val="2"/>
                <w:color w:val="auto"/>
              </w:rPr>
            </w:pPr>
          </w:p>
        </w:tc>
        <w:tc>
          <w:tcPr>
            <w:tcW w:w="160" w:type="dxa"/>
            <w:vAlign w:val="bottom"/>
            <w:tcBorders>
              <w:left w:val="single" w:sz="8" w:color="auto"/>
              <w:bottom w:val="single" w:sz="8" w:color="003595"/>
            </w:tcBorders>
          </w:tcPr>
          <w:p>
            <w:pPr>
              <w:spacing w:after="0"/>
              <w:rPr>
                <w:sz w:val="2"/>
                <w:szCs w:val="2"/>
                <w:color w:val="auto"/>
              </w:rPr>
            </w:pPr>
          </w:p>
        </w:tc>
        <w:tc>
          <w:tcPr>
            <w:tcW w:w="680" w:type="dxa"/>
            <w:vAlign w:val="bottom"/>
            <w:tcBorders>
              <w:bottom w:val="single" w:sz="8" w:color="003595"/>
            </w:tcBorders>
          </w:tcPr>
          <w:p>
            <w:pPr>
              <w:spacing w:after="0"/>
              <w:rPr>
                <w:sz w:val="2"/>
                <w:szCs w:val="2"/>
                <w:color w:val="auto"/>
              </w:rPr>
            </w:pPr>
          </w:p>
        </w:tc>
        <w:tc>
          <w:tcPr>
            <w:tcW w:w="180" w:type="dxa"/>
            <w:vAlign w:val="bottom"/>
            <w:tcBorders>
              <w:bottom w:val="single" w:sz="8" w:color="003595"/>
              <w:right w:val="single" w:sz="8" w:color="auto"/>
            </w:tcBorders>
          </w:tcPr>
          <w:p>
            <w:pPr>
              <w:spacing w:after="0"/>
              <w:rPr>
                <w:sz w:val="2"/>
                <w:szCs w:val="2"/>
                <w:color w:val="auto"/>
              </w:rPr>
            </w:pPr>
          </w:p>
        </w:tc>
        <w:tc>
          <w:tcPr>
            <w:tcW w:w="100" w:type="dxa"/>
            <w:vAlign w:val="bottom"/>
            <w:tcBorders>
              <w:bottom w:val="single" w:sz="8" w:color="003595"/>
            </w:tcBorders>
          </w:tcPr>
          <w:p>
            <w:pPr>
              <w:spacing w:after="0"/>
              <w:rPr>
                <w:sz w:val="2"/>
                <w:szCs w:val="2"/>
                <w:color w:val="auto"/>
              </w:rPr>
            </w:pPr>
          </w:p>
        </w:tc>
        <w:tc>
          <w:tcPr>
            <w:tcW w:w="700" w:type="dxa"/>
            <w:vAlign w:val="bottom"/>
            <w:tcBorders>
              <w:bottom w:val="single" w:sz="8" w:color="003595"/>
            </w:tcBorders>
          </w:tcPr>
          <w:p>
            <w:pPr>
              <w:spacing w:after="0"/>
              <w:rPr>
                <w:sz w:val="2"/>
                <w:szCs w:val="2"/>
                <w:color w:val="auto"/>
              </w:rPr>
            </w:pPr>
          </w:p>
        </w:tc>
        <w:tc>
          <w:tcPr>
            <w:tcW w:w="120" w:type="dxa"/>
            <w:vAlign w:val="bottom"/>
            <w:tcBorders>
              <w:bottom w:val="single" w:sz="8" w:color="003595"/>
              <w:right w:val="single" w:sz="8" w:color="auto"/>
            </w:tcBorders>
          </w:tcPr>
          <w:p>
            <w:pPr>
              <w:spacing w:after="0"/>
              <w:rPr>
                <w:sz w:val="2"/>
                <w:szCs w:val="2"/>
                <w:color w:val="auto"/>
              </w:rPr>
            </w:pPr>
          </w:p>
        </w:tc>
        <w:tc>
          <w:tcPr>
            <w:tcW w:w="92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6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20" w:type="dxa"/>
            <w:vAlign w:val="bottom"/>
            <w:tcBorders>
              <w:bottom w:val="single" w:sz="8" w:color="003595"/>
              <w:right w:val="single" w:sz="8" w:color="auto"/>
            </w:tcBorders>
          </w:tcPr>
          <w:p>
            <w:pPr>
              <w:spacing w:after="0"/>
              <w:rPr>
                <w:sz w:val="2"/>
                <w:szCs w:val="2"/>
                <w:color w:val="auto"/>
              </w:rPr>
            </w:pPr>
          </w:p>
        </w:tc>
        <w:tc>
          <w:tcPr>
            <w:tcW w:w="120" w:type="dxa"/>
            <w:vAlign w:val="bottom"/>
            <w:tcBorders>
              <w:bottom w:val="single" w:sz="8" w:color="003595"/>
            </w:tcBorders>
          </w:tcPr>
          <w:p>
            <w:pPr>
              <w:spacing w:after="0"/>
              <w:rPr>
                <w:sz w:val="2"/>
                <w:szCs w:val="2"/>
                <w:color w:val="auto"/>
              </w:rPr>
            </w:pPr>
          </w:p>
        </w:tc>
        <w:tc>
          <w:tcPr>
            <w:tcW w:w="740" w:type="dxa"/>
            <w:vAlign w:val="bottom"/>
            <w:tcBorders>
              <w:bottom w:val="single" w:sz="8" w:color="003595"/>
            </w:tcBorders>
          </w:tcPr>
          <w:p>
            <w:pPr>
              <w:spacing w:after="0"/>
              <w:rPr>
                <w:sz w:val="2"/>
                <w:szCs w:val="2"/>
                <w:color w:val="auto"/>
              </w:rPr>
            </w:pPr>
          </w:p>
        </w:tc>
        <w:tc>
          <w:tcPr>
            <w:tcW w:w="160" w:type="dxa"/>
            <w:vAlign w:val="bottom"/>
            <w:tcBorders>
              <w:bottom w:val="single" w:sz="8" w:color="003595"/>
              <w:right w:val="single" w:sz="8" w:color="auto"/>
            </w:tcBorders>
          </w:tcPr>
          <w:p>
            <w:pPr>
              <w:spacing w:after="0"/>
              <w:rPr>
                <w:sz w:val="2"/>
                <w:szCs w:val="2"/>
                <w:color w:val="auto"/>
              </w:rPr>
            </w:pPr>
          </w:p>
        </w:tc>
        <w:tc>
          <w:tcPr>
            <w:tcW w:w="1020" w:type="dxa"/>
            <w:vAlign w:val="bottom"/>
            <w:tcBorders>
              <w:bottom w:val="single" w:sz="8" w:color="00497F"/>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24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003595"/>
              </w:rPr>
              <w:t>Mark S. Davis</w:t>
            </w:r>
          </w:p>
        </w:tc>
        <w:tc>
          <w:tcPr>
            <w:tcW w:w="9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003595"/>
                <w:w w:val="91"/>
              </w:rPr>
              <w:t>✓</w:t>
            </w:r>
          </w:p>
        </w:tc>
        <w:tc>
          <w:tcPr>
            <w:tcW w:w="160" w:type="dxa"/>
            <w:vAlign w:val="bottom"/>
            <w:tcBorders>
              <w:left w:val="single" w:sz="8" w:color="auto"/>
            </w:tcBorders>
          </w:tcPr>
          <w:p>
            <w:pPr>
              <w:spacing w:after="0"/>
              <w:rPr>
                <w:sz w:val="15"/>
                <w:szCs w:val="15"/>
                <w:color w:val="auto"/>
              </w:rPr>
            </w:pPr>
          </w:p>
        </w:tc>
        <w:tc>
          <w:tcPr>
            <w:tcW w:w="860" w:type="dxa"/>
            <w:vAlign w:val="bottom"/>
            <w:tcBorders>
              <w:right w:val="single" w:sz="8" w:color="auto"/>
            </w:tcBorders>
            <w:gridSpan w:val="2"/>
            <w:vMerge w:val="restart"/>
          </w:tcPr>
          <w:p>
            <w:pPr>
              <w:jc w:val="center"/>
              <w:ind w:right="160"/>
              <w:spacing w:after="0" w:line="131" w:lineRule="exact"/>
              <w:rPr>
                <w:sz w:val="20"/>
                <w:szCs w:val="20"/>
                <w:color w:val="auto"/>
              </w:rPr>
            </w:pPr>
            <w:r>
              <w:rPr>
                <w:rFonts w:ascii="MS PGothic" w:cs="MS PGothic" w:eastAsia="MS PGothic" w:hAnsi="MS PGothic"/>
                <w:sz w:val="13"/>
                <w:szCs w:val="13"/>
                <w:color w:val="003595"/>
                <w:w w:val="76"/>
              </w:rPr>
              <w:t>✓</w:t>
            </w:r>
          </w:p>
        </w:tc>
        <w:tc>
          <w:tcPr>
            <w:tcW w:w="100" w:type="dxa"/>
            <w:vAlign w:val="bottom"/>
          </w:tcPr>
          <w:p>
            <w:pPr>
              <w:spacing w:after="0"/>
              <w:rPr>
                <w:sz w:val="15"/>
                <w:szCs w:val="15"/>
                <w:color w:val="auto"/>
              </w:rPr>
            </w:pPr>
          </w:p>
        </w:tc>
        <w:tc>
          <w:tcPr>
            <w:tcW w:w="820" w:type="dxa"/>
            <w:vAlign w:val="bottom"/>
            <w:tcBorders>
              <w:right w:val="single" w:sz="8" w:color="auto"/>
            </w:tcBorders>
            <w:gridSpan w:val="2"/>
            <w:vMerge w:val="restart"/>
          </w:tcPr>
          <w:p>
            <w:pPr>
              <w:jc w:val="center"/>
              <w:ind w:right="120"/>
              <w:spacing w:after="0" w:line="131" w:lineRule="exact"/>
              <w:rPr>
                <w:sz w:val="20"/>
                <w:szCs w:val="20"/>
                <w:color w:val="auto"/>
              </w:rPr>
            </w:pPr>
            <w:r>
              <w:rPr>
                <w:rFonts w:ascii="MS PGothic" w:cs="MS PGothic" w:eastAsia="MS PGothic" w:hAnsi="MS PGothic"/>
                <w:sz w:val="13"/>
                <w:szCs w:val="13"/>
                <w:color w:val="003595"/>
                <w:w w:val="76"/>
              </w:rPr>
              <w:t>✓</w:t>
            </w:r>
          </w:p>
        </w:tc>
        <w:tc>
          <w:tcPr>
            <w:tcW w:w="9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20" w:type="dxa"/>
            <w:vAlign w:val="bottom"/>
            <w:tcBorders>
              <w:right w:val="single" w:sz="8" w:color="00497F"/>
            </w:tcBorders>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0" w:type="dxa"/>
            <w:vAlign w:val="bottom"/>
          </w:tcPr>
          <w:p>
            <w:pPr>
              <w:spacing w:after="0"/>
              <w:rPr>
                <w:sz w:val="1"/>
                <w:szCs w:val="1"/>
                <w:color w:val="auto"/>
              </w:rPr>
            </w:pPr>
          </w:p>
        </w:tc>
      </w:tr>
      <w:tr>
        <w:trPr>
          <w:trHeight w:val="107"/>
        </w:trPr>
        <w:tc>
          <w:tcPr>
            <w:tcW w:w="2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3"/>
                <w:szCs w:val="13"/>
                <w:color w:val="003595"/>
              </w:rPr>
              <w:t>Director</w:t>
            </w:r>
          </w:p>
        </w:tc>
        <w:tc>
          <w:tcPr>
            <w:tcW w:w="94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960" w:type="dxa"/>
            <w:vAlign w:val="bottom"/>
            <w:vMerge w:val="continue"/>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86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right w:val="single" w:sz="8" w:color="auto"/>
            </w:tcBorders>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20" w:type="dxa"/>
            <w:vAlign w:val="bottom"/>
            <w:tcBorders>
              <w:right w:val="single" w:sz="8" w:color="00497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240" w:type="dxa"/>
            <w:vAlign w:val="bottom"/>
            <w:tcBorders>
              <w:right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Borders>
              <w:lef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20" w:type="dxa"/>
            <w:vAlign w:val="bottom"/>
            <w:tcBorders>
              <w:right w:val="single" w:sz="8" w:color="00497F"/>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240" w:type="dxa"/>
            <w:vAlign w:val="bottom"/>
            <w:tcBorders>
              <w:top w:val="single" w:sz="8" w:color="00497F"/>
              <w:right w:val="single" w:sz="8" w:color="auto"/>
            </w:tcBorders>
          </w:tcPr>
          <w:p>
            <w:pPr>
              <w:ind w:left="60"/>
              <w:spacing w:after="0"/>
              <w:rPr>
                <w:sz w:val="20"/>
                <w:szCs w:val="20"/>
                <w:color w:val="auto"/>
              </w:rPr>
            </w:pPr>
            <w:r>
              <w:rPr>
                <w:rFonts w:ascii="Arial" w:cs="Arial" w:eastAsia="Arial" w:hAnsi="Arial"/>
                <w:sz w:val="13"/>
                <w:szCs w:val="13"/>
                <w:b w:val="1"/>
                <w:bCs w:val="1"/>
                <w:color w:val="003595"/>
              </w:rPr>
              <w:t>Heiner Dreismann Ph.D.</w:t>
            </w:r>
          </w:p>
        </w:tc>
        <w:tc>
          <w:tcPr>
            <w:tcW w:w="940" w:type="dxa"/>
            <w:vAlign w:val="bottom"/>
            <w:tcBorders>
              <w:top w:val="single" w:sz="8" w:color="003595"/>
            </w:tcBorders>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960" w:type="dxa"/>
            <w:vAlign w:val="bottom"/>
            <w:tcBorders>
              <w:top w:val="single" w:sz="8" w:color="003595"/>
            </w:tcBorders>
          </w:tcPr>
          <w:p>
            <w:pPr>
              <w:spacing w:after="0"/>
              <w:rPr>
                <w:sz w:val="15"/>
                <w:szCs w:val="15"/>
                <w:color w:val="auto"/>
              </w:rPr>
            </w:pPr>
          </w:p>
        </w:tc>
        <w:tc>
          <w:tcPr>
            <w:tcW w:w="160" w:type="dxa"/>
            <w:vAlign w:val="bottom"/>
            <w:tcBorders>
              <w:top w:val="single" w:sz="8" w:color="003595"/>
              <w:left w:val="single" w:sz="8" w:color="auto"/>
            </w:tcBorders>
          </w:tcPr>
          <w:p>
            <w:pPr>
              <w:spacing w:after="0"/>
              <w:rPr>
                <w:sz w:val="15"/>
                <w:szCs w:val="15"/>
                <w:color w:val="auto"/>
              </w:rPr>
            </w:pPr>
          </w:p>
        </w:tc>
        <w:tc>
          <w:tcPr>
            <w:tcW w:w="860" w:type="dxa"/>
            <w:vAlign w:val="bottom"/>
            <w:tcBorders>
              <w:top w:val="single" w:sz="8" w:color="003595"/>
              <w:right w:val="single" w:sz="8" w:color="auto"/>
            </w:tcBorders>
            <w:gridSpan w:val="2"/>
            <w:vMerge w:val="restart"/>
          </w:tcPr>
          <w:p>
            <w:pPr>
              <w:jc w:val="center"/>
              <w:ind w:right="160"/>
              <w:spacing w:after="0" w:line="131" w:lineRule="exact"/>
              <w:rPr>
                <w:sz w:val="20"/>
                <w:szCs w:val="20"/>
                <w:color w:val="auto"/>
              </w:rPr>
            </w:pPr>
            <w:r>
              <w:rPr>
                <w:rFonts w:ascii="MS PGothic" w:cs="MS PGothic" w:eastAsia="MS PGothic" w:hAnsi="MS PGothic"/>
                <w:sz w:val="13"/>
                <w:szCs w:val="13"/>
                <w:color w:val="003595"/>
                <w:w w:val="76"/>
              </w:rPr>
              <w:t>✓</w:t>
            </w:r>
          </w:p>
        </w:tc>
        <w:tc>
          <w:tcPr>
            <w:tcW w:w="100" w:type="dxa"/>
            <w:vAlign w:val="bottom"/>
            <w:tcBorders>
              <w:top w:val="single" w:sz="8" w:color="003595"/>
            </w:tcBorders>
          </w:tcPr>
          <w:p>
            <w:pPr>
              <w:spacing w:after="0"/>
              <w:rPr>
                <w:sz w:val="15"/>
                <w:szCs w:val="15"/>
                <w:color w:val="auto"/>
              </w:rPr>
            </w:pPr>
          </w:p>
        </w:tc>
        <w:tc>
          <w:tcPr>
            <w:tcW w:w="820" w:type="dxa"/>
            <w:vAlign w:val="bottom"/>
            <w:tcBorders>
              <w:top w:val="single" w:sz="8" w:color="003595"/>
              <w:right w:val="single" w:sz="8" w:color="auto"/>
            </w:tcBorders>
            <w:gridSpan w:val="2"/>
            <w:vMerge w:val="restart"/>
          </w:tcPr>
          <w:p>
            <w:pPr>
              <w:jc w:val="center"/>
              <w:ind w:right="120"/>
              <w:spacing w:after="0" w:line="131" w:lineRule="exact"/>
              <w:rPr>
                <w:sz w:val="20"/>
                <w:szCs w:val="20"/>
                <w:color w:val="auto"/>
              </w:rPr>
            </w:pPr>
            <w:r>
              <w:rPr>
                <w:rFonts w:ascii="MS PGothic" w:cs="MS PGothic" w:eastAsia="MS PGothic" w:hAnsi="MS PGothic"/>
                <w:sz w:val="13"/>
                <w:szCs w:val="13"/>
                <w:color w:val="003595"/>
                <w:w w:val="76"/>
              </w:rPr>
              <w:t>✓</w:t>
            </w:r>
          </w:p>
        </w:tc>
        <w:tc>
          <w:tcPr>
            <w:tcW w:w="920" w:type="dxa"/>
            <w:vAlign w:val="bottom"/>
            <w:tcBorders>
              <w:top w:val="single" w:sz="8" w:color="003595"/>
            </w:tcBorders>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tcBorders>
              <w:top w:val="single" w:sz="8" w:color="auto"/>
            </w:tcBorders>
            <w:shd w:val="clear" w:color="auto" w:fill="000000"/>
          </w:tcPr>
          <w:p>
            <w:pPr>
              <w:spacing w:after="0"/>
              <w:rPr>
                <w:sz w:val="15"/>
                <w:szCs w:val="15"/>
                <w:color w:val="auto"/>
              </w:rPr>
            </w:pPr>
          </w:p>
        </w:tc>
        <w:tc>
          <w:tcPr>
            <w:tcW w:w="1060" w:type="dxa"/>
            <w:vAlign w:val="bottom"/>
            <w:tcBorders>
              <w:top w:val="single" w:sz="8" w:color="003595"/>
            </w:tcBorders>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tcBorders>
              <w:top w:val="single" w:sz="8" w:color="auto"/>
            </w:tcBorders>
            <w:shd w:val="clear" w:color="auto" w:fill="000000"/>
          </w:tcPr>
          <w:p>
            <w:pPr>
              <w:spacing w:after="0"/>
              <w:rPr>
                <w:sz w:val="15"/>
                <w:szCs w:val="15"/>
                <w:color w:val="auto"/>
              </w:rPr>
            </w:pPr>
          </w:p>
        </w:tc>
        <w:tc>
          <w:tcPr>
            <w:tcW w:w="1020" w:type="dxa"/>
            <w:vAlign w:val="bottom"/>
            <w:tcBorders>
              <w:top w:val="single" w:sz="8" w:color="003595"/>
              <w:right w:val="single" w:sz="8" w:color="auto"/>
            </w:tcBorders>
          </w:tcPr>
          <w:p>
            <w:pPr>
              <w:spacing w:after="0"/>
              <w:rPr>
                <w:sz w:val="15"/>
                <w:szCs w:val="15"/>
                <w:color w:val="auto"/>
              </w:rPr>
            </w:pPr>
          </w:p>
        </w:tc>
        <w:tc>
          <w:tcPr>
            <w:tcW w:w="120" w:type="dxa"/>
            <w:vAlign w:val="bottom"/>
            <w:tcBorders>
              <w:top w:val="single" w:sz="8" w:color="003595"/>
            </w:tcBorders>
          </w:tcPr>
          <w:p>
            <w:pPr>
              <w:spacing w:after="0"/>
              <w:rPr>
                <w:sz w:val="15"/>
                <w:szCs w:val="15"/>
                <w:color w:val="auto"/>
              </w:rPr>
            </w:pPr>
          </w:p>
        </w:tc>
        <w:tc>
          <w:tcPr>
            <w:tcW w:w="740" w:type="dxa"/>
            <w:vAlign w:val="bottom"/>
            <w:tcBorders>
              <w:top w:val="single" w:sz="8" w:color="003595"/>
            </w:tcBorders>
          </w:tcPr>
          <w:p>
            <w:pPr>
              <w:spacing w:after="0"/>
              <w:rPr>
                <w:sz w:val="15"/>
                <w:szCs w:val="15"/>
                <w:color w:val="auto"/>
              </w:rPr>
            </w:pPr>
          </w:p>
        </w:tc>
        <w:tc>
          <w:tcPr>
            <w:tcW w:w="160" w:type="dxa"/>
            <w:vAlign w:val="bottom"/>
            <w:tcBorders>
              <w:top w:val="single" w:sz="8" w:color="003595"/>
              <w:right w:val="single" w:sz="8" w:color="auto"/>
            </w:tcBorders>
          </w:tcPr>
          <w:p>
            <w:pPr>
              <w:spacing w:after="0"/>
              <w:rPr>
                <w:sz w:val="15"/>
                <w:szCs w:val="15"/>
                <w:color w:val="auto"/>
              </w:rPr>
            </w:pPr>
          </w:p>
        </w:tc>
        <w:tc>
          <w:tcPr>
            <w:tcW w:w="1020" w:type="dxa"/>
            <w:vAlign w:val="bottom"/>
            <w:tcBorders>
              <w:top w:val="single" w:sz="8" w:color="00497F"/>
              <w:right w:val="single" w:sz="8" w:color="auto"/>
            </w:tcBorders>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0" w:type="dxa"/>
            <w:vAlign w:val="bottom"/>
          </w:tcPr>
          <w:p>
            <w:pPr>
              <w:spacing w:after="0"/>
              <w:rPr>
                <w:sz w:val="1"/>
                <w:szCs w:val="1"/>
                <w:color w:val="auto"/>
              </w:rPr>
            </w:pPr>
          </w:p>
        </w:tc>
      </w:tr>
      <w:tr>
        <w:trPr>
          <w:trHeight w:val="107"/>
        </w:trPr>
        <w:tc>
          <w:tcPr>
            <w:tcW w:w="2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3"/>
                <w:szCs w:val="13"/>
                <w:color w:val="003595"/>
              </w:rPr>
              <w:t>Director</w:t>
            </w:r>
          </w:p>
        </w:tc>
        <w:tc>
          <w:tcPr>
            <w:tcW w:w="94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86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right w:val="single" w:sz="8" w:color="auto"/>
            </w:tcBorders>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2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003595"/>
              <w:right w:val="single" w:sz="8" w:color="auto"/>
            </w:tcBorders>
          </w:tcPr>
          <w:p>
            <w:pPr>
              <w:spacing w:after="0"/>
              <w:rPr>
                <w:sz w:val="2"/>
                <w:szCs w:val="2"/>
                <w:color w:val="auto"/>
              </w:rPr>
            </w:pPr>
          </w:p>
        </w:tc>
        <w:tc>
          <w:tcPr>
            <w:tcW w:w="94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60" w:type="dxa"/>
            <w:vAlign w:val="bottom"/>
            <w:tcBorders>
              <w:bottom w:val="single" w:sz="8" w:color="003595"/>
            </w:tcBorders>
          </w:tcPr>
          <w:p>
            <w:pPr>
              <w:spacing w:after="0"/>
              <w:rPr>
                <w:sz w:val="2"/>
                <w:szCs w:val="2"/>
                <w:color w:val="auto"/>
              </w:rPr>
            </w:pPr>
          </w:p>
        </w:tc>
        <w:tc>
          <w:tcPr>
            <w:tcW w:w="160" w:type="dxa"/>
            <w:vAlign w:val="bottom"/>
            <w:tcBorders>
              <w:left w:val="single" w:sz="8" w:color="auto"/>
              <w:bottom w:val="single" w:sz="8" w:color="003595"/>
            </w:tcBorders>
          </w:tcPr>
          <w:p>
            <w:pPr>
              <w:spacing w:after="0"/>
              <w:rPr>
                <w:sz w:val="2"/>
                <w:szCs w:val="2"/>
                <w:color w:val="auto"/>
              </w:rPr>
            </w:pPr>
          </w:p>
        </w:tc>
        <w:tc>
          <w:tcPr>
            <w:tcW w:w="680" w:type="dxa"/>
            <w:vAlign w:val="bottom"/>
            <w:tcBorders>
              <w:bottom w:val="single" w:sz="8" w:color="003595"/>
            </w:tcBorders>
          </w:tcPr>
          <w:p>
            <w:pPr>
              <w:spacing w:after="0"/>
              <w:rPr>
                <w:sz w:val="2"/>
                <w:szCs w:val="2"/>
                <w:color w:val="auto"/>
              </w:rPr>
            </w:pPr>
          </w:p>
        </w:tc>
        <w:tc>
          <w:tcPr>
            <w:tcW w:w="180" w:type="dxa"/>
            <w:vAlign w:val="bottom"/>
            <w:tcBorders>
              <w:bottom w:val="single" w:sz="8" w:color="003595"/>
              <w:right w:val="single" w:sz="8" w:color="auto"/>
            </w:tcBorders>
          </w:tcPr>
          <w:p>
            <w:pPr>
              <w:spacing w:after="0"/>
              <w:rPr>
                <w:sz w:val="2"/>
                <w:szCs w:val="2"/>
                <w:color w:val="auto"/>
              </w:rPr>
            </w:pPr>
          </w:p>
        </w:tc>
        <w:tc>
          <w:tcPr>
            <w:tcW w:w="100" w:type="dxa"/>
            <w:vAlign w:val="bottom"/>
            <w:tcBorders>
              <w:bottom w:val="single" w:sz="8" w:color="003595"/>
            </w:tcBorders>
          </w:tcPr>
          <w:p>
            <w:pPr>
              <w:spacing w:after="0"/>
              <w:rPr>
                <w:sz w:val="2"/>
                <w:szCs w:val="2"/>
                <w:color w:val="auto"/>
              </w:rPr>
            </w:pPr>
          </w:p>
        </w:tc>
        <w:tc>
          <w:tcPr>
            <w:tcW w:w="700" w:type="dxa"/>
            <w:vAlign w:val="bottom"/>
            <w:tcBorders>
              <w:bottom w:val="single" w:sz="8" w:color="003595"/>
            </w:tcBorders>
          </w:tcPr>
          <w:p>
            <w:pPr>
              <w:spacing w:after="0"/>
              <w:rPr>
                <w:sz w:val="2"/>
                <w:szCs w:val="2"/>
                <w:color w:val="auto"/>
              </w:rPr>
            </w:pPr>
          </w:p>
        </w:tc>
        <w:tc>
          <w:tcPr>
            <w:tcW w:w="120" w:type="dxa"/>
            <w:vAlign w:val="bottom"/>
            <w:tcBorders>
              <w:bottom w:val="single" w:sz="8" w:color="003595"/>
              <w:right w:val="single" w:sz="8" w:color="auto"/>
            </w:tcBorders>
          </w:tcPr>
          <w:p>
            <w:pPr>
              <w:spacing w:after="0"/>
              <w:rPr>
                <w:sz w:val="2"/>
                <w:szCs w:val="2"/>
                <w:color w:val="auto"/>
              </w:rPr>
            </w:pPr>
          </w:p>
        </w:tc>
        <w:tc>
          <w:tcPr>
            <w:tcW w:w="92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6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20" w:type="dxa"/>
            <w:vAlign w:val="bottom"/>
            <w:tcBorders>
              <w:bottom w:val="single" w:sz="8" w:color="003595"/>
              <w:right w:val="single" w:sz="8" w:color="auto"/>
            </w:tcBorders>
          </w:tcPr>
          <w:p>
            <w:pPr>
              <w:spacing w:after="0"/>
              <w:rPr>
                <w:sz w:val="2"/>
                <w:szCs w:val="2"/>
                <w:color w:val="auto"/>
              </w:rPr>
            </w:pPr>
          </w:p>
        </w:tc>
        <w:tc>
          <w:tcPr>
            <w:tcW w:w="120" w:type="dxa"/>
            <w:vAlign w:val="bottom"/>
            <w:tcBorders>
              <w:bottom w:val="single" w:sz="8" w:color="003595"/>
            </w:tcBorders>
          </w:tcPr>
          <w:p>
            <w:pPr>
              <w:spacing w:after="0"/>
              <w:rPr>
                <w:sz w:val="2"/>
                <w:szCs w:val="2"/>
                <w:color w:val="auto"/>
              </w:rPr>
            </w:pPr>
          </w:p>
        </w:tc>
        <w:tc>
          <w:tcPr>
            <w:tcW w:w="740" w:type="dxa"/>
            <w:vAlign w:val="bottom"/>
            <w:tcBorders>
              <w:bottom w:val="single" w:sz="8" w:color="003595"/>
            </w:tcBorders>
          </w:tcPr>
          <w:p>
            <w:pPr>
              <w:spacing w:after="0"/>
              <w:rPr>
                <w:sz w:val="2"/>
                <w:szCs w:val="2"/>
                <w:color w:val="auto"/>
              </w:rPr>
            </w:pPr>
          </w:p>
        </w:tc>
        <w:tc>
          <w:tcPr>
            <w:tcW w:w="160" w:type="dxa"/>
            <w:vAlign w:val="bottom"/>
            <w:tcBorders>
              <w:bottom w:val="single" w:sz="8" w:color="003595"/>
              <w:right w:val="single" w:sz="8" w:color="auto"/>
            </w:tcBorders>
          </w:tcPr>
          <w:p>
            <w:pPr>
              <w:spacing w:after="0"/>
              <w:rPr>
                <w:sz w:val="2"/>
                <w:szCs w:val="2"/>
                <w:color w:val="auto"/>
              </w:rPr>
            </w:pPr>
          </w:p>
        </w:tc>
        <w:tc>
          <w:tcPr>
            <w:tcW w:w="1020" w:type="dxa"/>
            <w:vAlign w:val="bottom"/>
            <w:tcBorders>
              <w:bottom w:val="single" w:sz="8" w:color="003595"/>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24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003595"/>
              </w:rPr>
              <w:t>Rashmi Kumar</w:t>
            </w:r>
          </w:p>
        </w:tc>
        <w:tc>
          <w:tcPr>
            <w:tcW w:w="940" w:type="dxa"/>
            <w:vAlign w:val="bottom"/>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shd w:val="clear" w:color="auto" w:fill="000000"/>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left w:val="single" w:sz="8" w:color="auto"/>
            </w:tcBorders>
          </w:tcPr>
          <w:p>
            <w:pPr>
              <w:spacing w:after="0"/>
              <w:rPr>
                <w:sz w:val="14"/>
                <w:szCs w:val="14"/>
                <w:color w:val="auto"/>
              </w:rPr>
            </w:pPr>
          </w:p>
        </w:tc>
        <w:tc>
          <w:tcPr>
            <w:tcW w:w="860" w:type="dxa"/>
            <w:vAlign w:val="bottom"/>
            <w:tcBorders>
              <w:right w:val="single" w:sz="8" w:color="auto"/>
            </w:tcBorders>
            <w:gridSpan w:val="2"/>
          </w:tcPr>
          <w:p>
            <w:pPr>
              <w:jc w:val="center"/>
              <w:ind w:right="160"/>
              <w:spacing w:after="0" w:line="131" w:lineRule="exact"/>
              <w:rPr>
                <w:sz w:val="20"/>
                <w:szCs w:val="20"/>
                <w:color w:val="auto"/>
              </w:rPr>
            </w:pPr>
            <w:r>
              <w:rPr>
                <w:rFonts w:ascii="MS PGothic" w:cs="MS PGothic" w:eastAsia="MS PGothic" w:hAnsi="MS PGothic"/>
                <w:sz w:val="13"/>
                <w:szCs w:val="13"/>
                <w:color w:val="003595"/>
                <w:w w:val="76"/>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2"/>
          </w:tcPr>
          <w:p>
            <w:pPr>
              <w:jc w:val="center"/>
              <w:ind w:right="120"/>
              <w:spacing w:after="0" w:line="131" w:lineRule="exact"/>
              <w:rPr>
                <w:sz w:val="20"/>
                <w:szCs w:val="20"/>
                <w:color w:val="auto"/>
              </w:rPr>
            </w:pPr>
            <w:r>
              <w:rPr>
                <w:rFonts w:ascii="MS PGothic" w:cs="MS PGothic" w:eastAsia="MS PGothic" w:hAnsi="MS PGothic"/>
                <w:sz w:val="13"/>
                <w:szCs w:val="13"/>
                <w:color w:val="003595"/>
                <w:w w:val="76"/>
              </w:rPr>
              <w:t>✓</w:t>
            </w:r>
          </w:p>
        </w:tc>
        <w:tc>
          <w:tcPr>
            <w:tcW w:w="9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center"/>
              <w:ind w:right="160"/>
              <w:spacing w:after="0" w:line="131" w:lineRule="exact"/>
              <w:rPr>
                <w:sz w:val="20"/>
                <w:szCs w:val="20"/>
                <w:color w:val="auto"/>
              </w:rPr>
            </w:pPr>
            <w:r>
              <w:rPr>
                <w:rFonts w:ascii="MS PGothic" w:cs="MS PGothic" w:eastAsia="MS PGothic" w:hAnsi="MS PGothic"/>
                <w:sz w:val="13"/>
                <w:szCs w:val="13"/>
                <w:color w:val="003595"/>
                <w:w w:val="76"/>
              </w:rPr>
              <w:t>✓</w:t>
            </w:r>
          </w:p>
        </w:tc>
        <w:tc>
          <w:tcPr>
            <w:tcW w:w="1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tcBorders>
              <w:bottom w:val="single" w:sz="8" w:color="003595"/>
              <w:right w:val="single" w:sz="8" w:color="auto"/>
            </w:tcBorders>
          </w:tcPr>
          <w:p>
            <w:pPr>
              <w:ind w:left="160"/>
              <w:spacing w:after="0"/>
              <w:rPr>
                <w:sz w:val="20"/>
                <w:szCs w:val="20"/>
                <w:color w:val="auto"/>
              </w:rPr>
            </w:pPr>
            <w:r>
              <w:rPr>
                <w:rFonts w:ascii="Arial" w:cs="Arial" w:eastAsia="Arial" w:hAnsi="Arial"/>
                <w:sz w:val="13"/>
                <w:szCs w:val="13"/>
                <w:color w:val="003595"/>
              </w:rPr>
              <w:t>Director</w:t>
            </w:r>
          </w:p>
        </w:tc>
        <w:tc>
          <w:tcPr>
            <w:tcW w:w="940" w:type="dxa"/>
            <w:vAlign w:val="bottom"/>
            <w:tcBorders>
              <w:bottom w:val="single" w:sz="8" w:color="003595"/>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960" w:type="dxa"/>
            <w:vAlign w:val="bottom"/>
            <w:tcBorders>
              <w:bottom w:val="single" w:sz="8" w:color="003595"/>
            </w:tcBorders>
          </w:tcPr>
          <w:p>
            <w:pPr>
              <w:spacing w:after="0"/>
              <w:rPr>
                <w:sz w:val="15"/>
                <w:szCs w:val="15"/>
                <w:color w:val="auto"/>
              </w:rPr>
            </w:pPr>
          </w:p>
        </w:tc>
        <w:tc>
          <w:tcPr>
            <w:tcW w:w="160" w:type="dxa"/>
            <w:vAlign w:val="bottom"/>
            <w:tcBorders>
              <w:left w:val="single" w:sz="8" w:color="auto"/>
              <w:bottom w:val="single" w:sz="8" w:color="003595"/>
            </w:tcBorders>
          </w:tcPr>
          <w:p>
            <w:pPr>
              <w:spacing w:after="0"/>
              <w:rPr>
                <w:sz w:val="15"/>
                <w:szCs w:val="15"/>
                <w:color w:val="auto"/>
              </w:rPr>
            </w:pPr>
          </w:p>
        </w:tc>
        <w:tc>
          <w:tcPr>
            <w:tcW w:w="680" w:type="dxa"/>
            <w:vAlign w:val="bottom"/>
            <w:tcBorders>
              <w:bottom w:val="single" w:sz="8" w:color="003595"/>
            </w:tcBorders>
          </w:tcPr>
          <w:p>
            <w:pPr>
              <w:spacing w:after="0"/>
              <w:rPr>
                <w:sz w:val="15"/>
                <w:szCs w:val="15"/>
                <w:color w:val="auto"/>
              </w:rPr>
            </w:pPr>
          </w:p>
        </w:tc>
        <w:tc>
          <w:tcPr>
            <w:tcW w:w="180" w:type="dxa"/>
            <w:vAlign w:val="bottom"/>
            <w:tcBorders>
              <w:bottom w:val="single" w:sz="8" w:color="003595"/>
              <w:right w:val="single" w:sz="8" w:color="auto"/>
            </w:tcBorders>
          </w:tcPr>
          <w:p>
            <w:pPr>
              <w:spacing w:after="0"/>
              <w:rPr>
                <w:sz w:val="15"/>
                <w:szCs w:val="15"/>
                <w:color w:val="auto"/>
              </w:rPr>
            </w:pPr>
          </w:p>
        </w:tc>
        <w:tc>
          <w:tcPr>
            <w:tcW w:w="100" w:type="dxa"/>
            <w:vAlign w:val="bottom"/>
            <w:tcBorders>
              <w:bottom w:val="single" w:sz="8" w:color="003595"/>
            </w:tcBorders>
          </w:tcPr>
          <w:p>
            <w:pPr>
              <w:spacing w:after="0"/>
              <w:rPr>
                <w:sz w:val="15"/>
                <w:szCs w:val="15"/>
                <w:color w:val="auto"/>
              </w:rPr>
            </w:pPr>
          </w:p>
        </w:tc>
        <w:tc>
          <w:tcPr>
            <w:tcW w:w="700" w:type="dxa"/>
            <w:vAlign w:val="bottom"/>
            <w:tcBorders>
              <w:bottom w:val="single" w:sz="8" w:color="003595"/>
            </w:tcBorders>
          </w:tcPr>
          <w:p>
            <w:pPr>
              <w:spacing w:after="0"/>
              <w:rPr>
                <w:sz w:val="15"/>
                <w:szCs w:val="15"/>
                <w:color w:val="auto"/>
              </w:rPr>
            </w:pPr>
          </w:p>
        </w:tc>
        <w:tc>
          <w:tcPr>
            <w:tcW w:w="120" w:type="dxa"/>
            <w:vAlign w:val="bottom"/>
            <w:tcBorders>
              <w:bottom w:val="single" w:sz="8" w:color="003595"/>
              <w:right w:val="single" w:sz="8" w:color="auto"/>
            </w:tcBorders>
          </w:tcPr>
          <w:p>
            <w:pPr>
              <w:spacing w:after="0"/>
              <w:rPr>
                <w:sz w:val="15"/>
                <w:szCs w:val="15"/>
                <w:color w:val="auto"/>
              </w:rPr>
            </w:pPr>
          </w:p>
        </w:tc>
        <w:tc>
          <w:tcPr>
            <w:tcW w:w="920" w:type="dxa"/>
            <w:vAlign w:val="bottom"/>
            <w:tcBorders>
              <w:bottom w:val="single" w:sz="8" w:color="003595"/>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60" w:type="dxa"/>
            <w:vAlign w:val="bottom"/>
            <w:tcBorders>
              <w:bottom w:val="single" w:sz="8" w:color="003595"/>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20" w:type="dxa"/>
            <w:vAlign w:val="bottom"/>
            <w:tcBorders>
              <w:bottom w:val="single" w:sz="8" w:color="003595"/>
              <w:right w:val="single" w:sz="8" w:color="auto"/>
            </w:tcBorders>
          </w:tcPr>
          <w:p>
            <w:pPr>
              <w:spacing w:after="0"/>
              <w:rPr>
                <w:sz w:val="15"/>
                <w:szCs w:val="15"/>
                <w:color w:val="auto"/>
              </w:rPr>
            </w:pPr>
          </w:p>
        </w:tc>
        <w:tc>
          <w:tcPr>
            <w:tcW w:w="120" w:type="dxa"/>
            <w:vAlign w:val="bottom"/>
            <w:tcBorders>
              <w:bottom w:val="single" w:sz="8" w:color="003595"/>
            </w:tcBorders>
          </w:tcPr>
          <w:p>
            <w:pPr>
              <w:spacing w:after="0"/>
              <w:rPr>
                <w:sz w:val="15"/>
                <w:szCs w:val="15"/>
                <w:color w:val="auto"/>
              </w:rPr>
            </w:pPr>
          </w:p>
        </w:tc>
        <w:tc>
          <w:tcPr>
            <w:tcW w:w="740" w:type="dxa"/>
            <w:vAlign w:val="bottom"/>
            <w:tcBorders>
              <w:bottom w:val="single" w:sz="8" w:color="003595"/>
            </w:tcBorders>
          </w:tcPr>
          <w:p>
            <w:pPr>
              <w:spacing w:after="0"/>
              <w:rPr>
                <w:sz w:val="15"/>
                <w:szCs w:val="15"/>
                <w:color w:val="auto"/>
              </w:rPr>
            </w:pPr>
          </w:p>
        </w:tc>
        <w:tc>
          <w:tcPr>
            <w:tcW w:w="160" w:type="dxa"/>
            <w:vAlign w:val="bottom"/>
            <w:tcBorders>
              <w:bottom w:val="single" w:sz="8" w:color="003595"/>
              <w:right w:val="single" w:sz="8" w:color="auto"/>
            </w:tcBorders>
          </w:tcPr>
          <w:p>
            <w:pPr>
              <w:spacing w:after="0"/>
              <w:rPr>
                <w:sz w:val="15"/>
                <w:szCs w:val="15"/>
                <w:color w:val="auto"/>
              </w:rPr>
            </w:pPr>
          </w:p>
        </w:tc>
        <w:tc>
          <w:tcPr>
            <w:tcW w:w="1020" w:type="dxa"/>
            <w:vAlign w:val="bottom"/>
            <w:tcBorders>
              <w:bottom w:val="single" w:sz="8" w:color="003595"/>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4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003595"/>
              </w:rPr>
              <w:t>Lee N. Newcomer M.D.</w:t>
            </w:r>
          </w:p>
        </w:tc>
        <w:tc>
          <w:tcPr>
            <w:tcW w:w="9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860" w:type="dxa"/>
            <w:vAlign w:val="bottom"/>
            <w:tcBorders>
              <w:right w:val="single" w:sz="8" w:color="auto"/>
            </w:tcBorders>
            <w:gridSpan w:val="2"/>
            <w:vMerge w:val="restart"/>
          </w:tcPr>
          <w:p>
            <w:pPr>
              <w:jc w:val="center"/>
              <w:ind w:right="160"/>
              <w:spacing w:after="0" w:line="131" w:lineRule="exact"/>
              <w:rPr>
                <w:sz w:val="20"/>
                <w:szCs w:val="20"/>
                <w:color w:val="auto"/>
              </w:rPr>
            </w:pPr>
            <w:r>
              <w:rPr>
                <w:rFonts w:ascii="MS PGothic" w:cs="MS PGothic" w:eastAsia="MS PGothic" w:hAnsi="MS PGothic"/>
                <w:sz w:val="13"/>
                <w:szCs w:val="13"/>
                <w:color w:val="003595"/>
                <w:w w:val="76"/>
              </w:rPr>
              <w:t>✓</w:t>
            </w:r>
          </w:p>
        </w:tc>
        <w:tc>
          <w:tcPr>
            <w:tcW w:w="100" w:type="dxa"/>
            <w:vAlign w:val="bottom"/>
          </w:tcPr>
          <w:p>
            <w:pPr>
              <w:spacing w:after="0"/>
              <w:rPr>
                <w:sz w:val="15"/>
                <w:szCs w:val="15"/>
                <w:color w:val="auto"/>
              </w:rPr>
            </w:pPr>
          </w:p>
        </w:tc>
        <w:tc>
          <w:tcPr>
            <w:tcW w:w="820" w:type="dxa"/>
            <w:vAlign w:val="bottom"/>
            <w:tcBorders>
              <w:right w:val="single" w:sz="8" w:color="auto"/>
            </w:tcBorders>
            <w:gridSpan w:val="2"/>
            <w:vMerge w:val="restart"/>
          </w:tcPr>
          <w:p>
            <w:pPr>
              <w:jc w:val="center"/>
              <w:ind w:right="120"/>
              <w:spacing w:after="0" w:line="131" w:lineRule="exact"/>
              <w:rPr>
                <w:sz w:val="20"/>
                <w:szCs w:val="20"/>
                <w:color w:val="auto"/>
              </w:rPr>
            </w:pPr>
            <w:r>
              <w:rPr>
                <w:rFonts w:ascii="MS PGothic" w:cs="MS PGothic" w:eastAsia="MS PGothic" w:hAnsi="MS PGothic"/>
                <w:sz w:val="13"/>
                <w:szCs w:val="13"/>
                <w:color w:val="003595"/>
                <w:w w:val="76"/>
              </w:rPr>
              <w:t>✓</w:t>
            </w:r>
          </w:p>
        </w:tc>
        <w:tc>
          <w:tcPr>
            <w:tcW w:w="92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shd w:val="clear" w:color="auto" w:fill="000000"/>
          </w:tcPr>
          <w:p>
            <w:pPr>
              <w:spacing w:after="0"/>
              <w:rPr>
                <w:sz w:val="15"/>
                <w:szCs w:val="15"/>
                <w:color w:val="auto"/>
              </w:rPr>
            </w:pPr>
          </w:p>
        </w:tc>
        <w:tc>
          <w:tcPr>
            <w:tcW w:w="10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shd w:val="clear" w:color="auto" w:fill="000000"/>
          </w:tcPr>
          <w:p>
            <w:pPr>
              <w:spacing w:after="0"/>
              <w:rPr>
                <w:sz w:val="15"/>
                <w:szCs w:val="15"/>
                <w:color w:val="auto"/>
              </w:rPr>
            </w:pPr>
          </w:p>
        </w:tc>
        <w:tc>
          <w:tcPr>
            <w:tcW w:w="1020" w:type="dxa"/>
            <w:vAlign w:val="bottom"/>
            <w:tcBorders>
              <w:right w:val="single" w:sz="8" w:color="auto"/>
            </w:tcBorders>
            <w:vMerge w:val="restart"/>
          </w:tcPr>
          <w:p>
            <w:pPr>
              <w:jc w:val="center"/>
              <w:spacing w:after="0" w:line="131" w:lineRule="exact"/>
              <w:rPr>
                <w:sz w:val="20"/>
                <w:szCs w:val="20"/>
                <w:color w:val="auto"/>
              </w:rPr>
            </w:pPr>
            <w:r>
              <w:rPr>
                <w:rFonts w:ascii="MS PGothic" w:cs="MS PGothic" w:eastAsia="MS PGothic" w:hAnsi="MS PGothic"/>
                <w:sz w:val="13"/>
                <w:szCs w:val="13"/>
                <w:color w:val="003595"/>
                <w:w w:val="91"/>
              </w:rPr>
              <w:t>✓</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0" w:type="dxa"/>
            <w:vAlign w:val="bottom"/>
          </w:tcPr>
          <w:p>
            <w:pPr>
              <w:spacing w:after="0"/>
              <w:rPr>
                <w:sz w:val="1"/>
                <w:szCs w:val="1"/>
                <w:color w:val="auto"/>
              </w:rPr>
            </w:pPr>
          </w:p>
        </w:tc>
      </w:tr>
      <w:tr>
        <w:trPr>
          <w:trHeight w:val="120"/>
        </w:trPr>
        <w:tc>
          <w:tcPr>
            <w:tcW w:w="2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3"/>
                <w:szCs w:val="13"/>
                <w:color w:val="003595"/>
              </w:rPr>
              <w:t>Director</w:t>
            </w:r>
          </w:p>
        </w:tc>
        <w:tc>
          <w:tcPr>
            <w:tcW w:w="9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Borders>
              <w:left w:val="single" w:sz="8" w:color="auto"/>
            </w:tcBorders>
          </w:tcPr>
          <w:p>
            <w:pPr>
              <w:spacing w:after="0"/>
              <w:rPr>
                <w:sz w:val="10"/>
                <w:szCs w:val="10"/>
                <w:color w:val="auto"/>
              </w:rPr>
            </w:pPr>
          </w:p>
        </w:tc>
        <w:tc>
          <w:tcPr>
            <w:tcW w:w="86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right w:val="single" w:sz="8" w:color="auto"/>
            </w:tcBorders>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4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003595"/>
              <w:right w:val="single" w:sz="8" w:color="auto"/>
            </w:tcBorders>
          </w:tcPr>
          <w:p>
            <w:pPr>
              <w:spacing w:after="0"/>
              <w:rPr>
                <w:sz w:val="2"/>
                <w:szCs w:val="2"/>
                <w:color w:val="auto"/>
              </w:rPr>
            </w:pPr>
          </w:p>
        </w:tc>
        <w:tc>
          <w:tcPr>
            <w:tcW w:w="94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60" w:type="dxa"/>
            <w:vAlign w:val="bottom"/>
            <w:tcBorders>
              <w:bottom w:val="single" w:sz="8" w:color="003595"/>
            </w:tcBorders>
          </w:tcPr>
          <w:p>
            <w:pPr>
              <w:spacing w:after="0"/>
              <w:rPr>
                <w:sz w:val="2"/>
                <w:szCs w:val="2"/>
                <w:color w:val="auto"/>
              </w:rPr>
            </w:pPr>
          </w:p>
        </w:tc>
        <w:tc>
          <w:tcPr>
            <w:tcW w:w="160" w:type="dxa"/>
            <w:vAlign w:val="bottom"/>
            <w:tcBorders>
              <w:left w:val="single" w:sz="8" w:color="auto"/>
              <w:bottom w:val="single" w:sz="8" w:color="003595"/>
            </w:tcBorders>
          </w:tcPr>
          <w:p>
            <w:pPr>
              <w:spacing w:after="0"/>
              <w:rPr>
                <w:sz w:val="2"/>
                <w:szCs w:val="2"/>
                <w:color w:val="auto"/>
              </w:rPr>
            </w:pPr>
          </w:p>
        </w:tc>
        <w:tc>
          <w:tcPr>
            <w:tcW w:w="680" w:type="dxa"/>
            <w:vAlign w:val="bottom"/>
            <w:tcBorders>
              <w:bottom w:val="single" w:sz="8" w:color="003595"/>
            </w:tcBorders>
          </w:tcPr>
          <w:p>
            <w:pPr>
              <w:spacing w:after="0"/>
              <w:rPr>
                <w:sz w:val="2"/>
                <w:szCs w:val="2"/>
                <w:color w:val="auto"/>
              </w:rPr>
            </w:pPr>
          </w:p>
        </w:tc>
        <w:tc>
          <w:tcPr>
            <w:tcW w:w="180" w:type="dxa"/>
            <w:vAlign w:val="bottom"/>
            <w:tcBorders>
              <w:bottom w:val="single" w:sz="8" w:color="003595"/>
              <w:right w:val="single" w:sz="8" w:color="auto"/>
            </w:tcBorders>
          </w:tcPr>
          <w:p>
            <w:pPr>
              <w:spacing w:after="0"/>
              <w:rPr>
                <w:sz w:val="2"/>
                <w:szCs w:val="2"/>
                <w:color w:val="auto"/>
              </w:rPr>
            </w:pPr>
          </w:p>
        </w:tc>
        <w:tc>
          <w:tcPr>
            <w:tcW w:w="100" w:type="dxa"/>
            <w:vAlign w:val="bottom"/>
            <w:tcBorders>
              <w:bottom w:val="single" w:sz="8" w:color="003595"/>
            </w:tcBorders>
          </w:tcPr>
          <w:p>
            <w:pPr>
              <w:spacing w:after="0"/>
              <w:rPr>
                <w:sz w:val="2"/>
                <w:szCs w:val="2"/>
                <w:color w:val="auto"/>
              </w:rPr>
            </w:pPr>
          </w:p>
        </w:tc>
        <w:tc>
          <w:tcPr>
            <w:tcW w:w="700" w:type="dxa"/>
            <w:vAlign w:val="bottom"/>
            <w:tcBorders>
              <w:bottom w:val="single" w:sz="8" w:color="003595"/>
            </w:tcBorders>
          </w:tcPr>
          <w:p>
            <w:pPr>
              <w:spacing w:after="0"/>
              <w:rPr>
                <w:sz w:val="2"/>
                <w:szCs w:val="2"/>
                <w:color w:val="auto"/>
              </w:rPr>
            </w:pPr>
          </w:p>
        </w:tc>
        <w:tc>
          <w:tcPr>
            <w:tcW w:w="120" w:type="dxa"/>
            <w:vAlign w:val="bottom"/>
            <w:tcBorders>
              <w:bottom w:val="single" w:sz="8" w:color="003595"/>
              <w:right w:val="single" w:sz="8" w:color="auto"/>
            </w:tcBorders>
          </w:tcPr>
          <w:p>
            <w:pPr>
              <w:spacing w:after="0"/>
              <w:rPr>
                <w:sz w:val="2"/>
                <w:szCs w:val="2"/>
                <w:color w:val="auto"/>
              </w:rPr>
            </w:pPr>
          </w:p>
        </w:tc>
        <w:tc>
          <w:tcPr>
            <w:tcW w:w="92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6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20" w:type="dxa"/>
            <w:vAlign w:val="bottom"/>
            <w:tcBorders>
              <w:bottom w:val="single" w:sz="8" w:color="003595"/>
              <w:right w:val="single" w:sz="8" w:color="auto"/>
            </w:tcBorders>
          </w:tcPr>
          <w:p>
            <w:pPr>
              <w:spacing w:after="0"/>
              <w:rPr>
                <w:sz w:val="2"/>
                <w:szCs w:val="2"/>
                <w:color w:val="auto"/>
              </w:rPr>
            </w:pPr>
          </w:p>
        </w:tc>
        <w:tc>
          <w:tcPr>
            <w:tcW w:w="120" w:type="dxa"/>
            <w:vAlign w:val="bottom"/>
            <w:tcBorders>
              <w:bottom w:val="single" w:sz="8" w:color="003595"/>
            </w:tcBorders>
          </w:tcPr>
          <w:p>
            <w:pPr>
              <w:spacing w:after="0"/>
              <w:rPr>
                <w:sz w:val="2"/>
                <w:szCs w:val="2"/>
                <w:color w:val="auto"/>
              </w:rPr>
            </w:pPr>
          </w:p>
        </w:tc>
        <w:tc>
          <w:tcPr>
            <w:tcW w:w="740" w:type="dxa"/>
            <w:vAlign w:val="bottom"/>
            <w:tcBorders>
              <w:bottom w:val="single" w:sz="8" w:color="003595"/>
            </w:tcBorders>
          </w:tcPr>
          <w:p>
            <w:pPr>
              <w:spacing w:after="0"/>
              <w:rPr>
                <w:sz w:val="2"/>
                <w:szCs w:val="2"/>
                <w:color w:val="auto"/>
              </w:rPr>
            </w:pPr>
          </w:p>
        </w:tc>
        <w:tc>
          <w:tcPr>
            <w:tcW w:w="160" w:type="dxa"/>
            <w:vAlign w:val="bottom"/>
            <w:tcBorders>
              <w:bottom w:val="single" w:sz="8" w:color="003595"/>
              <w:right w:val="single" w:sz="8" w:color="auto"/>
            </w:tcBorders>
          </w:tcPr>
          <w:p>
            <w:pPr>
              <w:spacing w:after="0"/>
              <w:rPr>
                <w:sz w:val="2"/>
                <w:szCs w:val="2"/>
                <w:color w:val="auto"/>
              </w:rPr>
            </w:pPr>
          </w:p>
        </w:tc>
        <w:tc>
          <w:tcPr>
            <w:tcW w:w="1020" w:type="dxa"/>
            <w:vAlign w:val="bottom"/>
            <w:tcBorders>
              <w:bottom w:val="single" w:sz="8" w:color="003595"/>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4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003595"/>
              </w:rPr>
              <w:t>Samraat S. Raha</w:t>
            </w:r>
          </w:p>
        </w:tc>
        <w:tc>
          <w:tcPr>
            <w:tcW w:w="94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shd w:val="clear" w:color="auto" w:fill="000000"/>
          </w:tcPr>
          <w:p>
            <w:pPr>
              <w:spacing w:after="0"/>
              <w:rPr>
                <w:sz w:val="16"/>
                <w:szCs w:val="16"/>
                <w:color w:val="auto"/>
              </w:rPr>
            </w:pPr>
          </w:p>
        </w:tc>
        <w:tc>
          <w:tcPr>
            <w:tcW w:w="9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003595"/>
                <w:w w:val="91"/>
              </w:rPr>
              <w:t>✓</w:t>
            </w:r>
          </w:p>
        </w:tc>
        <w:tc>
          <w:tcPr>
            <w:tcW w:w="160" w:type="dxa"/>
            <w:vAlign w:val="bottom"/>
            <w:tcBorders>
              <w:left w:val="single" w:sz="8" w:color="auto"/>
            </w:tcBorders>
          </w:tcPr>
          <w:p>
            <w:pPr>
              <w:spacing w:after="0"/>
              <w:rPr>
                <w:sz w:val="16"/>
                <w:szCs w:val="16"/>
                <w:color w:val="auto"/>
              </w:rPr>
            </w:pPr>
          </w:p>
        </w:tc>
        <w:tc>
          <w:tcPr>
            <w:tcW w:w="860" w:type="dxa"/>
            <w:vAlign w:val="bottom"/>
            <w:tcBorders>
              <w:right w:val="single" w:sz="8" w:color="auto"/>
            </w:tcBorders>
            <w:gridSpan w:val="2"/>
            <w:vMerge w:val="restart"/>
          </w:tcPr>
          <w:p>
            <w:pPr>
              <w:jc w:val="center"/>
              <w:ind w:right="160"/>
              <w:spacing w:after="0" w:line="131" w:lineRule="exact"/>
              <w:rPr>
                <w:sz w:val="20"/>
                <w:szCs w:val="20"/>
                <w:color w:val="auto"/>
              </w:rPr>
            </w:pPr>
            <w:r>
              <w:rPr>
                <w:rFonts w:ascii="MS PGothic" w:cs="MS PGothic" w:eastAsia="MS PGothic" w:hAnsi="MS PGothic"/>
                <w:sz w:val="13"/>
                <w:szCs w:val="13"/>
                <w:color w:val="003595"/>
                <w:w w:val="76"/>
              </w:rPr>
              <w:t>✓</w:t>
            </w:r>
          </w:p>
        </w:tc>
        <w:tc>
          <w:tcPr>
            <w:tcW w:w="100" w:type="dxa"/>
            <w:vAlign w:val="bottom"/>
          </w:tcPr>
          <w:p>
            <w:pPr>
              <w:spacing w:after="0"/>
              <w:rPr>
                <w:sz w:val="16"/>
                <w:szCs w:val="16"/>
                <w:color w:val="auto"/>
              </w:rPr>
            </w:pPr>
          </w:p>
        </w:tc>
        <w:tc>
          <w:tcPr>
            <w:tcW w:w="820" w:type="dxa"/>
            <w:vAlign w:val="bottom"/>
            <w:tcBorders>
              <w:right w:val="single" w:sz="8" w:color="auto"/>
            </w:tcBorders>
            <w:gridSpan w:val="2"/>
            <w:vMerge w:val="restart"/>
          </w:tcPr>
          <w:p>
            <w:pPr>
              <w:jc w:val="center"/>
              <w:ind w:right="120"/>
              <w:spacing w:after="0" w:line="131" w:lineRule="exact"/>
              <w:rPr>
                <w:sz w:val="20"/>
                <w:szCs w:val="20"/>
                <w:color w:val="auto"/>
              </w:rPr>
            </w:pPr>
            <w:r>
              <w:rPr>
                <w:rFonts w:ascii="MS PGothic" w:cs="MS PGothic" w:eastAsia="MS PGothic" w:hAnsi="MS PGothic"/>
                <w:sz w:val="13"/>
                <w:szCs w:val="13"/>
                <w:color w:val="003595"/>
                <w:w w:val="76"/>
              </w:rPr>
              <w:t>✓</w:t>
            </w:r>
          </w:p>
        </w:tc>
        <w:tc>
          <w:tcPr>
            <w:tcW w:w="92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shd w:val="clear" w:color="auto" w:fill="000000"/>
          </w:tcPr>
          <w:p>
            <w:pPr>
              <w:spacing w:after="0"/>
              <w:rPr>
                <w:sz w:val="16"/>
                <w:szCs w:val="16"/>
                <w:color w:val="auto"/>
              </w:rPr>
            </w:pPr>
          </w:p>
        </w:tc>
        <w:tc>
          <w:tcPr>
            <w:tcW w:w="10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shd w:val="clear" w:color="auto" w:fill="000000"/>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Borders>
              <w:right w:val="single" w:sz="8" w:color="76777A"/>
            </w:tcBorders>
          </w:tcPr>
          <w:p>
            <w:pPr>
              <w:spacing w:after="0"/>
              <w:rPr>
                <w:sz w:val="16"/>
                <w:szCs w:val="16"/>
                <w:color w:val="auto"/>
              </w:rPr>
            </w:pPr>
          </w:p>
        </w:tc>
        <w:tc>
          <w:tcPr>
            <w:tcW w:w="1020" w:type="dxa"/>
            <w:vAlign w:val="bottom"/>
            <w:tcBorders>
              <w:right w:val="single" w:sz="8" w:color="76777A"/>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2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003595"/>
              </w:rPr>
              <w:t>President, CEO &amp; Director</w:t>
            </w:r>
          </w:p>
        </w:tc>
        <w:tc>
          <w:tcPr>
            <w:tcW w:w="94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960" w:type="dxa"/>
            <w:vAlign w:val="bottom"/>
            <w:vMerge w:val="continue"/>
          </w:tcPr>
          <w:p>
            <w:pPr>
              <w:spacing w:after="0"/>
              <w:rPr>
                <w:sz w:val="10"/>
                <w:szCs w:val="10"/>
                <w:color w:val="auto"/>
              </w:rPr>
            </w:pPr>
          </w:p>
        </w:tc>
        <w:tc>
          <w:tcPr>
            <w:tcW w:w="160" w:type="dxa"/>
            <w:vAlign w:val="bottom"/>
            <w:tcBorders>
              <w:left w:val="single" w:sz="8" w:color="auto"/>
            </w:tcBorders>
          </w:tcPr>
          <w:p>
            <w:pPr>
              <w:spacing w:after="0"/>
              <w:rPr>
                <w:sz w:val="10"/>
                <w:szCs w:val="10"/>
                <w:color w:val="auto"/>
              </w:rPr>
            </w:pPr>
          </w:p>
        </w:tc>
        <w:tc>
          <w:tcPr>
            <w:tcW w:w="86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right w:val="single" w:sz="8" w:color="auto"/>
            </w:tcBorders>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right w:val="single" w:sz="8" w:color="76777A"/>
            </w:tcBorders>
          </w:tcPr>
          <w:p>
            <w:pPr>
              <w:spacing w:after="0"/>
              <w:rPr>
                <w:sz w:val="10"/>
                <w:szCs w:val="10"/>
                <w:color w:val="auto"/>
              </w:rPr>
            </w:pPr>
          </w:p>
        </w:tc>
        <w:tc>
          <w:tcPr>
            <w:tcW w:w="1020" w:type="dxa"/>
            <w:vAlign w:val="bottom"/>
            <w:tcBorders>
              <w:right w:val="single" w:sz="8" w:color="76777A"/>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40" w:type="dxa"/>
            <w:vAlign w:val="bottom"/>
            <w:tcBorders>
              <w:right w:val="single" w:sz="8" w:color="auto"/>
            </w:tcBorders>
            <w:vMerge w:val="continue"/>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lef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Borders>
              <w:right w:val="single" w:sz="8" w:color="76777A"/>
            </w:tcBorders>
          </w:tcPr>
          <w:p>
            <w:pPr>
              <w:spacing w:after="0"/>
              <w:rPr>
                <w:sz w:val="12"/>
                <w:szCs w:val="12"/>
                <w:color w:val="auto"/>
              </w:rPr>
            </w:pPr>
          </w:p>
        </w:tc>
        <w:tc>
          <w:tcPr>
            <w:tcW w:w="1020" w:type="dxa"/>
            <w:vAlign w:val="bottom"/>
            <w:tcBorders>
              <w:right w:val="single" w:sz="8" w:color="76777A"/>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240" w:type="dxa"/>
            <w:vAlign w:val="bottom"/>
            <w:tcBorders>
              <w:top w:val="single" w:sz="8" w:color="003595"/>
              <w:right w:val="single" w:sz="8" w:color="auto"/>
            </w:tcBorders>
          </w:tcPr>
          <w:p>
            <w:pPr>
              <w:ind w:left="60"/>
              <w:spacing w:after="0"/>
              <w:rPr>
                <w:sz w:val="20"/>
                <w:szCs w:val="20"/>
                <w:color w:val="auto"/>
              </w:rPr>
            </w:pPr>
            <w:r>
              <w:rPr>
                <w:rFonts w:ascii="Arial" w:cs="Arial" w:eastAsia="Arial" w:hAnsi="Arial"/>
                <w:sz w:val="13"/>
                <w:szCs w:val="13"/>
                <w:b w:val="1"/>
                <w:bCs w:val="1"/>
                <w:color w:val="003595"/>
              </w:rPr>
              <w:t>Colleen F. Reitan</w:t>
            </w:r>
          </w:p>
        </w:tc>
        <w:tc>
          <w:tcPr>
            <w:tcW w:w="940" w:type="dxa"/>
            <w:vAlign w:val="bottom"/>
            <w:tcBorders>
              <w:top w:val="single" w:sz="8" w:color="003595"/>
            </w:tcBorders>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tcBorders>
              <w:top w:val="single" w:sz="8" w:color="auto"/>
            </w:tcBorders>
            <w:shd w:val="clear" w:color="auto" w:fill="000000"/>
          </w:tcPr>
          <w:p>
            <w:pPr>
              <w:spacing w:after="0"/>
              <w:rPr>
                <w:sz w:val="14"/>
                <w:szCs w:val="14"/>
                <w:color w:val="auto"/>
              </w:rPr>
            </w:pPr>
          </w:p>
        </w:tc>
        <w:tc>
          <w:tcPr>
            <w:tcW w:w="960" w:type="dxa"/>
            <w:vAlign w:val="bottom"/>
            <w:tcBorders>
              <w:top w:val="single" w:sz="8" w:color="003595"/>
            </w:tcBorders>
          </w:tcPr>
          <w:p>
            <w:pPr>
              <w:jc w:val="center"/>
              <w:spacing w:after="0" w:line="131" w:lineRule="exact"/>
              <w:rPr>
                <w:sz w:val="20"/>
                <w:szCs w:val="20"/>
                <w:color w:val="auto"/>
              </w:rPr>
            </w:pPr>
            <w:r>
              <w:rPr>
                <w:rFonts w:ascii="MS PGothic" w:cs="MS PGothic" w:eastAsia="MS PGothic" w:hAnsi="MS PGothic"/>
                <w:sz w:val="13"/>
                <w:szCs w:val="13"/>
                <w:color w:val="003595"/>
                <w:w w:val="91"/>
              </w:rPr>
              <w:t>✓</w:t>
            </w:r>
          </w:p>
        </w:tc>
        <w:tc>
          <w:tcPr>
            <w:tcW w:w="160" w:type="dxa"/>
            <w:vAlign w:val="bottom"/>
            <w:tcBorders>
              <w:top w:val="single" w:sz="8" w:color="003595"/>
              <w:left w:val="single" w:sz="8" w:color="auto"/>
            </w:tcBorders>
          </w:tcPr>
          <w:p>
            <w:pPr>
              <w:spacing w:after="0"/>
              <w:rPr>
                <w:sz w:val="14"/>
                <w:szCs w:val="14"/>
                <w:color w:val="auto"/>
              </w:rPr>
            </w:pPr>
          </w:p>
        </w:tc>
        <w:tc>
          <w:tcPr>
            <w:tcW w:w="860" w:type="dxa"/>
            <w:vAlign w:val="bottom"/>
            <w:tcBorders>
              <w:top w:val="single" w:sz="8" w:color="003595"/>
              <w:right w:val="single" w:sz="8" w:color="auto"/>
            </w:tcBorders>
            <w:gridSpan w:val="2"/>
          </w:tcPr>
          <w:p>
            <w:pPr>
              <w:jc w:val="center"/>
              <w:ind w:right="160"/>
              <w:spacing w:after="0" w:line="131" w:lineRule="exact"/>
              <w:rPr>
                <w:sz w:val="20"/>
                <w:szCs w:val="20"/>
                <w:color w:val="auto"/>
              </w:rPr>
            </w:pPr>
            <w:r>
              <w:rPr>
                <w:rFonts w:ascii="MS PGothic" w:cs="MS PGothic" w:eastAsia="MS PGothic" w:hAnsi="MS PGothic"/>
                <w:sz w:val="13"/>
                <w:szCs w:val="13"/>
                <w:color w:val="003595"/>
                <w:w w:val="76"/>
              </w:rPr>
              <w:t>✓</w:t>
            </w:r>
          </w:p>
        </w:tc>
        <w:tc>
          <w:tcPr>
            <w:tcW w:w="100" w:type="dxa"/>
            <w:vAlign w:val="bottom"/>
            <w:tcBorders>
              <w:top w:val="single" w:sz="8" w:color="003595"/>
            </w:tcBorders>
          </w:tcPr>
          <w:p>
            <w:pPr>
              <w:spacing w:after="0"/>
              <w:rPr>
                <w:sz w:val="14"/>
                <w:szCs w:val="14"/>
                <w:color w:val="auto"/>
              </w:rPr>
            </w:pPr>
          </w:p>
        </w:tc>
        <w:tc>
          <w:tcPr>
            <w:tcW w:w="820" w:type="dxa"/>
            <w:vAlign w:val="bottom"/>
            <w:tcBorders>
              <w:top w:val="single" w:sz="8" w:color="003595"/>
              <w:right w:val="single" w:sz="8" w:color="auto"/>
            </w:tcBorders>
            <w:gridSpan w:val="2"/>
          </w:tcPr>
          <w:p>
            <w:pPr>
              <w:jc w:val="center"/>
              <w:ind w:right="120"/>
              <w:spacing w:after="0" w:line="131" w:lineRule="exact"/>
              <w:rPr>
                <w:sz w:val="20"/>
                <w:szCs w:val="20"/>
                <w:color w:val="auto"/>
              </w:rPr>
            </w:pPr>
            <w:r>
              <w:rPr>
                <w:rFonts w:ascii="MS PGothic" w:cs="MS PGothic" w:eastAsia="MS PGothic" w:hAnsi="MS PGothic"/>
                <w:sz w:val="13"/>
                <w:szCs w:val="13"/>
                <w:color w:val="003595"/>
                <w:w w:val="76"/>
              </w:rPr>
              <w:t>✓</w:t>
            </w:r>
          </w:p>
        </w:tc>
        <w:tc>
          <w:tcPr>
            <w:tcW w:w="920" w:type="dxa"/>
            <w:vAlign w:val="bottom"/>
            <w:tcBorders>
              <w:top w:val="single" w:sz="8" w:color="003595"/>
            </w:tcBorders>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060" w:type="dxa"/>
            <w:vAlign w:val="bottom"/>
            <w:tcBorders>
              <w:top w:val="single" w:sz="8" w:color="003595"/>
            </w:tcBorders>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020" w:type="dxa"/>
            <w:vAlign w:val="bottom"/>
            <w:tcBorders>
              <w:top w:val="single" w:sz="8" w:color="003595"/>
              <w:right w:val="single" w:sz="8" w:color="auto"/>
            </w:tcBorders>
          </w:tcPr>
          <w:p>
            <w:pPr>
              <w:jc w:val="center"/>
              <w:spacing w:after="0" w:line="131" w:lineRule="exact"/>
              <w:rPr>
                <w:sz w:val="20"/>
                <w:szCs w:val="20"/>
                <w:color w:val="auto"/>
              </w:rPr>
            </w:pPr>
            <w:r>
              <w:rPr>
                <w:rFonts w:ascii="MS PGothic" w:cs="MS PGothic" w:eastAsia="MS PGothic" w:hAnsi="MS PGothic"/>
                <w:sz w:val="13"/>
                <w:szCs w:val="13"/>
                <w:color w:val="003595"/>
                <w:w w:val="91"/>
              </w:rPr>
              <w:t>✓</w:t>
            </w:r>
          </w:p>
        </w:tc>
        <w:tc>
          <w:tcPr>
            <w:tcW w:w="120" w:type="dxa"/>
            <w:vAlign w:val="bottom"/>
            <w:tcBorders>
              <w:top w:val="single" w:sz="8" w:color="003595"/>
            </w:tcBorders>
          </w:tcPr>
          <w:p>
            <w:pPr>
              <w:spacing w:after="0"/>
              <w:rPr>
                <w:sz w:val="14"/>
                <w:szCs w:val="14"/>
                <w:color w:val="auto"/>
              </w:rPr>
            </w:pPr>
          </w:p>
        </w:tc>
        <w:tc>
          <w:tcPr>
            <w:tcW w:w="900" w:type="dxa"/>
            <w:vAlign w:val="bottom"/>
            <w:tcBorders>
              <w:top w:val="single" w:sz="8" w:color="003595"/>
              <w:right w:val="single" w:sz="8" w:color="auto"/>
            </w:tcBorders>
            <w:gridSpan w:val="2"/>
          </w:tcPr>
          <w:p>
            <w:pPr>
              <w:jc w:val="center"/>
              <w:ind w:right="160"/>
              <w:spacing w:after="0" w:line="131" w:lineRule="exact"/>
              <w:rPr>
                <w:sz w:val="20"/>
                <w:szCs w:val="20"/>
                <w:color w:val="auto"/>
              </w:rPr>
            </w:pPr>
            <w:r>
              <w:rPr>
                <w:rFonts w:ascii="MS PGothic" w:cs="MS PGothic" w:eastAsia="MS PGothic" w:hAnsi="MS PGothic"/>
                <w:sz w:val="13"/>
                <w:szCs w:val="13"/>
                <w:color w:val="003595"/>
                <w:w w:val="76"/>
              </w:rPr>
              <w:t>✓</w:t>
            </w:r>
          </w:p>
        </w:tc>
        <w:tc>
          <w:tcPr>
            <w:tcW w:w="1020" w:type="dxa"/>
            <w:vAlign w:val="bottom"/>
            <w:tcBorders>
              <w:top w:val="single" w:sz="8" w:color="003595"/>
              <w:right w:val="single" w:sz="8" w:color="auto"/>
            </w:tcBorders>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0" w:type="dxa"/>
            <w:vAlign w:val="bottom"/>
          </w:tcPr>
          <w:p>
            <w:pPr>
              <w:spacing w:after="0"/>
              <w:rPr>
                <w:sz w:val="1"/>
                <w:szCs w:val="1"/>
                <w:color w:val="auto"/>
              </w:rPr>
            </w:pPr>
          </w:p>
        </w:tc>
      </w:tr>
      <w:tr>
        <w:trPr>
          <w:trHeight w:val="175"/>
        </w:trPr>
        <w:tc>
          <w:tcPr>
            <w:tcW w:w="2240" w:type="dxa"/>
            <w:vAlign w:val="bottom"/>
            <w:tcBorders>
              <w:bottom w:val="single" w:sz="8" w:color="003595"/>
              <w:right w:val="single" w:sz="8" w:color="auto"/>
            </w:tcBorders>
          </w:tcPr>
          <w:p>
            <w:pPr>
              <w:ind w:left="200"/>
              <w:spacing w:after="0"/>
              <w:rPr>
                <w:sz w:val="20"/>
                <w:szCs w:val="20"/>
                <w:color w:val="auto"/>
              </w:rPr>
            </w:pPr>
            <w:r>
              <w:rPr>
                <w:rFonts w:ascii="Arial" w:cs="Arial" w:eastAsia="Arial" w:hAnsi="Arial"/>
                <w:sz w:val="13"/>
                <w:szCs w:val="13"/>
                <w:color w:val="003595"/>
              </w:rPr>
              <w:t>Director</w:t>
            </w:r>
          </w:p>
        </w:tc>
        <w:tc>
          <w:tcPr>
            <w:tcW w:w="940" w:type="dxa"/>
            <w:vAlign w:val="bottom"/>
            <w:tcBorders>
              <w:bottom w:val="single" w:sz="8" w:color="003595"/>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960" w:type="dxa"/>
            <w:vAlign w:val="bottom"/>
            <w:tcBorders>
              <w:bottom w:val="single" w:sz="8" w:color="003595"/>
            </w:tcBorders>
          </w:tcPr>
          <w:p>
            <w:pPr>
              <w:spacing w:after="0"/>
              <w:rPr>
                <w:sz w:val="15"/>
                <w:szCs w:val="15"/>
                <w:color w:val="auto"/>
              </w:rPr>
            </w:pPr>
          </w:p>
        </w:tc>
        <w:tc>
          <w:tcPr>
            <w:tcW w:w="160" w:type="dxa"/>
            <w:vAlign w:val="bottom"/>
            <w:tcBorders>
              <w:left w:val="single" w:sz="8" w:color="auto"/>
              <w:bottom w:val="single" w:sz="8" w:color="003595"/>
            </w:tcBorders>
          </w:tcPr>
          <w:p>
            <w:pPr>
              <w:spacing w:after="0"/>
              <w:rPr>
                <w:sz w:val="15"/>
                <w:szCs w:val="15"/>
                <w:color w:val="auto"/>
              </w:rPr>
            </w:pPr>
          </w:p>
        </w:tc>
        <w:tc>
          <w:tcPr>
            <w:tcW w:w="680" w:type="dxa"/>
            <w:vAlign w:val="bottom"/>
            <w:tcBorders>
              <w:bottom w:val="single" w:sz="8" w:color="003595"/>
            </w:tcBorders>
          </w:tcPr>
          <w:p>
            <w:pPr>
              <w:spacing w:after="0"/>
              <w:rPr>
                <w:sz w:val="15"/>
                <w:szCs w:val="15"/>
                <w:color w:val="auto"/>
              </w:rPr>
            </w:pPr>
          </w:p>
        </w:tc>
        <w:tc>
          <w:tcPr>
            <w:tcW w:w="180" w:type="dxa"/>
            <w:vAlign w:val="bottom"/>
            <w:tcBorders>
              <w:bottom w:val="single" w:sz="8" w:color="003595"/>
              <w:right w:val="single" w:sz="8" w:color="auto"/>
            </w:tcBorders>
          </w:tcPr>
          <w:p>
            <w:pPr>
              <w:spacing w:after="0"/>
              <w:rPr>
                <w:sz w:val="15"/>
                <w:szCs w:val="15"/>
                <w:color w:val="auto"/>
              </w:rPr>
            </w:pPr>
          </w:p>
        </w:tc>
        <w:tc>
          <w:tcPr>
            <w:tcW w:w="100" w:type="dxa"/>
            <w:vAlign w:val="bottom"/>
            <w:tcBorders>
              <w:bottom w:val="single" w:sz="8" w:color="003595"/>
            </w:tcBorders>
          </w:tcPr>
          <w:p>
            <w:pPr>
              <w:spacing w:after="0"/>
              <w:rPr>
                <w:sz w:val="15"/>
                <w:szCs w:val="15"/>
                <w:color w:val="auto"/>
              </w:rPr>
            </w:pPr>
          </w:p>
        </w:tc>
        <w:tc>
          <w:tcPr>
            <w:tcW w:w="700" w:type="dxa"/>
            <w:vAlign w:val="bottom"/>
            <w:tcBorders>
              <w:bottom w:val="single" w:sz="8" w:color="003595"/>
            </w:tcBorders>
          </w:tcPr>
          <w:p>
            <w:pPr>
              <w:spacing w:after="0"/>
              <w:rPr>
                <w:sz w:val="15"/>
                <w:szCs w:val="15"/>
                <w:color w:val="auto"/>
              </w:rPr>
            </w:pPr>
          </w:p>
        </w:tc>
        <w:tc>
          <w:tcPr>
            <w:tcW w:w="120" w:type="dxa"/>
            <w:vAlign w:val="bottom"/>
            <w:tcBorders>
              <w:bottom w:val="single" w:sz="8" w:color="003595"/>
              <w:right w:val="single" w:sz="8" w:color="auto"/>
            </w:tcBorders>
          </w:tcPr>
          <w:p>
            <w:pPr>
              <w:spacing w:after="0"/>
              <w:rPr>
                <w:sz w:val="15"/>
                <w:szCs w:val="15"/>
                <w:color w:val="auto"/>
              </w:rPr>
            </w:pPr>
          </w:p>
        </w:tc>
        <w:tc>
          <w:tcPr>
            <w:tcW w:w="920" w:type="dxa"/>
            <w:vAlign w:val="bottom"/>
            <w:tcBorders>
              <w:bottom w:val="single" w:sz="8" w:color="003595"/>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60" w:type="dxa"/>
            <w:vAlign w:val="bottom"/>
            <w:tcBorders>
              <w:bottom w:val="single" w:sz="8" w:color="003595"/>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20" w:type="dxa"/>
            <w:vAlign w:val="bottom"/>
            <w:tcBorders>
              <w:bottom w:val="single" w:sz="8" w:color="003595"/>
              <w:right w:val="single" w:sz="8" w:color="auto"/>
            </w:tcBorders>
          </w:tcPr>
          <w:p>
            <w:pPr>
              <w:spacing w:after="0"/>
              <w:rPr>
                <w:sz w:val="15"/>
                <w:szCs w:val="15"/>
                <w:color w:val="auto"/>
              </w:rPr>
            </w:pPr>
          </w:p>
        </w:tc>
        <w:tc>
          <w:tcPr>
            <w:tcW w:w="120" w:type="dxa"/>
            <w:vAlign w:val="bottom"/>
            <w:tcBorders>
              <w:bottom w:val="single" w:sz="8" w:color="003595"/>
            </w:tcBorders>
          </w:tcPr>
          <w:p>
            <w:pPr>
              <w:spacing w:after="0"/>
              <w:rPr>
                <w:sz w:val="15"/>
                <w:szCs w:val="15"/>
                <w:color w:val="auto"/>
              </w:rPr>
            </w:pPr>
          </w:p>
        </w:tc>
        <w:tc>
          <w:tcPr>
            <w:tcW w:w="740" w:type="dxa"/>
            <w:vAlign w:val="bottom"/>
            <w:tcBorders>
              <w:bottom w:val="single" w:sz="8" w:color="003595"/>
            </w:tcBorders>
          </w:tcPr>
          <w:p>
            <w:pPr>
              <w:spacing w:after="0"/>
              <w:rPr>
                <w:sz w:val="15"/>
                <w:szCs w:val="15"/>
                <w:color w:val="auto"/>
              </w:rPr>
            </w:pPr>
          </w:p>
        </w:tc>
        <w:tc>
          <w:tcPr>
            <w:tcW w:w="160" w:type="dxa"/>
            <w:vAlign w:val="bottom"/>
            <w:tcBorders>
              <w:bottom w:val="single" w:sz="8" w:color="003595"/>
              <w:right w:val="single" w:sz="8" w:color="auto"/>
            </w:tcBorders>
          </w:tcPr>
          <w:p>
            <w:pPr>
              <w:spacing w:after="0"/>
              <w:rPr>
                <w:sz w:val="15"/>
                <w:szCs w:val="15"/>
                <w:color w:val="auto"/>
              </w:rPr>
            </w:pPr>
          </w:p>
        </w:tc>
        <w:tc>
          <w:tcPr>
            <w:tcW w:w="1020" w:type="dxa"/>
            <w:vAlign w:val="bottom"/>
            <w:tcBorders>
              <w:bottom w:val="single" w:sz="8" w:color="003595"/>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224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003595"/>
              </w:rPr>
              <w:t>Daniel M. Skovronsky, M.D. Ph.D.</w:t>
            </w:r>
          </w:p>
        </w:tc>
        <w:tc>
          <w:tcPr>
            <w:tcW w:w="9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gridSpan w:val="2"/>
          </w:tcPr>
          <w:p>
            <w:pPr>
              <w:jc w:val="center"/>
              <w:ind w:right="160"/>
              <w:spacing w:after="0" w:line="131" w:lineRule="exact"/>
              <w:rPr>
                <w:sz w:val="20"/>
                <w:szCs w:val="20"/>
                <w:color w:val="auto"/>
              </w:rPr>
            </w:pPr>
            <w:r>
              <w:rPr>
                <w:rFonts w:ascii="MS PGothic" w:cs="MS PGothic" w:eastAsia="MS PGothic" w:hAnsi="MS PGothic"/>
                <w:sz w:val="13"/>
                <w:szCs w:val="13"/>
                <w:color w:val="003595"/>
                <w:w w:val="76"/>
              </w:rPr>
              <w:t>✓</w:t>
            </w:r>
          </w:p>
        </w:tc>
        <w:tc>
          <w:tcPr>
            <w:tcW w:w="100" w:type="dxa"/>
            <w:vAlign w:val="bottom"/>
          </w:tcPr>
          <w:p>
            <w:pPr>
              <w:spacing w:after="0"/>
              <w:rPr>
                <w:sz w:val="24"/>
                <w:szCs w:val="24"/>
                <w:color w:val="auto"/>
              </w:rPr>
            </w:pPr>
          </w:p>
        </w:tc>
        <w:tc>
          <w:tcPr>
            <w:tcW w:w="820" w:type="dxa"/>
            <w:vAlign w:val="bottom"/>
            <w:tcBorders>
              <w:right w:val="single" w:sz="8" w:color="auto"/>
            </w:tcBorders>
            <w:gridSpan w:val="2"/>
          </w:tcPr>
          <w:p>
            <w:pPr>
              <w:jc w:val="center"/>
              <w:ind w:right="120"/>
              <w:spacing w:after="0" w:line="131" w:lineRule="exact"/>
              <w:rPr>
                <w:sz w:val="20"/>
                <w:szCs w:val="20"/>
                <w:color w:val="auto"/>
              </w:rPr>
            </w:pPr>
            <w:r>
              <w:rPr>
                <w:rFonts w:ascii="MS PGothic" w:cs="MS PGothic" w:eastAsia="MS PGothic" w:hAnsi="MS PGothic"/>
                <w:sz w:val="13"/>
                <w:szCs w:val="13"/>
                <w:color w:val="003595"/>
                <w:w w:val="76"/>
              </w:rPr>
              <w:t>✓</w:t>
            </w:r>
          </w:p>
        </w:tc>
        <w:tc>
          <w:tcPr>
            <w:tcW w:w="920" w:type="dxa"/>
            <w:vAlign w:val="bottom"/>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shd w:val="clear" w:color="auto" w:fill="000000"/>
          </w:tcPr>
          <w:p>
            <w:pPr>
              <w:spacing w:after="0"/>
              <w:rPr>
                <w:sz w:val="24"/>
                <w:szCs w:val="24"/>
                <w:color w:val="auto"/>
              </w:rPr>
            </w:pPr>
          </w:p>
        </w:tc>
        <w:tc>
          <w:tcPr>
            <w:tcW w:w="1060" w:type="dxa"/>
            <w:vAlign w:val="bottom"/>
          </w:tcPr>
          <w:p>
            <w:pPr>
              <w:jc w:val="center"/>
              <w:spacing w:after="0" w:line="131" w:lineRule="exact"/>
              <w:rPr>
                <w:sz w:val="20"/>
                <w:szCs w:val="20"/>
                <w:color w:val="auto"/>
              </w:rPr>
            </w:pPr>
            <w:r>
              <w:rPr>
                <w:rFonts w:ascii="MS PGothic" w:cs="MS PGothic" w:eastAsia="MS PGothic" w:hAnsi="MS PGothic"/>
                <w:sz w:val="13"/>
                <w:szCs w:val="13"/>
                <w:color w:val="003595"/>
                <w:w w:val="76"/>
              </w:rPr>
              <w:t>✓</w:t>
            </w:r>
          </w:p>
        </w:tc>
        <w:tc>
          <w:tcPr>
            <w:tcW w:w="20" w:type="dxa"/>
            <w:vAlign w:val="bottom"/>
            <w:shd w:val="clear" w:color="auto" w:fill="000000"/>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24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003595"/>
              </w:rPr>
              <w:t>Director</w:t>
            </w:r>
          </w:p>
        </w:tc>
        <w:tc>
          <w:tcPr>
            <w:tcW w:w="9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lef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40" w:type="dxa"/>
            <w:vAlign w:val="bottom"/>
            <w:tcBorders>
              <w:bottom w:val="single" w:sz="8" w:color="003595"/>
              <w:right w:val="single" w:sz="8" w:color="auto"/>
            </w:tcBorders>
          </w:tcPr>
          <w:p>
            <w:pPr>
              <w:spacing w:after="0"/>
              <w:rPr>
                <w:sz w:val="2"/>
                <w:szCs w:val="2"/>
                <w:color w:val="auto"/>
              </w:rPr>
            </w:pPr>
          </w:p>
        </w:tc>
        <w:tc>
          <w:tcPr>
            <w:tcW w:w="94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60" w:type="dxa"/>
            <w:vAlign w:val="bottom"/>
            <w:tcBorders>
              <w:bottom w:val="single" w:sz="8" w:color="003595"/>
            </w:tcBorders>
          </w:tcPr>
          <w:p>
            <w:pPr>
              <w:spacing w:after="0"/>
              <w:rPr>
                <w:sz w:val="2"/>
                <w:szCs w:val="2"/>
                <w:color w:val="auto"/>
              </w:rPr>
            </w:pPr>
          </w:p>
        </w:tc>
        <w:tc>
          <w:tcPr>
            <w:tcW w:w="160" w:type="dxa"/>
            <w:vAlign w:val="bottom"/>
            <w:tcBorders>
              <w:left w:val="single" w:sz="8" w:color="auto"/>
              <w:bottom w:val="single" w:sz="8" w:color="003595"/>
            </w:tcBorders>
          </w:tcPr>
          <w:p>
            <w:pPr>
              <w:spacing w:after="0"/>
              <w:rPr>
                <w:sz w:val="2"/>
                <w:szCs w:val="2"/>
                <w:color w:val="auto"/>
              </w:rPr>
            </w:pPr>
          </w:p>
        </w:tc>
        <w:tc>
          <w:tcPr>
            <w:tcW w:w="680" w:type="dxa"/>
            <w:vAlign w:val="bottom"/>
            <w:tcBorders>
              <w:bottom w:val="single" w:sz="8" w:color="003595"/>
            </w:tcBorders>
          </w:tcPr>
          <w:p>
            <w:pPr>
              <w:spacing w:after="0"/>
              <w:rPr>
                <w:sz w:val="2"/>
                <w:szCs w:val="2"/>
                <w:color w:val="auto"/>
              </w:rPr>
            </w:pPr>
          </w:p>
        </w:tc>
        <w:tc>
          <w:tcPr>
            <w:tcW w:w="180" w:type="dxa"/>
            <w:vAlign w:val="bottom"/>
            <w:tcBorders>
              <w:bottom w:val="single" w:sz="8" w:color="003595"/>
              <w:right w:val="single" w:sz="8" w:color="auto"/>
            </w:tcBorders>
          </w:tcPr>
          <w:p>
            <w:pPr>
              <w:spacing w:after="0"/>
              <w:rPr>
                <w:sz w:val="2"/>
                <w:szCs w:val="2"/>
                <w:color w:val="auto"/>
              </w:rPr>
            </w:pPr>
          </w:p>
        </w:tc>
        <w:tc>
          <w:tcPr>
            <w:tcW w:w="100" w:type="dxa"/>
            <w:vAlign w:val="bottom"/>
            <w:tcBorders>
              <w:bottom w:val="single" w:sz="8" w:color="003595"/>
            </w:tcBorders>
          </w:tcPr>
          <w:p>
            <w:pPr>
              <w:spacing w:after="0"/>
              <w:rPr>
                <w:sz w:val="2"/>
                <w:szCs w:val="2"/>
                <w:color w:val="auto"/>
              </w:rPr>
            </w:pPr>
          </w:p>
        </w:tc>
        <w:tc>
          <w:tcPr>
            <w:tcW w:w="700" w:type="dxa"/>
            <w:vAlign w:val="bottom"/>
            <w:tcBorders>
              <w:bottom w:val="single" w:sz="8" w:color="003595"/>
            </w:tcBorders>
          </w:tcPr>
          <w:p>
            <w:pPr>
              <w:spacing w:after="0"/>
              <w:rPr>
                <w:sz w:val="2"/>
                <w:szCs w:val="2"/>
                <w:color w:val="auto"/>
              </w:rPr>
            </w:pPr>
          </w:p>
        </w:tc>
        <w:tc>
          <w:tcPr>
            <w:tcW w:w="120" w:type="dxa"/>
            <w:vAlign w:val="bottom"/>
            <w:tcBorders>
              <w:bottom w:val="single" w:sz="8" w:color="003595"/>
              <w:right w:val="single" w:sz="8" w:color="auto"/>
            </w:tcBorders>
          </w:tcPr>
          <w:p>
            <w:pPr>
              <w:spacing w:after="0"/>
              <w:rPr>
                <w:sz w:val="2"/>
                <w:szCs w:val="2"/>
                <w:color w:val="auto"/>
              </w:rPr>
            </w:pPr>
          </w:p>
        </w:tc>
        <w:tc>
          <w:tcPr>
            <w:tcW w:w="92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60" w:type="dxa"/>
            <w:vAlign w:val="bottom"/>
            <w:tcBorders>
              <w:bottom w:val="single" w:sz="8" w:color="003595"/>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20" w:type="dxa"/>
            <w:vAlign w:val="bottom"/>
            <w:tcBorders>
              <w:bottom w:val="single" w:sz="8" w:color="003595"/>
              <w:right w:val="single" w:sz="8" w:color="auto"/>
            </w:tcBorders>
          </w:tcPr>
          <w:p>
            <w:pPr>
              <w:spacing w:after="0"/>
              <w:rPr>
                <w:sz w:val="2"/>
                <w:szCs w:val="2"/>
                <w:color w:val="auto"/>
              </w:rPr>
            </w:pPr>
          </w:p>
        </w:tc>
        <w:tc>
          <w:tcPr>
            <w:tcW w:w="120" w:type="dxa"/>
            <w:vAlign w:val="bottom"/>
            <w:tcBorders>
              <w:bottom w:val="single" w:sz="8" w:color="003595"/>
            </w:tcBorders>
          </w:tcPr>
          <w:p>
            <w:pPr>
              <w:spacing w:after="0"/>
              <w:rPr>
                <w:sz w:val="2"/>
                <w:szCs w:val="2"/>
                <w:color w:val="auto"/>
              </w:rPr>
            </w:pPr>
          </w:p>
        </w:tc>
        <w:tc>
          <w:tcPr>
            <w:tcW w:w="740" w:type="dxa"/>
            <w:vAlign w:val="bottom"/>
            <w:tcBorders>
              <w:bottom w:val="single" w:sz="8" w:color="003595"/>
            </w:tcBorders>
          </w:tcPr>
          <w:p>
            <w:pPr>
              <w:spacing w:after="0"/>
              <w:rPr>
                <w:sz w:val="2"/>
                <w:szCs w:val="2"/>
                <w:color w:val="auto"/>
              </w:rPr>
            </w:pPr>
          </w:p>
        </w:tc>
        <w:tc>
          <w:tcPr>
            <w:tcW w:w="160" w:type="dxa"/>
            <w:vAlign w:val="bottom"/>
            <w:tcBorders>
              <w:bottom w:val="single" w:sz="8" w:color="003595"/>
              <w:right w:val="single" w:sz="8" w:color="auto"/>
            </w:tcBorders>
          </w:tcPr>
          <w:p>
            <w:pPr>
              <w:spacing w:after="0"/>
              <w:rPr>
                <w:sz w:val="2"/>
                <w:szCs w:val="2"/>
                <w:color w:val="auto"/>
              </w:rPr>
            </w:pPr>
          </w:p>
        </w:tc>
        <w:tc>
          <w:tcPr>
            <w:tcW w:w="1020" w:type="dxa"/>
            <w:vAlign w:val="bottom"/>
            <w:tcBorders>
              <w:bottom w:val="single" w:sz="8" w:color="003595"/>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14141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14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-1036955</wp:posOffset>
            </wp:positionV>
            <wp:extent cx="14141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14145" cy="825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-3171190</wp:posOffset>
            </wp:positionV>
            <wp:extent cx="300355" cy="300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-3171190</wp:posOffset>
            </wp:positionV>
            <wp:extent cx="300355" cy="300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-3171190</wp:posOffset>
            </wp:positionV>
            <wp:extent cx="299720" cy="300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9720" cy="3003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-3171190</wp:posOffset>
            </wp:positionV>
            <wp:extent cx="300355" cy="300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-3171190</wp:posOffset>
            </wp:positionV>
            <wp:extent cx="300355" cy="300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-3171190</wp:posOffset>
            </wp:positionV>
            <wp:extent cx="300355" cy="300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-3171190</wp:posOffset>
            </wp:positionV>
            <wp:extent cx="317500" cy="300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7500" cy="3003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-3171190</wp:posOffset>
            </wp:positionV>
            <wp:extent cx="300355" cy="300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-3171190</wp:posOffset>
            </wp:positionV>
            <wp:extent cx="300355" cy="300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Director Independence</w:t>
      </w:r>
    </w:p>
    <w:p>
      <w:pPr>
        <w:spacing w:after="0" w:line="2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Board has reviewed the materiality of any relationship that each of our directors has with Myriad, either directly or indirectly. Based on this review, the Board has determined that the following members of the Board are ‘‘independent directors’’ as defined by The Nasdaq Stock Market LLC (‘‘Nasdaq’’): Mr. Bisaro, Mr. Davis, Dr. Dreismann, Ms. Kumar, Dr. Newcomer, Ms. Phanstiel, Ms. Reitan, and Dr. Skovronsky.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Leadership Structure of the Board</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Board does not have a policy regarding the separation of the roles of Chair of the Board and Chief Executive Officer because the Board believes that it is in our best interests to make that determination based on the position and direction of the Company and the membership of the Board. However, at this time, and since our inception, the Board has determined that having an independent director serve as Chair of the Board is in the best interests of our stockholders. Thus, the roles of Chair of the Board and Chief Executive Officer are separated. This structure enables a greater role for the independent directors in the oversight of the Company and their active participation in setting agendas and establishing Board policies, priorities and procedures. This structure also allows the Chief Executive Officer to focus on the management of our day-to-day operations.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Board’s Role in the Oversight of Risk Management</w:t>
      </w:r>
    </w:p>
    <w:p>
      <w:pPr>
        <w:spacing w:after="0" w:line="2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has an active role, directly and through its committees, in the oversight of our risk management efforts. It carries out this oversight role through several levels of review. The Board regularly reviews and discusses with members of management information regarding the management of risks inherent in the operations of our businesses and the implementation of our strategic plan, including our risk mitigation efforts.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Each of the Board’s committees also oversees the management of risks that are under each committee’s areas of responsibility. For example, the AFC oversees management of accounting, auditing, external reporting, internal controls, cash investment risks, cybersecurity, and our processes for compliance with laws, regulations and our Code of Conduct. The NGC oversees certain conflicts of interest, director independence and corporate governance policies. It is also charged with regularly reviewing, evaluating, and making recommendations to the Board and management on our corporate responsibility strategies, practices, and initiatives. The CHCC oversees risks arising from compensation practices and policies. While each committee has specific responsibilities for oversight of risk, the Board is regularly informed by each committee about such risks. In this manner the Board is able to coordinate its risk oversight.</w:t>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color w:val="003595"/>
        </w:rPr>
        <w:t>Board’s Consideration of Diversity</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Board and the NGC do not have a formal policy with respect to the consideration of diversity in identifying nominees for director positions. However, the Board and the NGC strive to nominate individuals with a variety of diverse backgrounds, skills, qualifications, attributes and experience such that the Board, as a group, will possess the appropriate expertise, talent and skills to fulfill its responsibilities to manage the Company in the long-term interests of the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Board’s Disclosure of Third-Party Director and Nominee Compensation</w:t>
      </w:r>
    </w:p>
    <w:p>
      <w:pPr>
        <w:spacing w:after="0" w:line="26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No member of the Board has any agreement or arrangement with any person or entity other than the Company relating to compensation or other payment in connection with the director’s service as a director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Management Succession Planning</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Board recognizes that ensuring continuity in senior leadership is one of its most critical responsibilities. To fulfill this duty, the Board continually oversees the development of executive talent and succession planning for senior management, including the Chief Executive Officer. The Board actively reviews and guides the creation and execution of senior management succession plans, assessing potential successors for key leadership roles and overseeing development plans for current senior management members.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part of this ongoing succession planning process, several key leadership transitions were successfully executed during 2025. On April 30, 2025, Paul J. Diaz stepped down from serving as our President and Chief Executive Officer and as a member of the Board. On the same date, Samraat S. Raha, our former Chief Operating Officer, succeeded Mr. Diaz as our President and Chief Executive Officer and member of the Board. Concurrently, Mark S. Verratti, our former Chief Commercial Officer, succeeded Mr. Raha as our Chief Operating Officer. Following these transitions, Brian Donnelly was appointed Chief Commercial Officer on May 1, 2025. Additionally, on August 16, 2025, Benjamin R. Wheeler, formerly our Senior Vice President, Chief Financial Officer, Operations, was appointed as our Chief Financial Officer. These appointments resulted from the Board's proactive evaluation of internal and external talent to ensure a seamless transition across the Company’s executive leadership team.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Committees of the Board of Directors and Meetings</w:t>
      </w:r>
    </w:p>
    <w:p>
      <w:pPr>
        <w:spacing w:after="0" w:line="26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0071CE"/>
        </w:rPr>
        <w:t xml:space="preserve">Meeting Attendance. </w:t>
      </w:r>
      <w:r>
        <w:rPr>
          <w:rFonts w:ascii="Arial" w:cs="Arial" w:eastAsia="Arial" w:hAnsi="Arial"/>
          <w:sz w:val="16"/>
          <w:szCs w:val="16"/>
          <w:color w:val="000000"/>
        </w:rPr>
        <w:t>The Board met sixteen times during 2025. No director attended fewer than 75 percent of the total number of meetings of the Board and</w:t>
      </w:r>
      <w:r>
        <w:rPr>
          <w:rFonts w:ascii="Arial" w:cs="Arial" w:eastAsia="Arial" w:hAnsi="Arial"/>
          <w:sz w:val="16"/>
          <w:szCs w:val="16"/>
          <w:i w:val="1"/>
          <w:iCs w:val="1"/>
          <w:color w:val="0071CE"/>
        </w:rPr>
        <w:t xml:space="preserve"> </w:t>
      </w:r>
      <w:r>
        <w:rPr>
          <w:rFonts w:ascii="Arial" w:cs="Arial" w:eastAsia="Arial" w:hAnsi="Arial"/>
          <w:sz w:val="16"/>
          <w:szCs w:val="16"/>
          <w:color w:val="000000"/>
        </w:rPr>
        <w:t>of each committee of the Board on which he or she served during 2025. The Board has adopted a policy under which each member is expected, but not required to attend each annual meeting of stockholders. All members of the Board at the time of our 2025 Annual Meeting of Stockholders attended the meeting.</w:t>
      </w:r>
    </w:p>
    <w:p>
      <w:pPr>
        <w:spacing w:after="0" w:line="200" w:lineRule="exact"/>
        <w:rPr>
          <w:sz w:val="20"/>
          <w:szCs w:val="20"/>
          <w:color w:val="auto"/>
        </w:rPr>
      </w:pP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0071CE"/>
        </w:rPr>
        <w:t xml:space="preserve">Audit and Finance Committee. </w:t>
      </w:r>
      <w:r>
        <w:rPr>
          <w:rFonts w:ascii="Arial" w:cs="Arial" w:eastAsia="Arial" w:hAnsi="Arial"/>
          <w:sz w:val="16"/>
          <w:szCs w:val="16"/>
          <w:color w:val="000000"/>
        </w:rPr>
        <w:t>The AFC met seven times during 2025. The committee currently has four members: Mr. Davis (Chair), Ms. Kumar, Ms.</w:t>
      </w:r>
      <w:r>
        <w:rPr>
          <w:rFonts w:ascii="Arial" w:cs="Arial" w:eastAsia="Arial" w:hAnsi="Arial"/>
          <w:sz w:val="16"/>
          <w:szCs w:val="16"/>
          <w:i w:val="1"/>
          <w:iCs w:val="1"/>
          <w:color w:val="0071CE"/>
        </w:rPr>
        <w:t xml:space="preserve"> </w:t>
      </w:r>
      <w:r>
        <w:rPr>
          <w:rFonts w:ascii="Arial" w:cs="Arial" w:eastAsia="Arial" w:hAnsi="Arial"/>
          <w:sz w:val="16"/>
          <w:szCs w:val="16"/>
          <w:color w:val="000000"/>
        </w:rPr>
        <w:t>Phanstiel, and Ms. Reitan. The AFC’s roles and responsibilities are set forth in its written charter and include the authority to retain and terminate the services of our independent registered public accounting firm. In addition, the AFC reviews annual financial statements; considers matters relating to accounting policy and internal controls; reviews the scope of annual audits; and monitors our processes for compliance with laws, regulations and our Code of Conduct. The AFC also has primary responsibility for, and oversight over, cybersecurity threats and our information security management program. Our Board has determined that all members of the AFC satisfy the current independence standards promulgated by the SEC and by Nasdaq, as such standards apply specifically to members of audit committees. The Board has determined that Mr. Davis and Ms. Phanstiel are each an ‘‘audit committee financial expert,’’ as the SEC has defined that term in Item 407 of Regulation S-K under the Securities Act of 1933, as amended, or the Securities Act. A copy of the AFC’s written charter is publicly available on the Investor Relations—About Myriad/Corporate Governance section of our website at investor.myriad.com/corporate-governance.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Please also see the report of the AFC set forth elsewhere in this proxy statement.</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0071CE"/>
        </w:rPr>
        <w:t xml:space="preserve">Compensation and Human Capital Committee. </w:t>
      </w:r>
      <w:r>
        <w:rPr>
          <w:rFonts w:ascii="Arial" w:cs="Arial" w:eastAsia="Arial" w:hAnsi="Arial"/>
          <w:sz w:val="16"/>
          <w:szCs w:val="16"/>
          <w:color w:val="000000"/>
        </w:rPr>
        <w:t>The CHCC met five times during 2025. This committee currently has four members: Dr. Dreismann (Chair),</w:t>
      </w:r>
      <w:r>
        <w:rPr>
          <w:rFonts w:ascii="Arial" w:cs="Arial" w:eastAsia="Arial" w:hAnsi="Arial"/>
          <w:sz w:val="16"/>
          <w:szCs w:val="16"/>
          <w:i w:val="1"/>
          <w:iCs w:val="1"/>
          <w:color w:val="0071CE"/>
        </w:rPr>
        <w:t xml:space="preserve"> </w:t>
      </w:r>
      <w:r>
        <w:rPr>
          <w:rFonts w:ascii="Arial" w:cs="Arial" w:eastAsia="Arial" w:hAnsi="Arial"/>
          <w:sz w:val="16"/>
          <w:szCs w:val="16"/>
          <w:color w:val="000000"/>
        </w:rPr>
        <w:t>Mr. Bisaro, Dr. Newcomer, and Dr. Skovronsky. The CHCC’s role and responsibilities are set forth in its written charter and include reviewing, approving and making recommendations regarding our compensation policies, practices and procedures to ensure that legal and fiduciary responsibilities of the Board are carried out and that such policies, practices and procedures contribute to our success. The CHCC also is responsible for evaluating and determining the compensation of our Chief Executive Officer. In addition, the CHCC is responsible for administering our Clawback Policy and reporting to the Board regarding any actions taken pursuant to such policy. The Board has determined that all members of the CHCC qualify as independent under the definition promulgated by Nasdaq.</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8" w:name="page29"/>
    <w:bookmarkEnd w:id="28"/>
    <w:p>
      <w:pPr>
        <w:jc w:val="both"/>
        <w:ind w:right="20"/>
        <w:spacing w:after="0" w:line="261" w:lineRule="auto"/>
        <w:rPr>
          <w:sz w:val="20"/>
          <w:szCs w:val="20"/>
          <w:color w:val="auto"/>
        </w:rPr>
      </w:pPr>
      <w:r>
        <w:rPr>
          <w:rFonts w:ascii="Arial" w:cs="Arial" w:eastAsia="Arial" w:hAnsi="Arial"/>
          <w:sz w:val="16"/>
          <w:szCs w:val="16"/>
          <w:color w:val="auto"/>
        </w:rPr>
        <w:t>The CHCC is charged with establishing a compensation policy for our executive officers and directors that is designed to attract and retain qualified executive talent, to motivate them to achieve corporate objectives, and reward them for superior performance. Our CHCC is also responsible for establishing and administering our executive compensation policies and equity compensation plans. The CHCC meets at least two times per year and more often as necessary to review and make decisions with regard to executive compensation matters. As part of its review of these matters, the CHCC may delegate any of the powers given to it to a subcommittee. A copy of the CHCC’s written charter is publicly available on the Investor Relations—About Myriad/Corporate Governance section of our website at investor.myriad.com/corporate-governance.</w:t>
      </w:r>
    </w:p>
    <w:p>
      <w:pPr>
        <w:spacing w:after="0" w:line="20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Further discussion of the process and procedures for considering and determining executive compensation, including the role that our executive officers play in determining compensation for other executive officers, is included below in the section entitled ‘‘Executive and Director Compensation-Compensation Discussion and Analysis.’’ The CHCC has the authority to directly retain the services of independent consultants and other experts to assist in fulfilling its duties.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purposes of executive compensation determinations for 2025, the CHCC retained an independent compensation consultant, Mercer, LLC (‘‘Mercer’’), a wholly owned subsidiary of Marsh &amp; McLennan Companies, Inc. Mercer was engaged to review our peer group of companies and provide the CHCC with competitive market data, analysis, and recommendations regarding the salaries, short-term incentive compensation, and long-term incentive compensation for our Chief Executive Officer and other executive officers. Mercer performed services solely on behalf of the CHCC and had no relationship with Myriad or its management except as related to performing such services.</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October 2025, the CHCC concluded its engagement with Mercer and retained Willis Towers Watson PLC ("WTW") to succeed Mercer as the Company's new independent compensation consultant. WTW has performed ongoing reviews of our peer group and competitive market data. Since its appointment, WTW has performed services solely on behalf of the CHCC and has no relationship with Myriad or its management except as may relate to performing such services. The CHCC has assessed the independence of both Mercer and WTW pursuant to SEC rules and the corporate governance rules of Nasdaq and concluded that no conflict of interest exists with respect to either firm that would prevent them from independently representing the CHCC.</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Please also see the report of the CHCC set forth elsewhere in this proxy statement.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Compensation and Human Capital Committee Interlocks and Insider Participation</w:t>
      </w:r>
      <w:r>
        <w:rPr>
          <w:rFonts w:ascii="Arial" w:cs="Arial" w:eastAsia="Arial" w:hAnsi="Arial"/>
          <w:sz w:val="16"/>
          <w:szCs w:val="16"/>
          <w:color w:val="0071CE"/>
        </w:rPr>
        <w:t>.</w:t>
      </w:r>
      <w:r>
        <w:rPr>
          <w:rFonts w:ascii="Arial" w:cs="Arial" w:eastAsia="Arial" w:hAnsi="Arial"/>
          <w:sz w:val="16"/>
          <w:szCs w:val="16"/>
          <w:i w:val="1"/>
          <w:iCs w:val="1"/>
          <w:color w:val="0071CE"/>
        </w:rPr>
        <w:t xml:space="preserve"> </w:t>
      </w:r>
      <w:r>
        <w:rPr>
          <w:rFonts w:ascii="Arial" w:cs="Arial" w:eastAsia="Arial" w:hAnsi="Arial"/>
          <w:sz w:val="16"/>
          <w:szCs w:val="16"/>
          <w:color w:val="000000"/>
        </w:rPr>
        <w:t>No member of our CHCC has at any time been an employee of the</w:t>
      </w:r>
    </w:p>
    <w:p>
      <w:pPr>
        <w:spacing w:after="0" w:line="31"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Company. None of our executive officers is a member of the CHCC, nor do any of our executive officers serve as a member of the board of directors or compensation committee of any entity that has one or more executive officers serving as a member of our Board or CHCC.</w:t>
      </w:r>
    </w:p>
    <w:p>
      <w:pPr>
        <w:spacing w:after="0" w:line="195"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i w:val="1"/>
          <w:iCs w:val="1"/>
          <w:color w:val="0071CE"/>
        </w:rPr>
        <w:t xml:space="preserve">Nominating and Governance Committee. </w:t>
      </w:r>
      <w:r>
        <w:rPr>
          <w:rFonts w:ascii="Arial" w:cs="Arial" w:eastAsia="Arial" w:hAnsi="Arial"/>
          <w:sz w:val="16"/>
          <w:szCs w:val="16"/>
          <w:color w:val="000000"/>
        </w:rPr>
        <w:t>Our NGC met three times during 2025. The NGC currently has four members: Ms. Reitan (Chair), Mr. Davis, Ms.</w:t>
      </w:r>
      <w:r>
        <w:rPr>
          <w:rFonts w:ascii="Arial" w:cs="Arial" w:eastAsia="Arial" w:hAnsi="Arial"/>
          <w:sz w:val="16"/>
          <w:szCs w:val="16"/>
          <w:i w:val="1"/>
          <w:iCs w:val="1"/>
          <w:color w:val="0071CE"/>
        </w:rPr>
        <w:t xml:space="preserve"> </w:t>
      </w:r>
      <w:r>
        <w:rPr>
          <w:rFonts w:ascii="Arial" w:cs="Arial" w:eastAsia="Arial" w:hAnsi="Arial"/>
          <w:sz w:val="16"/>
          <w:szCs w:val="16"/>
          <w:color w:val="000000"/>
        </w:rPr>
        <w:t>Kumar, and Ms. Phanstiel. This committee’s role and responsibilities are set forth in the NGC's written charter and include evaluating and making recommendations to the full Board as to the size and composition of the Board and its committees, identifying and evaluating potential candidates and recommending the director nominees for election, developing and recommending corporate governance guidelines applicable to the Board, and, subject to our Policy on Related Person Transactions, reviewing and approving potential or actual conflicts of interest between our executive officers or members of the Board. The NGC also oversees the annual Board performance evaluations, which may be submitted anonymously at the discretion of the director concerned. The NGC is responsible for regularly reviewing, evaluating and making recommendations to the Board and management on our corporate responsibility strategies, practices, and initiatives. In adding new directors to the Board, the NGC retains from time to time the services of a nationally recognized search firm to identify and help evaluate candidates. Services provided by the search firm include identifying potential director candidates meeting criteria established by the NGC, verifying information about the prospective candidate's credentials, and obtaining a preliminary indication of interest and willingness to serve as a Board member. This process helps attract qualified and independent directors.</w:t>
      </w:r>
    </w:p>
    <w:p>
      <w:pPr>
        <w:spacing w:after="0" w:line="22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If a stockholder wishes to nominate a candidate for director who is not included in our proxy statement, the stockholder must follow the procedures described in our Restated By-Laws and in ‘‘Stockholder Proposals and Nominations for Director’’ section at the end of this proxy statement.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6"/>
          <w:szCs w:val="16"/>
          <w:color w:val="auto"/>
        </w:rPr>
        <w:t>In addition, under our current corporate governance policies, the NGC may consider candidates recommended by stockholders as well as from other sources such as other directors or officers, third-party search firms or other appropriate sources. For all potential candidates, the NGC may consider all factors it deems relevant, such as a candidate’s personal integrity and sound judgment; business and professional skills and experience; independence; knowledge of the industry in which we operate; possible conflicts of interest; the extent to which the candidate would fill a present need on the Board; and concern for the long-term interests of the stockholders. In general, persons recommended by stockholders will be considered on the same basis as candidates from other sources. If a stockholder wishes to propose a candidate for consideration by the NGC under our corporate governance policies, the NGC will consider recommended nominees from any stockholder or group of affiliated stockholders. All stockholder recommendations for proposed director nominees must be made in writing to the NGC, (i) by mail, care of Myriad’s Corporate Secretary at 322 North 2200 West, Salt Lake City, Utah 84116, and (ii) by email to corpsec@myriad.com. The recommendation must be received no later than 120 days prior to the first anniversary of the date of the proxy statement for the previous year’s Annual Meeting. The recommendation must be accompanied by the following information concerning the recommending stockholder:</w:t>
      </w:r>
    </w:p>
    <w:p>
      <w:pPr>
        <w:spacing w:after="0" w:line="200" w:lineRule="exact"/>
        <w:rPr>
          <w:sz w:val="20"/>
          <w:szCs w:val="20"/>
          <w:color w:val="auto"/>
        </w:rPr>
      </w:pPr>
    </w:p>
    <w:p>
      <w:pPr>
        <w:spacing w:after="0" w:line="206"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name, address and telephone number of the recommending stockholder;</w:t>
      </w:r>
    </w:p>
    <w:p>
      <w:pPr>
        <w:spacing w:after="0" w:line="261" w:lineRule="exact"/>
        <w:rPr>
          <w:rFonts w:ascii="Arial" w:cs="Arial" w:eastAsia="Arial" w:hAnsi="Arial"/>
          <w:sz w:val="16"/>
          <w:szCs w:val="16"/>
          <w:color w:val="auto"/>
        </w:rPr>
      </w:pPr>
    </w:p>
    <w:p>
      <w:pPr>
        <w:ind w:left="660" w:hanging="328"/>
        <w:spacing w:after="0" w:line="263"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shares of our common stock owned by the recommending stockholder and the time period for which such shares have been held; and</w:t>
      </w: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statement from the recommending stockholder as to the good faith intention to continue to hold such shares through the initial term of the proposed nominee as a director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recommendation must also be accompanied by the following information concerning the proposed nominee:</w:t>
      </w:r>
    </w:p>
    <w:p>
      <w:pPr>
        <w:spacing w:after="0" w:line="262"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required by Items 401, 403 and 404 of Regulation S-K under the Securities Act;</w:t>
      </w:r>
    </w:p>
    <w:p>
      <w:pPr>
        <w:spacing w:after="0" w:line="248"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description of all relationships between the proposed nominee and the recommending stockholder, including any agreements or understandings regarding the nomination;</w:t>
      </w:r>
    </w:p>
    <w:p>
      <w:pPr>
        <w:spacing w:after="0" w:line="19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description of all relationships between the proposed nominee and any of our competitors, customers, suppliers, or other persons with special interests regarding the Company; and</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contact information for the proposed nominee.</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recommending stockholder must provide information concerning the proposed nominee, including the nominee's qualifications and business experience, and must state whether, in the stockholder’s view, the proposed nominee, if elected, would represent all stockholders and not serve for the purpose of advancing or favoring any particular stockholder or other constituency of Myriad. The recommendation must also be accompanied by the written consent of the proposed nominee (i) to be considered by the NGC and interviewed if the NGC chooses to do so in its discretion, (ii) if requested by the NGC, to complete and sign a questionnaire with respect to the background and qualifications of the proposed nominee in the form to be provided by the NGC, and (iii) if nominated and elected, to serve as a director.</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For all potential candidates, the NGC may consider all factors it deems relevant, including the following threshold criteria:</w:t>
      </w:r>
    </w:p>
    <w:p>
      <w:pPr>
        <w:spacing w:after="0" w:line="262"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Candidates should possess the highest personal and professional standards of integrity and ethical values;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Candidates must be committed to promoting and enhancing the long-term value of Myriad for its stockholders;</w:t>
      </w:r>
    </w:p>
    <w:p>
      <w:pPr>
        <w:spacing w:after="0" w:line="2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Candidates should not have any interests that would materially impair their ability to exercise independent judgment or otherwise discharge the fiduciary duties owed as a director to Myriad;</w:t>
      </w:r>
    </w:p>
    <w:p>
      <w:pPr>
        <w:spacing w:after="0" w:line="209" w:lineRule="exact"/>
        <w:rPr>
          <w:rFonts w:ascii="Arial" w:cs="Arial" w:eastAsia="Arial" w:hAnsi="Arial"/>
          <w:sz w:val="16"/>
          <w:szCs w:val="16"/>
          <w:color w:val="auto"/>
        </w:rPr>
      </w:pPr>
    </w:p>
    <w:p>
      <w:pPr>
        <w:ind w:left="660" w:hanging="328"/>
        <w:spacing w:after="0" w:line="261" w:lineRule="auto"/>
        <w:tabs>
          <w:tab w:leader="none" w:pos="648" w:val="left"/>
        </w:tabs>
        <w:numPr>
          <w:ilvl w:val="0"/>
          <w:numId w:val="24"/>
        </w:numPr>
        <w:rPr>
          <w:rFonts w:ascii="Times New Roman" w:cs="Times New Roman" w:eastAsia="Times New Roman" w:hAnsi="Times New Roman"/>
          <w:sz w:val="20"/>
          <w:szCs w:val="20"/>
          <w:color w:val="auto"/>
        </w:rPr>
      </w:pPr>
      <w:r>
        <w:rPr>
          <w:rFonts w:ascii="Arial" w:cs="Arial" w:eastAsia="Arial" w:hAnsi="Arial"/>
          <w:sz w:val="16"/>
          <w:szCs w:val="16"/>
          <w:color w:val="auto"/>
        </w:rPr>
        <w:t>Candidates must be able to represent fairly and equally all stockholders of Myriad without favoring or advancing any particular stockholder or other constituency of Myriad;</w:t>
      </w:r>
    </w:p>
    <w:p>
      <w:pPr>
        <w:spacing w:after="0" w:line="197" w:lineRule="exact"/>
        <w:rPr>
          <w:rFonts w:ascii="Times New Roman" w:cs="Times New Roman" w:eastAsia="Times New Roman" w:hAnsi="Times New Roman"/>
          <w:sz w:val="20"/>
          <w:szCs w:val="20"/>
          <w:color w:val="auto"/>
        </w:rPr>
      </w:pPr>
    </w:p>
    <w:p>
      <w:pPr>
        <w:ind w:left="660" w:hanging="328"/>
        <w:spacing w:after="0" w:line="304"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Candidates must have demonstrated achievements in one or more fields of business, professional, governmental, community, scientific or educational endeavor, and possess mature and objective business judgment and expertise;</w:t>
      </w:r>
    </w:p>
    <w:p>
      <w:pPr>
        <w:spacing w:after="0" w:line="168"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Candidates are expected to have sound judgment, derived from management or policy making experience that demonstrates an ability to function effectively in an oversight role;</w:t>
      </w:r>
    </w:p>
    <w:p>
      <w:pPr>
        <w:spacing w:after="0" w:line="19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Candidates must have a general appreciation regarding major issues facing public companies of a size and operational scope similar to Myriad, including governance concerns, regulatory obligations, strategic business planning, competition and basic concepts of accounting and finance; and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0" w:name="page31"/>
    <w:bookmarkEnd w:id="30"/>
    <w:p>
      <w:pPr>
        <w:jc w:val="both"/>
        <w:ind w:left="660" w:hanging="328"/>
        <w:spacing w:after="0" w:line="27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Candidates must have, and be prepared to devote, adequate time to the Board and its committees, including a willingness to comply with our overboarding restrictions which limit Board members to serving on no more than four public company boards of directors, or two such boards of directors if the Board member is an executive officer of a public company.</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In addition, the NGC will take into account the extent to which the candidate would fill a present need on the Board, including the extent to which a candidate meets the independence and experience standards promulgated by the SEC and by Nasdaq.</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copy of the NGC’s written charter is publicly available on the Investor Relations—About Myriad/Corporate Governance section of our website at investor.myriad.com/corporate-governance.</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descriptions of our corporate governance policies contained in this proxy statement are qualified in their entirety and subject to the terms of such policies as modified by the Board from time to time. The following corporate governance documents are publicly available on the Investor Relations—About Myriad/Corporate Governance section of our website at investor.myriad.com/corporate-governance:</w:t>
      </w:r>
    </w:p>
    <w:p>
      <w:pPr>
        <w:spacing w:after="0" w:line="191"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Policy Regarding Director Nominations and Qualifications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Policy on Related Person Transactions;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Director and Executive Officer Stock Ownership Guidelines;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Clawback Policy;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Corporate Governance Principles;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Corporate Code of Conduct;</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Nominating and Governance Committee Charter;</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Audit and Finance Committee Charter;</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Compensation and Human Capital Committee Charter;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Research and Product Innovation Committee Charter.</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0071CE"/>
        </w:rPr>
        <w:t xml:space="preserve">Research and Product Innovation Committee. </w:t>
      </w:r>
      <w:r>
        <w:rPr>
          <w:rFonts w:ascii="Arial" w:cs="Arial" w:eastAsia="Arial" w:hAnsi="Arial"/>
          <w:sz w:val="16"/>
          <w:szCs w:val="16"/>
          <w:color w:val="000000"/>
        </w:rPr>
        <w:t>Our Research and Product Innovation Committee (or "RPIC") met four times in 2025. The RPIC currently has</w:t>
      </w:r>
      <w:r>
        <w:rPr>
          <w:rFonts w:ascii="Arial" w:cs="Arial" w:eastAsia="Arial" w:hAnsi="Arial"/>
          <w:sz w:val="16"/>
          <w:szCs w:val="16"/>
          <w:i w:val="1"/>
          <w:iCs w:val="1"/>
          <w:color w:val="0071CE"/>
        </w:rPr>
        <w:t xml:space="preserve"> </w:t>
      </w:r>
      <w:r>
        <w:rPr>
          <w:rFonts w:ascii="Arial" w:cs="Arial" w:eastAsia="Arial" w:hAnsi="Arial"/>
          <w:sz w:val="16"/>
          <w:szCs w:val="16"/>
          <w:color w:val="000000"/>
        </w:rPr>
        <w:t>four members: Dr. Newcomer (Chair), Mr. Bisaro, Dr. Dreismann, and Dr. Skovronsky. The committee’s roles and responsibilities are set forth in the RPIC’s written charter and include advising and consulting with senior management on a broad range of strategic and product development initiatives and making recommendations to the Board regarding such opportunities. A copy of the RPIC’s written charter is publicly available on the Investor Relations—About Myriad/Corporate Governance section of our website at investor.myriad.com/corporate-governance.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Stockholder Communications to the Board</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Generally, stockholders who have questions or concerns should contact our Investor Relations department at (801) 584-3532. However, any stockholder who wishes to address questions regarding our business directly with the Board, or any individual director, should send his or her questions in writing to the Chair of the Board or a designated member of the Board at 322 North 2200 West, Salt Lake City, Utah 84116. Communications will be distributed to the Board, to the NGC, or to any individual director or directors as appropriate, depending on the facts and circumstances outlined in the communications. Items that are unrelated to the duties and responsibilities of the Board may be excluded, such as:</w:t>
      </w:r>
    </w:p>
    <w:p>
      <w:pPr>
        <w:spacing w:after="0" w:line="199"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Junk mail and mass mailings;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Resumes and other forms of job inquiry;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Surveys;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Solicitations or advertisements.</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any material that is unduly hostile, threatening, or illegal in nature may be excluded, provided that any communication that is excluded will be made available to any outside director upon request.</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b w:val="1"/>
          <w:bCs w:val="1"/>
          <w:color w:val="003595"/>
        </w:rPr>
        <w:t>Executive Officers</w:t>
      </w:r>
    </w:p>
    <w:p>
      <w:pPr>
        <w:spacing w:after="0" w:line="2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sets forth the name, age (as of April 14, 2026) and position of each of our current executive officers. Unless indicated otherwise, general references to ‘‘executive officers’’ throughout this proxy statement refer to the following officers:</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2280" w:type="dxa"/>
            <w:vAlign w:val="bottom"/>
            <w:shd w:val="clear" w:color="auto" w:fill="003595"/>
          </w:tcPr>
          <w:p>
            <w:pPr>
              <w:ind w:left="80"/>
              <w:spacing w:after="0"/>
              <w:rPr>
                <w:sz w:val="20"/>
                <w:szCs w:val="20"/>
                <w:color w:val="auto"/>
              </w:rPr>
            </w:pPr>
            <w:r>
              <w:rPr>
                <w:rFonts w:ascii="Arial" w:cs="Arial" w:eastAsia="Arial" w:hAnsi="Arial"/>
                <w:sz w:val="16"/>
                <w:szCs w:val="16"/>
                <w:b w:val="1"/>
                <w:bCs w:val="1"/>
                <w:color w:val="FFFFFF"/>
              </w:rPr>
              <w:t>Name</w:t>
            </w:r>
          </w:p>
        </w:tc>
        <w:tc>
          <w:tcPr>
            <w:tcW w:w="1040" w:type="dxa"/>
            <w:vAlign w:val="bottom"/>
            <w:shd w:val="clear" w:color="auto" w:fill="003595"/>
          </w:tcPr>
          <w:p>
            <w:pPr>
              <w:jc w:val="right"/>
              <w:ind w:right="139"/>
              <w:spacing w:after="0"/>
              <w:rPr>
                <w:sz w:val="20"/>
                <w:szCs w:val="20"/>
                <w:color w:val="auto"/>
              </w:rPr>
            </w:pPr>
            <w:r>
              <w:rPr>
                <w:rFonts w:ascii="Arial" w:cs="Arial" w:eastAsia="Arial" w:hAnsi="Arial"/>
                <w:sz w:val="16"/>
                <w:szCs w:val="16"/>
                <w:b w:val="1"/>
                <w:bCs w:val="1"/>
                <w:color w:val="FFFFFF"/>
              </w:rPr>
              <w:t>Age</w:t>
            </w:r>
          </w:p>
        </w:tc>
        <w:tc>
          <w:tcPr>
            <w:tcW w:w="7500" w:type="dxa"/>
            <w:vAlign w:val="bottom"/>
            <w:shd w:val="clear" w:color="auto" w:fill="003595"/>
          </w:tcPr>
          <w:p>
            <w:pPr>
              <w:ind w:left="200"/>
              <w:spacing w:after="0"/>
              <w:rPr>
                <w:sz w:val="20"/>
                <w:szCs w:val="20"/>
                <w:color w:val="auto"/>
              </w:rPr>
            </w:pPr>
            <w:r>
              <w:rPr>
                <w:rFonts w:ascii="Arial" w:cs="Arial" w:eastAsia="Arial" w:hAnsi="Arial"/>
                <w:sz w:val="16"/>
                <w:szCs w:val="16"/>
                <w:b w:val="1"/>
                <w:bCs w:val="1"/>
                <w:color w:val="FFFFFF"/>
              </w:rPr>
              <w:t>Position</w:t>
            </w:r>
          </w:p>
        </w:tc>
      </w:tr>
      <w:tr>
        <w:trPr>
          <w:trHeight w:val="243"/>
        </w:trPr>
        <w:tc>
          <w:tcPr>
            <w:tcW w:w="2280" w:type="dxa"/>
            <w:vAlign w:val="bottom"/>
            <w:tcBorders>
              <w:bottom w:val="single" w:sz="8" w:color="0A2299"/>
            </w:tcBorders>
          </w:tcPr>
          <w:p>
            <w:pPr>
              <w:ind w:left="60"/>
              <w:spacing w:after="0"/>
              <w:rPr>
                <w:sz w:val="20"/>
                <w:szCs w:val="20"/>
                <w:color w:val="auto"/>
              </w:rPr>
            </w:pPr>
            <w:r>
              <w:rPr>
                <w:rFonts w:ascii="Arial" w:cs="Arial" w:eastAsia="Arial" w:hAnsi="Arial"/>
                <w:sz w:val="16"/>
                <w:szCs w:val="16"/>
                <w:color w:val="auto"/>
              </w:rPr>
              <w:t xml:space="preserve">Samraat S. Raha </w:t>
            </w:r>
            <w:r>
              <w:rPr>
                <w:rFonts w:ascii="Arial" w:cs="Arial" w:eastAsia="Arial" w:hAnsi="Arial"/>
                <w:sz w:val="21"/>
                <w:szCs w:val="21"/>
                <w:color w:val="auto"/>
                <w:vertAlign w:val="superscript"/>
              </w:rPr>
              <w:t>(1)</w:t>
            </w:r>
          </w:p>
        </w:tc>
        <w:tc>
          <w:tcPr>
            <w:tcW w:w="1040" w:type="dxa"/>
            <w:vAlign w:val="bottom"/>
            <w:tcBorders>
              <w:bottom w:val="single" w:sz="8" w:color="0A2299"/>
            </w:tcBorders>
          </w:tcPr>
          <w:p>
            <w:pPr>
              <w:jc w:val="right"/>
              <w:ind w:right="119"/>
              <w:spacing w:after="0"/>
              <w:rPr>
                <w:sz w:val="20"/>
                <w:szCs w:val="20"/>
                <w:color w:val="auto"/>
              </w:rPr>
            </w:pPr>
            <w:r>
              <w:rPr>
                <w:rFonts w:ascii="Arial" w:cs="Arial" w:eastAsia="Arial" w:hAnsi="Arial"/>
                <w:sz w:val="16"/>
                <w:szCs w:val="16"/>
                <w:color w:val="auto"/>
              </w:rPr>
              <w:t>54</w:t>
            </w:r>
          </w:p>
        </w:tc>
        <w:tc>
          <w:tcPr>
            <w:tcW w:w="7500" w:type="dxa"/>
            <w:vAlign w:val="bottom"/>
            <w:tcBorders>
              <w:bottom w:val="single" w:sz="8" w:color="0A2299"/>
            </w:tcBorders>
          </w:tcPr>
          <w:p>
            <w:pPr>
              <w:ind w:left="200"/>
              <w:spacing w:after="0"/>
              <w:rPr>
                <w:sz w:val="20"/>
                <w:szCs w:val="20"/>
                <w:color w:val="auto"/>
              </w:rPr>
            </w:pPr>
            <w:r>
              <w:rPr>
                <w:rFonts w:ascii="Arial" w:cs="Arial" w:eastAsia="Arial" w:hAnsi="Arial"/>
                <w:sz w:val="16"/>
                <w:szCs w:val="16"/>
                <w:color w:val="auto"/>
              </w:rPr>
              <w:t>President and Chief Executive Officer and Director</w:t>
            </w:r>
          </w:p>
        </w:tc>
      </w:tr>
      <w:tr>
        <w:trPr>
          <w:trHeight w:val="237"/>
        </w:trPr>
        <w:tc>
          <w:tcPr>
            <w:tcW w:w="2280" w:type="dxa"/>
            <w:vAlign w:val="bottom"/>
            <w:tcBorders>
              <w:bottom w:val="single" w:sz="8" w:color="003595"/>
            </w:tcBorders>
          </w:tcPr>
          <w:p>
            <w:pPr>
              <w:ind w:left="60"/>
              <w:spacing w:after="0" w:line="237" w:lineRule="exact"/>
              <w:rPr>
                <w:sz w:val="20"/>
                <w:szCs w:val="20"/>
                <w:color w:val="auto"/>
              </w:rPr>
            </w:pPr>
            <w:r>
              <w:rPr>
                <w:rFonts w:ascii="Arial" w:cs="Arial" w:eastAsia="Arial" w:hAnsi="Arial"/>
                <w:sz w:val="16"/>
                <w:szCs w:val="16"/>
                <w:color w:val="auto"/>
              </w:rPr>
              <w:t xml:space="preserve">Brian J. Donnelly </w:t>
            </w:r>
            <w:r>
              <w:rPr>
                <w:rFonts w:ascii="Arial" w:cs="Arial" w:eastAsia="Arial" w:hAnsi="Arial"/>
                <w:sz w:val="21"/>
                <w:szCs w:val="21"/>
                <w:color w:val="auto"/>
                <w:vertAlign w:val="superscript"/>
              </w:rPr>
              <w:t>(2)</w:t>
            </w:r>
          </w:p>
        </w:tc>
        <w:tc>
          <w:tcPr>
            <w:tcW w:w="1040" w:type="dxa"/>
            <w:vAlign w:val="bottom"/>
            <w:tcBorders>
              <w:bottom w:val="single" w:sz="8" w:color="003595"/>
            </w:tcBorders>
          </w:tcPr>
          <w:p>
            <w:pPr>
              <w:jc w:val="right"/>
              <w:ind w:right="119"/>
              <w:spacing w:after="0"/>
              <w:rPr>
                <w:sz w:val="20"/>
                <w:szCs w:val="20"/>
                <w:color w:val="auto"/>
              </w:rPr>
            </w:pPr>
            <w:r>
              <w:rPr>
                <w:rFonts w:ascii="Arial" w:cs="Arial" w:eastAsia="Arial" w:hAnsi="Arial"/>
                <w:sz w:val="16"/>
                <w:szCs w:val="16"/>
                <w:color w:val="auto"/>
              </w:rPr>
              <w:t>43</w:t>
            </w:r>
          </w:p>
        </w:tc>
        <w:tc>
          <w:tcPr>
            <w:tcW w:w="7500" w:type="dxa"/>
            <w:vAlign w:val="bottom"/>
            <w:tcBorders>
              <w:bottom w:val="single" w:sz="8" w:color="003595"/>
            </w:tcBorders>
          </w:tcPr>
          <w:p>
            <w:pPr>
              <w:ind w:left="200"/>
              <w:spacing w:after="0"/>
              <w:rPr>
                <w:sz w:val="20"/>
                <w:szCs w:val="20"/>
                <w:color w:val="auto"/>
              </w:rPr>
            </w:pPr>
            <w:r>
              <w:rPr>
                <w:rFonts w:ascii="Arial" w:cs="Arial" w:eastAsia="Arial" w:hAnsi="Arial"/>
                <w:sz w:val="16"/>
                <w:szCs w:val="16"/>
                <w:color w:val="auto"/>
              </w:rPr>
              <w:t>Chief Commercial Officer</w:t>
            </w:r>
          </w:p>
        </w:tc>
      </w:tr>
      <w:tr>
        <w:trPr>
          <w:trHeight w:val="230"/>
        </w:trPr>
        <w:tc>
          <w:tcPr>
            <w:tcW w:w="2280" w:type="dxa"/>
            <w:vAlign w:val="bottom"/>
            <w:tcBorders>
              <w:bottom w:val="single" w:sz="8" w:color="003595"/>
            </w:tcBorders>
          </w:tcPr>
          <w:p>
            <w:pPr>
              <w:ind w:left="60"/>
              <w:spacing w:after="0"/>
              <w:rPr>
                <w:sz w:val="20"/>
                <w:szCs w:val="20"/>
                <w:color w:val="auto"/>
              </w:rPr>
            </w:pPr>
            <w:r>
              <w:rPr>
                <w:rFonts w:ascii="Arial" w:cs="Arial" w:eastAsia="Arial" w:hAnsi="Arial"/>
                <w:sz w:val="16"/>
                <w:szCs w:val="16"/>
                <w:color w:val="auto"/>
              </w:rPr>
              <w:t>Jennifer Fox</w:t>
            </w:r>
          </w:p>
        </w:tc>
        <w:tc>
          <w:tcPr>
            <w:tcW w:w="1040" w:type="dxa"/>
            <w:vAlign w:val="bottom"/>
            <w:tcBorders>
              <w:bottom w:val="single" w:sz="8" w:color="003595"/>
            </w:tcBorders>
          </w:tcPr>
          <w:p>
            <w:pPr>
              <w:jc w:val="right"/>
              <w:ind w:right="119"/>
              <w:spacing w:after="0"/>
              <w:rPr>
                <w:sz w:val="20"/>
                <w:szCs w:val="20"/>
                <w:color w:val="auto"/>
              </w:rPr>
            </w:pPr>
            <w:r>
              <w:rPr>
                <w:rFonts w:ascii="Arial" w:cs="Arial" w:eastAsia="Arial" w:hAnsi="Arial"/>
                <w:sz w:val="16"/>
                <w:szCs w:val="16"/>
                <w:color w:val="auto"/>
              </w:rPr>
              <w:t>53</w:t>
            </w:r>
          </w:p>
        </w:tc>
        <w:tc>
          <w:tcPr>
            <w:tcW w:w="7500" w:type="dxa"/>
            <w:vAlign w:val="bottom"/>
            <w:tcBorders>
              <w:bottom w:val="single" w:sz="8" w:color="003595"/>
            </w:tcBorders>
          </w:tcPr>
          <w:p>
            <w:pPr>
              <w:ind w:left="200"/>
              <w:spacing w:after="0"/>
              <w:rPr>
                <w:sz w:val="20"/>
                <w:szCs w:val="20"/>
                <w:color w:val="auto"/>
              </w:rPr>
            </w:pPr>
            <w:r>
              <w:rPr>
                <w:rFonts w:ascii="Arial" w:cs="Arial" w:eastAsia="Arial" w:hAnsi="Arial"/>
                <w:sz w:val="16"/>
                <w:szCs w:val="16"/>
                <w:color w:val="auto"/>
              </w:rPr>
              <w:t>Chief Legal Officer</w:t>
            </w:r>
          </w:p>
        </w:tc>
      </w:tr>
      <w:tr>
        <w:trPr>
          <w:trHeight w:val="237"/>
        </w:trPr>
        <w:tc>
          <w:tcPr>
            <w:tcW w:w="2280" w:type="dxa"/>
            <w:vAlign w:val="bottom"/>
            <w:tcBorders>
              <w:bottom w:val="single" w:sz="8" w:color="003595"/>
            </w:tcBorders>
          </w:tcPr>
          <w:p>
            <w:pPr>
              <w:ind w:left="60"/>
              <w:spacing w:after="0"/>
              <w:rPr>
                <w:sz w:val="20"/>
                <w:szCs w:val="20"/>
                <w:color w:val="auto"/>
              </w:rPr>
            </w:pPr>
            <w:r>
              <w:rPr>
                <w:rFonts w:ascii="Arial" w:cs="Arial" w:eastAsia="Arial" w:hAnsi="Arial"/>
                <w:sz w:val="16"/>
                <w:szCs w:val="16"/>
                <w:color w:val="auto"/>
              </w:rPr>
              <w:t>Dale Muzzey</w:t>
            </w:r>
          </w:p>
        </w:tc>
        <w:tc>
          <w:tcPr>
            <w:tcW w:w="1040" w:type="dxa"/>
            <w:vAlign w:val="bottom"/>
            <w:tcBorders>
              <w:bottom w:val="single" w:sz="8" w:color="003595"/>
            </w:tcBorders>
          </w:tcPr>
          <w:p>
            <w:pPr>
              <w:jc w:val="right"/>
              <w:ind w:right="119"/>
              <w:spacing w:after="0"/>
              <w:rPr>
                <w:sz w:val="20"/>
                <w:szCs w:val="20"/>
                <w:color w:val="auto"/>
              </w:rPr>
            </w:pPr>
            <w:r>
              <w:rPr>
                <w:rFonts w:ascii="Arial" w:cs="Arial" w:eastAsia="Arial" w:hAnsi="Arial"/>
                <w:sz w:val="16"/>
                <w:szCs w:val="16"/>
                <w:color w:val="auto"/>
              </w:rPr>
              <w:t>46</w:t>
            </w:r>
          </w:p>
        </w:tc>
        <w:tc>
          <w:tcPr>
            <w:tcW w:w="7500" w:type="dxa"/>
            <w:vAlign w:val="bottom"/>
            <w:tcBorders>
              <w:bottom w:val="single" w:sz="8" w:color="003595"/>
            </w:tcBorders>
          </w:tcPr>
          <w:p>
            <w:pPr>
              <w:ind w:left="200"/>
              <w:spacing w:after="0"/>
              <w:rPr>
                <w:sz w:val="20"/>
                <w:szCs w:val="20"/>
                <w:color w:val="auto"/>
              </w:rPr>
            </w:pPr>
            <w:r>
              <w:rPr>
                <w:rFonts w:ascii="Arial" w:cs="Arial" w:eastAsia="Arial" w:hAnsi="Arial"/>
                <w:sz w:val="16"/>
                <w:szCs w:val="16"/>
                <w:color w:val="auto"/>
              </w:rPr>
              <w:t>Chief Scientific Officer</w:t>
            </w:r>
          </w:p>
        </w:tc>
      </w:tr>
      <w:tr>
        <w:trPr>
          <w:trHeight w:val="237"/>
        </w:trPr>
        <w:tc>
          <w:tcPr>
            <w:tcW w:w="2280" w:type="dxa"/>
            <w:vAlign w:val="bottom"/>
            <w:tcBorders>
              <w:bottom w:val="single" w:sz="8" w:color="0A2299"/>
            </w:tcBorders>
          </w:tcPr>
          <w:p>
            <w:pPr>
              <w:ind w:left="60"/>
              <w:spacing w:after="0"/>
              <w:rPr>
                <w:sz w:val="20"/>
                <w:szCs w:val="20"/>
                <w:color w:val="auto"/>
              </w:rPr>
            </w:pPr>
            <w:r>
              <w:rPr>
                <w:rFonts w:ascii="Arial" w:cs="Arial" w:eastAsia="Arial" w:hAnsi="Arial"/>
                <w:sz w:val="16"/>
                <w:szCs w:val="16"/>
                <w:color w:val="auto"/>
              </w:rPr>
              <w:t>Shereen Solaiman</w:t>
            </w:r>
          </w:p>
        </w:tc>
        <w:tc>
          <w:tcPr>
            <w:tcW w:w="1040" w:type="dxa"/>
            <w:vAlign w:val="bottom"/>
            <w:tcBorders>
              <w:bottom w:val="single" w:sz="8" w:color="0A2299"/>
            </w:tcBorders>
          </w:tcPr>
          <w:p>
            <w:pPr>
              <w:jc w:val="right"/>
              <w:ind w:right="119"/>
              <w:spacing w:after="0"/>
              <w:rPr>
                <w:sz w:val="20"/>
                <w:szCs w:val="20"/>
                <w:color w:val="auto"/>
              </w:rPr>
            </w:pPr>
            <w:r>
              <w:rPr>
                <w:rFonts w:ascii="Arial" w:cs="Arial" w:eastAsia="Arial" w:hAnsi="Arial"/>
                <w:sz w:val="16"/>
                <w:szCs w:val="16"/>
                <w:color w:val="auto"/>
              </w:rPr>
              <w:t>53</w:t>
            </w:r>
          </w:p>
        </w:tc>
        <w:tc>
          <w:tcPr>
            <w:tcW w:w="7500" w:type="dxa"/>
            <w:vAlign w:val="bottom"/>
            <w:tcBorders>
              <w:bottom w:val="single" w:sz="8" w:color="0A2299"/>
            </w:tcBorders>
          </w:tcPr>
          <w:p>
            <w:pPr>
              <w:ind w:left="200"/>
              <w:spacing w:after="0"/>
              <w:rPr>
                <w:sz w:val="20"/>
                <w:szCs w:val="20"/>
                <w:color w:val="auto"/>
              </w:rPr>
            </w:pPr>
            <w:r>
              <w:rPr>
                <w:rFonts w:ascii="Arial" w:cs="Arial" w:eastAsia="Arial" w:hAnsi="Arial"/>
                <w:sz w:val="16"/>
                <w:szCs w:val="16"/>
                <w:color w:val="auto"/>
              </w:rPr>
              <w:t>Chief People Officer</w:t>
            </w:r>
          </w:p>
        </w:tc>
      </w:tr>
      <w:tr>
        <w:trPr>
          <w:trHeight w:val="243"/>
        </w:trPr>
        <w:tc>
          <w:tcPr>
            <w:tcW w:w="2280" w:type="dxa"/>
            <w:vAlign w:val="bottom"/>
            <w:tcBorders>
              <w:bottom w:val="single" w:sz="8" w:color="003595"/>
            </w:tcBorders>
          </w:tcPr>
          <w:p>
            <w:pPr>
              <w:ind w:left="60"/>
              <w:spacing w:after="0"/>
              <w:rPr>
                <w:sz w:val="20"/>
                <w:szCs w:val="20"/>
                <w:color w:val="auto"/>
              </w:rPr>
            </w:pPr>
            <w:r>
              <w:rPr>
                <w:rFonts w:ascii="Arial" w:cs="Arial" w:eastAsia="Arial" w:hAnsi="Arial"/>
                <w:sz w:val="16"/>
                <w:szCs w:val="16"/>
                <w:color w:val="auto"/>
              </w:rPr>
              <w:t xml:space="preserve">Mark Verratti </w:t>
            </w:r>
            <w:r>
              <w:rPr>
                <w:rFonts w:ascii="Arial" w:cs="Arial" w:eastAsia="Arial" w:hAnsi="Arial"/>
                <w:sz w:val="21"/>
                <w:szCs w:val="21"/>
                <w:color w:val="auto"/>
                <w:vertAlign w:val="superscript"/>
              </w:rPr>
              <w:t>(3)</w:t>
            </w:r>
          </w:p>
        </w:tc>
        <w:tc>
          <w:tcPr>
            <w:tcW w:w="1040" w:type="dxa"/>
            <w:vAlign w:val="bottom"/>
            <w:tcBorders>
              <w:bottom w:val="single" w:sz="8" w:color="003595"/>
            </w:tcBorders>
          </w:tcPr>
          <w:p>
            <w:pPr>
              <w:jc w:val="right"/>
              <w:ind w:right="119"/>
              <w:spacing w:after="0"/>
              <w:rPr>
                <w:sz w:val="20"/>
                <w:szCs w:val="20"/>
                <w:color w:val="auto"/>
              </w:rPr>
            </w:pPr>
            <w:r>
              <w:rPr>
                <w:rFonts w:ascii="Arial" w:cs="Arial" w:eastAsia="Arial" w:hAnsi="Arial"/>
                <w:sz w:val="16"/>
                <w:szCs w:val="16"/>
                <w:color w:val="auto"/>
              </w:rPr>
              <w:t>57</w:t>
            </w:r>
          </w:p>
        </w:tc>
        <w:tc>
          <w:tcPr>
            <w:tcW w:w="7500" w:type="dxa"/>
            <w:vAlign w:val="bottom"/>
            <w:tcBorders>
              <w:bottom w:val="single" w:sz="8" w:color="003595"/>
            </w:tcBorders>
          </w:tcPr>
          <w:p>
            <w:pPr>
              <w:ind w:left="200"/>
              <w:spacing w:after="0"/>
              <w:rPr>
                <w:sz w:val="20"/>
                <w:szCs w:val="20"/>
                <w:color w:val="auto"/>
              </w:rPr>
            </w:pPr>
            <w:r>
              <w:rPr>
                <w:rFonts w:ascii="Arial" w:cs="Arial" w:eastAsia="Arial" w:hAnsi="Arial"/>
                <w:sz w:val="16"/>
                <w:szCs w:val="16"/>
                <w:color w:val="auto"/>
              </w:rPr>
              <w:t>Chief Operating Officer</w:t>
            </w:r>
          </w:p>
        </w:tc>
      </w:tr>
      <w:tr>
        <w:trPr>
          <w:trHeight w:val="237"/>
        </w:trPr>
        <w:tc>
          <w:tcPr>
            <w:tcW w:w="2280" w:type="dxa"/>
            <w:vAlign w:val="bottom"/>
            <w:tcBorders>
              <w:bottom w:val="single" w:sz="8" w:color="003595"/>
            </w:tcBorders>
          </w:tcPr>
          <w:p>
            <w:pPr>
              <w:ind w:left="60"/>
              <w:spacing w:after="0" w:line="237" w:lineRule="exact"/>
              <w:rPr>
                <w:sz w:val="20"/>
                <w:szCs w:val="20"/>
                <w:color w:val="auto"/>
              </w:rPr>
            </w:pPr>
            <w:r>
              <w:rPr>
                <w:rFonts w:ascii="Arial" w:cs="Arial" w:eastAsia="Arial" w:hAnsi="Arial"/>
                <w:sz w:val="16"/>
                <w:szCs w:val="16"/>
                <w:color w:val="auto"/>
              </w:rPr>
              <w:t xml:space="preserve">Benjamin R. Wheeler </w:t>
            </w:r>
            <w:r>
              <w:rPr>
                <w:rFonts w:ascii="Arial" w:cs="Arial" w:eastAsia="Arial" w:hAnsi="Arial"/>
                <w:sz w:val="21"/>
                <w:szCs w:val="21"/>
                <w:color w:val="auto"/>
                <w:vertAlign w:val="superscript"/>
              </w:rPr>
              <w:t>(4)</w:t>
            </w:r>
          </w:p>
        </w:tc>
        <w:tc>
          <w:tcPr>
            <w:tcW w:w="1040" w:type="dxa"/>
            <w:vAlign w:val="bottom"/>
            <w:tcBorders>
              <w:bottom w:val="single" w:sz="8" w:color="003595"/>
            </w:tcBorders>
          </w:tcPr>
          <w:p>
            <w:pPr>
              <w:jc w:val="right"/>
              <w:ind w:right="119"/>
              <w:spacing w:after="0"/>
              <w:rPr>
                <w:sz w:val="20"/>
                <w:szCs w:val="20"/>
                <w:color w:val="auto"/>
              </w:rPr>
            </w:pPr>
            <w:r>
              <w:rPr>
                <w:rFonts w:ascii="Arial" w:cs="Arial" w:eastAsia="Arial" w:hAnsi="Arial"/>
                <w:sz w:val="16"/>
                <w:szCs w:val="16"/>
                <w:color w:val="auto"/>
              </w:rPr>
              <w:t>42</w:t>
            </w:r>
          </w:p>
        </w:tc>
        <w:tc>
          <w:tcPr>
            <w:tcW w:w="7500" w:type="dxa"/>
            <w:vAlign w:val="bottom"/>
            <w:tcBorders>
              <w:bottom w:val="single" w:sz="8" w:color="003595"/>
            </w:tcBorders>
          </w:tcPr>
          <w:p>
            <w:pPr>
              <w:ind w:left="200"/>
              <w:spacing w:after="0"/>
              <w:rPr>
                <w:sz w:val="20"/>
                <w:szCs w:val="20"/>
                <w:color w:val="auto"/>
              </w:rPr>
            </w:pPr>
            <w:r>
              <w:rPr>
                <w:rFonts w:ascii="Arial" w:cs="Arial" w:eastAsia="Arial" w:hAnsi="Arial"/>
                <w:sz w:val="16"/>
                <w:szCs w:val="16"/>
                <w:color w:val="auto"/>
              </w:rPr>
              <w:t>Chief Financial Officer</w:t>
            </w:r>
          </w:p>
        </w:tc>
      </w:tr>
    </w:tbl>
    <w:p>
      <w:pPr>
        <w:spacing w:after="0" w:line="185" w:lineRule="exact"/>
        <w:rPr>
          <w:sz w:val="20"/>
          <w:szCs w:val="20"/>
          <w:color w:val="auto"/>
        </w:rPr>
      </w:pPr>
    </w:p>
    <w:p>
      <w:pPr>
        <w:ind w:left="440" w:hanging="189"/>
        <w:spacing w:after="0"/>
        <w:tabs>
          <w:tab w:leader="none" w:pos="4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Raha was appointed President and Chief Executive Officer effective April 30, 2025.</w:t>
      </w:r>
    </w:p>
    <w:p>
      <w:pPr>
        <w:spacing w:after="0" w:line="107" w:lineRule="exact"/>
        <w:rPr>
          <w:rFonts w:ascii="Arial" w:cs="Arial" w:eastAsia="Arial" w:hAnsi="Arial"/>
          <w:sz w:val="13"/>
          <w:szCs w:val="13"/>
          <w:color w:val="auto"/>
        </w:rPr>
      </w:pPr>
    </w:p>
    <w:p>
      <w:pPr>
        <w:ind w:left="440" w:hanging="189"/>
        <w:spacing w:after="0"/>
        <w:tabs>
          <w:tab w:leader="none" w:pos="4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Donnelly was appointed Chief Commercial Officer effective May 1, 2025.</w:t>
      </w:r>
    </w:p>
    <w:p>
      <w:pPr>
        <w:spacing w:after="0" w:line="107" w:lineRule="exact"/>
        <w:rPr>
          <w:rFonts w:ascii="Arial" w:cs="Arial" w:eastAsia="Arial" w:hAnsi="Arial"/>
          <w:sz w:val="13"/>
          <w:szCs w:val="13"/>
          <w:color w:val="auto"/>
        </w:rPr>
      </w:pPr>
    </w:p>
    <w:p>
      <w:pPr>
        <w:ind w:left="440" w:hanging="189"/>
        <w:spacing w:after="0"/>
        <w:tabs>
          <w:tab w:leader="none" w:pos="4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Verratti was appointed Chief Operating Officer effective April 30, 2025.</w:t>
      </w:r>
    </w:p>
    <w:p>
      <w:pPr>
        <w:spacing w:after="0" w:line="120" w:lineRule="exact"/>
        <w:rPr>
          <w:rFonts w:ascii="Arial" w:cs="Arial" w:eastAsia="Arial" w:hAnsi="Arial"/>
          <w:sz w:val="13"/>
          <w:szCs w:val="13"/>
          <w:color w:val="auto"/>
        </w:rPr>
      </w:pPr>
    </w:p>
    <w:p>
      <w:pPr>
        <w:ind w:left="440" w:hanging="189"/>
        <w:spacing w:after="0"/>
        <w:tabs>
          <w:tab w:leader="none" w:pos="4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Wheeler was appointed Chief Financial Officer effective August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6840855" cy="17487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40855" cy="17487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Samraat S. Raha</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003595"/>
        </w:rPr>
        <w:t>President and Chief Executive Officer</w:t>
      </w:r>
    </w:p>
    <w:p>
      <w:pPr>
        <w:spacing w:after="0" w:line="343" w:lineRule="exact"/>
        <w:rPr>
          <w:sz w:val="20"/>
          <w:szCs w:val="20"/>
          <w:color w:val="auto"/>
        </w:rPr>
      </w:pPr>
    </w:p>
    <w:p>
      <w:pPr>
        <w:jc w:val="both"/>
        <w:ind w:left="2160" w:right="480"/>
        <w:spacing w:after="0" w:line="259" w:lineRule="auto"/>
        <w:rPr>
          <w:sz w:val="20"/>
          <w:szCs w:val="20"/>
          <w:color w:val="auto"/>
        </w:rPr>
      </w:pPr>
      <w:r>
        <w:rPr>
          <w:rFonts w:ascii="Arial" w:cs="Arial" w:eastAsia="Arial" w:hAnsi="Arial"/>
          <w:sz w:val="16"/>
          <w:szCs w:val="16"/>
          <w:color w:val="auto"/>
        </w:rPr>
        <w:t>Sam S. Raha has served as President and Chief Executive Officer, and a member of the Board, since April 30, 2025. Previously, he served as Chief Operating Officer of Myriad from December 2023 to April 2025. Prior to joining Myriad, he served as Senior Vice President and President, Diagnostics and Genomics Group, of Agilent Technologies, Inc. from April 2018 to December 2023. From May 2017 to April 2018, Mr. Raha served as Agilent's Senior Vice President, Strategy and Corporate Development. From July 2013 to January 2017, he served as Vice President, Global Marketing for Illumina, Inc., and from 2008 to 2012, he served as Vice President and General Manager, Genomics Assays / NextGen qPCR for Life Technologies, Inc. Mr. Raha graduated from the University of California, Berkeley, with a degree in molecular and cell biology and received his MBA from Santa Clara University.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03595"/>
        </w:rPr>
        <w:t xml:space="preserve">Age: </w:t>
      </w:r>
      <w:r>
        <w:rPr>
          <w:rFonts w:ascii="Arial" w:cs="Arial" w:eastAsia="Arial" w:hAnsi="Arial"/>
          <w:sz w:val="14"/>
          <w:szCs w:val="14"/>
          <w:b w:val="1"/>
          <w:bCs w:val="1"/>
          <w:color w:val="0A2299"/>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840855" cy="1654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40855" cy="165417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Brian Donnelly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03595"/>
        </w:rPr>
        <w:t>Age: 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Chief Commercial Officer</w:t>
      </w:r>
    </w:p>
    <w:p>
      <w:pPr>
        <w:spacing w:after="0" w:line="329" w:lineRule="exact"/>
        <w:rPr>
          <w:sz w:val="20"/>
          <w:szCs w:val="20"/>
          <w:color w:val="auto"/>
        </w:rPr>
      </w:pPr>
    </w:p>
    <w:p>
      <w:pPr>
        <w:jc w:val="both"/>
        <w:ind w:right="480"/>
        <w:spacing w:after="0" w:line="262" w:lineRule="auto"/>
        <w:rPr>
          <w:sz w:val="20"/>
          <w:szCs w:val="20"/>
          <w:color w:val="auto"/>
        </w:rPr>
      </w:pPr>
      <w:r>
        <w:rPr>
          <w:rFonts w:ascii="Arial" w:cs="Arial" w:eastAsia="Arial" w:hAnsi="Arial"/>
          <w:sz w:val="16"/>
          <w:szCs w:val="16"/>
          <w:color w:val="auto"/>
        </w:rPr>
        <w:t>Brian Donnelly has served as Chief Commercial Officer since joining Myriad in May 2025. Prior to joining the Company, Mr. Donnelly served as Chief Commercial Officer at Ancestry from July 2021 to April 2025, where he led global commercial operations, including marketing, business development, and international and emerging businesses, including AncestryDNA. Previously, he served as Worldwide Leader, Diagnostics &amp; Genomics at Amazon from July 2020 to July 2021 and as Chief Commercial Officer of Codex DNA (now Telesis Bio) from December 2019 to July 2020. Mr. Donnelly holds a Bachelor of Science in Business Administration from Elon University, as well as a Master of Business Administration and a J.D. from Rutgers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170815</wp:posOffset>
            </wp:positionV>
            <wp:extent cx="68408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1560" w:space="600"/>
            <w:col w:w="9080"/>
          </w:cols>
          <w:pgMar w:left="320" w:top="1007" w:right="33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6883400" cy="20148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83400" cy="2014855"/>
                    </a:xfrm>
                    <a:prstGeom prst="rect">
                      <a:avLst/>
                    </a:prstGeom>
                    <a:noFill/>
                  </pic:spPr>
                </pic:pic>
              </a:graphicData>
            </a:graphic>
          </wp:anchor>
        </w:drawing>
        <w:t>Jennifer Fox</w:t>
      </w:r>
    </w:p>
    <w:p>
      <w:pPr>
        <w:spacing w:after="0" w:line="72"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003595"/>
        </w:rPr>
        <w:t>Chief Legal Officer</w:t>
      </w:r>
    </w:p>
    <w:p>
      <w:pPr>
        <w:spacing w:after="0" w:line="329" w:lineRule="exact"/>
        <w:rPr>
          <w:sz w:val="20"/>
          <w:szCs w:val="20"/>
          <w:color w:val="auto"/>
        </w:rPr>
      </w:pPr>
    </w:p>
    <w:p>
      <w:pPr>
        <w:jc w:val="both"/>
        <w:ind w:left="2180"/>
        <w:spacing w:after="0" w:line="258" w:lineRule="auto"/>
        <w:rPr>
          <w:sz w:val="20"/>
          <w:szCs w:val="20"/>
          <w:color w:val="auto"/>
        </w:rPr>
      </w:pPr>
      <w:r>
        <w:rPr>
          <w:rFonts w:ascii="Arial" w:cs="Arial" w:eastAsia="Arial" w:hAnsi="Arial"/>
          <w:sz w:val="16"/>
          <w:szCs w:val="16"/>
          <w:color w:val="auto"/>
        </w:rPr>
        <w:t>Jennifer Fox has served as Chief Legal Officer since joining Myriad in September 2024. Prior to joining the Company, she served as the Executive Vice President, External Affairs, General Counsel and Corporate Secretary of Emergent BioSolutions Inc. (Emergent) from March 2022 to August 2024, where she was responsible for overseeing legal functions, government and public affairs, communications, and ESG initiatives. Prior to that role, she served as Senior Vice President, Legal Affairs, Deputy General Counsel from January 2020 to February 2022, and as Vice President, Associate General Counsel from December 2018 to December 2019 at Emergent. Before joining Emergent, Ms. Fox was an attorney and shareholder at the law firm of Brinks, Gilson &amp; Lione, and previously served as an in-house attorney for Novozymes and GSK. Prior to her legal career, she worked as a research scientist at the National Institutes of Health and GSK. Ms. Fox received her J.D. from North Carolina Central University, an M.S. in molecular biology and biochemistry, and a B.S. in Biology from the University of Toledo.</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595"/>
        </w:rPr>
        <w:t>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883400" cy="18605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83400" cy="18605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Dale Muzzey</w:t>
      </w:r>
    </w:p>
    <w:p>
      <w:pPr>
        <w:spacing w:after="0" w:line="99"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003595"/>
        </w:rPr>
        <w:t>Chief Scientific Officer</w:t>
      </w:r>
    </w:p>
    <w:p>
      <w:pPr>
        <w:spacing w:after="0" w:line="343" w:lineRule="exact"/>
        <w:rPr>
          <w:sz w:val="20"/>
          <w:szCs w:val="20"/>
          <w:color w:val="auto"/>
        </w:rPr>
      </w:pPr>
    </w:p>
    <w:p>
      <w:pPr>
        <w:jc w:val="both"/>
        <w:ind w:left="2180"/>
        <w:spacing w:after="0" w:line="259" w:lineRule="auto"/>
        <w:rPr>
          <w:sz w:val="20"/>
          <w:szCs w:val="20"/>
          <w:color w:val="auto"/>
        </w:rPr>
      </w:pPr>
      <w:r>
        <w:rPr>
          <w:rFonts w:ascii="Arial" w:cs="Arial" w:eastAsia="Arial" w:hAnsi="Arial"/>
          <w:sz w:val="16"/>
          <w:szCs w:val="16"/>
          <w:color w:val="auto"/>
        </w:rPr>
        <w:t>Dale Muzzey has served as Chief Scientific Officer since April 2022. Previously, he served at Myriad as Interim Chief Scientific Officer and Senior Vice President, R&amp;D from January 2022 to April 2022; Vice President, Bioinformatics, from October 2019 to December 2021; and Senior Director, Clinical Development from August 2018 to September 2019. From April 2014 to July 2018, Dr. Muzzey also served in a number of positions of increasing responsibility at Myriad Women's Health, including Director, Scientific Affairs, Staff Scientist, Computational Biology, Senior Scientist, and Computational Scientist I. Dr. Muzzey received a Bachelor of Arts degree in Biochemical Sciences and a Ph.D. in Biophysics from Harvard University.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595"/>
        </w:rPr>
        <w:t xml:space="preserve">Age: </w:t>
      </w:r>
      <w:r>
        <w:rPr>
          <w:rFonts w:ascii="Arial" w:cs="Arial" w:eastAsia="Arial" w:hAnsi="Arial"/>
          <w:sz w:val="14"/>
          <w:szCs w:val="14"/>
          <w:b w:val="1"/>
          <w:bCs w:val="1"/>
          <w:color w:val="0A2299"/>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883400" cy="20656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83400" cy="2065655"/>
                    </a:xfrm>
                    <a:prstGeom prst="rect">
                      <a:avLst/>
                    </a:prstGeom>
                    <a:noFill/>
                  </pic:spPr>
                </pic:pic>
              </a:graphicData>
            </a:graphic>
          </wp:anchor>
        </w:drawing>
      </w:r>
    </w:p>
    <w:p>
      <w:pPr>
        <w:sectPr>
          <w:pgSz w:w="11900" w:h="16838" w:orient="portrait"/>
          <w:cols w:equalWidth="0" w:num="1">
            <w:col w:w="10820"/>
          </w:cols>
          <w:pgMar w:left="340" w:top="827" w:right="739" w:bottom="1440" w:gutter="0" w:footer="0" w:header="0"/>
        </w:sect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Shereen Solaiman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595"/>
        </w:rPr>
        <w:t xml:space="preserve">Age: </w:t>
      </w:r>
      <w:r>
        <w:rPr>
          <w:rFonts w:ascii="Arial" w:cs="Arial" w:eastAsia="Arial" w:hAnsi="Arial"/>
          <w:sz w:val="14"/>
          <w:szCs w:val="14"/>
          <w:b w:val="1"/>
          <w:bCs w:val="1"/>
          <w:color w:val="0A2299"/>
        </w:rPr>
        <w:t>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003595"/>
        </w:rPr>
        <w:t>Chief People Officer</w:t>
      </w:r>
    </w:p>
    <w:p>
      <w:pPr>
        <w:spacing w:after="0" w:line="32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Shereen Solaiman has served as Chief People Officer since joining Myriad in March 2023. Prior to joining the Company, she served for over 12 years with OhioHealth, a not-for-profit, faith-based health system, most recently as Senior Vice President, Chief Human Resource Officer from August 2020 to October 2022. During her tenure at OhioHealth, she held several positions of increasing responsibility, including Vice President, HR Strategy and Business Enablement from January 2018 to August 2020; Vice President, Total Rewards, from July 2016 to January 2018; and Vice President, Human Resources Central Ohio and Corporate from October 2014 to July 2016. Previously, Ms. Solaiman served for over ten years at Borders Group, Inc. in a variety of human resources roles, including as Senior Vice President, Human Resources. She received a B.S. in Journalism and Public Relations from Ohio University and a Masters in Public Administration from New York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276225</wp:posOffset>
            </wp:positionV>
            <wp:extent cx="6883400" cy="21431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83400" cy="2143125"/>
                    </a:xfrm>
                    <a:prstGeom prst="rect">
                      <a:avLst/>
                    </a:prstGeom>
                    <a:noFill/>
                  </pic:spPr>
                </pic:pic>
              </a:graphicData>
            </a:graphic>
          </wp:anchor>
        </w:drawing>
      </w:r>
    </w:p>
    <w:p>
      <w:pPr>
        <w:spacing w:after="0" w:line="529" w:lineRule="exact"/>
        <w:rPr>
          <w:sz w:val="20"/>
          <w:szCs w:val="20"/>
          <w:color w:val="auto"/>
        </w:rPr>
      </w:pPr>
    </w:p>
    <w:p>
      <w:pPr>
        <w:sectPr>
          <w:pgSz w:w="11900" w:h="16838" w:orient="portrait"/>
          <w:cols w:equalWidth="0" w:num="2">
            <w:col w:w="1880" w:space="300"/>
            <w:col w:w="8640"/>
          </w:cols>
          <w:pgMar w:left="340" w:top="827" w:right="7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Mark S. Verratti</w:t>
      </w:r>
    </w:p>
    <w:p>
      <w:pPr>
        <w:spacing w:after="0" w:line="72"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003595"/>
        </w:rPr>
        <w:t>Chief Operating Officer</w:t>
      </w:r>
    </w:p>
    <w:p>
      <w:pPr>
        <w:spacing w:after="0" w:line="200" w:lineRule="exact"/>
        <w:rPr>
          <w:sz w:val="20"/>
          <w:szCs w:val="20"/>
          <w:color w:val="auto"/>
        </w:rPr>
      </w:pPr>
    </w:p>
    <w:p>
      <w:pPr>
        <w:spacing w:after="0" w:line="224" w:lineRule="exact"/>
        <w:rPr>
          <w:sz w:val="20"/>
          <w:szCs w:val="20"/>
          <w:color w:val="auto"/>
        </w:rPr>
      </w:pPr>
    </w:p>
    <w:p>
      <w:pPr>
        <w:jc w:val="both"/>
        <w:ind w:left="2180"/>
        <w:spacing w:after="0" w:line="258" w:lineRule="auto"/>
        <w:rPr>
          <w:sz w:val="20"/>
          <w:szCs w:val="20"/>
          <w:color w:val="auto"/>
        </w:rPr>
      </w:pPr>
      <w:r>
        <w:rPr>
          <w:rFonts w:ascii="Arial" w:cs="Arial" w:eastAsia="Arial" w:hAnsi="Arial"/>
          <w:sz w:val="16"/>
          <w:szCs w:val="16"/>
          <w:color w:val="auto"/>
        </w:rPr>
        <w:t>Mark Verratti has served as Chief Operating Officer since April 30, 2025. Previously, he served as Chief Commercial Officer from April 2022 to April 2025. Since joining Myriad, Mr. Verratti has held several key leadership positions, including President, Mental Health or President (Myriad Neuroscience) from August 2017 to April 2022, and as President of Myriad Autoimmune from May 2020 until the divestiture of that business in September 2021. Prior to his appointment as President of Myriad Neuroscience, he served as Senior Vice President and Chief Sales and Business Development Officer at Assurex Health beginning in January 2016. Mr. Verratti also held senior leadership positions worldwide with Cyberonics (now known as LivaNova) from 2005 to 2016, and earlier with Forest Pharmaceuticals, where he led commercial teams with revenues approaching $500 million dollars. He received a B.S. in Life Sciences with a minor in Physiology from The Pennsylvania State University.</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595"/>
        </w:rPr>
        <w:t xml:space="preserve">Age: </w:t>
      </w:r>
      <w:r>
        <w:rPr>
          <w:rFonts w:ascii="Arial" w:cs="Arial" w:eastAsia="Arial" w:hAnsi="Arial"/>
          <w:sz w:val="14"/>
          <w:szCs w:val="14"/>
          <w:b w:val="1"/>
          <w:bCs w:val="1"/>
          <w:color w:val="0A2299"/>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8834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ectPr>
          <w:pgSz w:w="11900" w:h="16838" w:orient="portrait"/>
          <w:cols w:equalWidth="0" w:num="1">
            <w:col w:w="10820"/>
          </w:cols>
          <w:pgMar w:left="340" w:top="82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00497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827" w:right="739" w:bottom="1440" w:gutter="0" w:footer="0" w:header="0"/>
          <w:type w:val="continuous"/>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6883400" cy="17830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83400" cy="1783080"/>
                    </a:xfrm>
                    <a:prstGeom prst="rect">
                      <a:avLst/>
                    </a:prstGeom>
                    <a:noFill/>
                  </pic:spPr>
                </pic:pic>
              </a:graphicData>
            </a:graphic>
          </wp:anchor>
        </w:drawing>
        <w:t>Benjamin Wheeler</w:t>
      </w:r>
    </w:p>
    <w:p>
      <w:pPr>
        <w:spacing w:after="0" w:line="72"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003595"/>
        </w:rPr>
        <w:t>Chief Financial Officer</w:t>
      </w:r>
    </w:p>
    <w:p>
      <w:pPr>
        <w:spacing w:after="0" w:line="181" w:lineRule="exact"/>
        <w:rPr>
          <w:sz w:val="20"/>
          <w:szCs w:val="20"/>
          <w:color w:val="auto"/>
        </w:rPr>
      </w:pPr>
    </w:p>
    <w:p>
      <w:pPr>
        <w:jc w:val="both"/>
        <w:ind w:left="2200" w:right="380"/>
        <w:spacing w:after="0" w:line="259" w:lineRule="auto"/>
        <w:rPr>
          <w:sz w:val="20"/>
          <w:szCs w:val="20"/>
          <w:color w:val="auto"/>
        </w:rPr>
      </w:pPr>
      <w:r>
        <w:rPr>
          <w:rFonts w:ascii="Arial" w:cs="Arial" w:eastAsia="Arial" w:hAnsi="Arial"/>
          <w:sz w:val="16"/>
          <w:szCs w:val="16"/>
          <w:color w:val="auto"/>
        </w:rPr>
        <w:t>Benjamin R. Wheeler has served as Chief Financial Officer since August 16, 2025. Since joining Myriad in December 2011, Mr. Wheeler has held several positions of increasing responsibility within the finance organization, including Senior Vice President, Chief Financial Officer, Operations from June 2022 to August 2025; Senior Vice President of Finance &amp; Treasury from July 2020 to June 2022; and Senior Vice President, Accounting from June 2018 to July 2020. Previously, he served as Vice President, Corporate Controller from December 2014 to June 2018, and as Division Controller from December 2011 to December 2014. Mr. Wheeler holds a Bachelor of Science and a Master of Accounting (MAcc) from Brigham Young University.</w:t>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03595"/>
        </w:rPr>
        <w:t>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8834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entered into standard employment agreements with each of the above executive officers. For each such officer, we have also entered into our standard Severance and Change of Control Agreements, which are described elsewhere in the proxy statement under the caption ‘‘Executive and Director Compensation—Potential Payments Upon Termination or Change of Control.’’</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34" w:name="page35"/>
    <w:bookmarkEnd w:id="34"/>
    <w:p>
      <w:pPr>
        <w:jc w:val="center"/>
        <w:spacing w:after="0"/>
        <w:rPr>
          <w:sz w:val="20"/>
          <w:szCs w:val="20"/>
          <w:color w:val="auto"/>
        </w:rPr>
      </w:pPr>
      <w:r>
        <w:rPr>
          <w:rFonts w:ascii="Arial" w:cs="Arial" w:eastAsia="Arial" w:hAnsi="Arial"/>
          <w:sz w:val="25"/>
          <w:szCs w:val="25"/>
          <w:b w:val="1"/>
          <w:bCs w:val="1"/>
          <w:color w:val="003595"/>
        </w:rPr>
        <w:t>Sustainability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9005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Sustainability</w:t>
      </w:r>
    </w:p>
    <w:p>
      <w:pPr>
        <w:spacing w:after="0" w:line="2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part of our mission to advance the health and well-being of others, we strive to conduct our business in a sustainable and environmentally responsible manner. Some of our environmental initiatives include:</w:t>
      </w:r>
    </w:p>
    <w:p>
      <w:pPr>
        <w:spacing w:after="0" w:line="183" w:lineRule="exact"/>
        <w:rPr>
          <w:sz w:val="20"/>
          <w:szCs w:val="20"/>
          <w:color w:val="auto"/>
        </w:rPr>
      </w:pPr>
    </w:p>
    <w:p>
      <w:pPr>
        <w:ind w:left="660" w:hanging="328"/>
        <w:spacing w:after="0" w:line="304"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Plastic Waste Reduction</w:t>
      </w:r>
      <w:r>
        <w:rPr>
          <w:rFonts w:ascii="Arial" w:cs="Arial" w:eastAsia="Arial" w:hAnsi="Arial"/>
          <w:sz w:val="16"/>
          <w:szCs w:val="16"/>
          <w:color w:val="auto"/>
        </w:rPr>
        <w:t>: Led by our employee-driven "Green Team", we have recycled approximately 185 tons of plastics in our Salt Lake City</w:t>
      </w:r>
      <w:r>
        <w:rPr>
          <w:rFonts w:ascii="Arial" w:cs="Arial" w:eastAsia="Arial" w:hAnsi="Arial"/>
          <w:sz w:val="16"/>
          <w:szCs w:val="16"/>
          <w:i w:val="1"/>
          <w:iCs w:val="1"/>
          <w:color w:val="auto"/>
        </w:rPr>
        <w:t xml:space="preserve"> </w:t>
      </w:r>
      <w:r>
        <w:rPr>
          <w:rFonts w:ascii="Arial" w:cs="Arial" w:eastAsia="Arial" w:hAnsi="Arial"/>
          <w:sz w:val="16"/>
          <w:szCs w:val="16"/>
          <w:color w:val="auto"/>
        </w:rPr>
        <w:t>laboratory since our recycling program started in 2019. This includes the recycling of 36 tons of plastic during 2025 alone.</w:t>
      </w:r>
    </w:p>
    <w:p>
      <w:pPr>
        <w:spacing w:after="0" w:line="168"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Emissions Monitoring and Reduction</w:t>
      </w:r>
      <w:r>
        <w:rPr>
          <w:rFonts w:ascii="Arial" w:cs="Arial" w:eastAsia="Arial" w:hAnsi="Arial"/>
          <w:sz w:val="16"/>
          <w:szCs w:val="16"/>
          <w:color w:val="auto"/>
        </w:rPr>
        <w:t>: We have established a baseline for our environmental footprint by measuring our Scope 1 and Scope 2</w:t>
      </w:r>
      <w:r>
        <w:rPr>
          <w:rFonts w:ascii="Arial" w:cs="Arial" w:eastAsia="Arial" w:hAnsi="Arial"/>
          <w:sz w:val="16"/>
          <w:szCs w:val="16"/>
          <w:i w:val="1"/>
          <w:iCs w:val="1"/>
          <w:color w:val="auto"/>
        </w:rPr>
        <w:t xml:space="preserve"> </w:t>
      </w:r>
      <w:r>
        <w:rPr>
          <w:rFonts w:ascii="Arial" w:cs="Arial" w:eastAsia="Arial" w:hAnsi="Arial"/>
          <w:sz w:val="16"/>
          <w:szCs w:val="16"/>
          <w:color w:val="auto"/>
        </w:rPr>
        <w:t>emissions from the use of our laboratories and office spaces. Energy and emissions data was captured for select buildings with the largest footprint and used to model emissions from our remaining operations where limited or no data was available. Expanding these efforts during 2025, we also began measuring our Scope 3 emissions, allowing us to better understand and assess indirect emissions within our value chain and identify further opportunities for environmental impact reduction. As part of our broader sustainability plan, we have established Scope 1, Scope 2, and Scope 3 greenhouse gas reduction targets in alignment with the Science Based Targets Initiative (SBTi) to guide our long-term efforts to reduce emissions across our operations.</w:t>
      </w:r>
    </w:p>
    <w:p>
      <w:pPr>
        <w:spacing w:after="0" w:line="200"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Climate Risk Assessment: </w:t>
      </w:r>
      <w:r>
        <w:rPr>
          <w:rFonts w:ascii="Arial" w:cs="Arial" w:eastAsia="Arial" w:hAnsi="Arial"/>
          <w:sz w:val="16"/>
          <w:szCs w:val="16"/>
          <w:color w:val="auto"/>
        </w:rPr>
        <w:t>We recently completed a climate risk assessment in accordance with the Task Force on Climate-related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(TCFD). Detailed information regarding our climate risk assessment and broader sustainability efforts can be found on our website at investor.myriad.com/sustainability.</w:t>
      </w:r>
    </w:p>
    <w:p>
      <w:pPr>
        <w:spacing w:after="0" w:line="191"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Sustainable Infrastructure</w:t>
      </w:r>
      <w:r>
        <w:rPr>
          <w:rFonts w:ascii="Arial" w:cs="Arial" w:eastAsia="Arial" w:hAnsi="Arial"/>
          <w:sz w:val="16"/>
          <w:szCs w:val="16"/>
          <w:color w:val="auto"/>
        </w:rPr>
        <w:t>: Our laboratories in west Salt Lake City, Utah and South San Francisco, California include energy and water efficiency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environmental-friendly features. These facilities help us increase our operational capacity while allowing us to reduce the overall size of our facilities' footprint. The laboratories are equipped with automated liquid handling and waste treatment capabilities, which we expect will reduce plastic waste and create more environmentally sustainable laboratories.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Human Capital Management</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the success of our mission depends, in part, on our ability to attract, retain, and motivate highly skilled and qualified personnel who share our values and commitment to innovation. Our key human capital management objectives are to recruit, retain, and inspire the exceptional people needed to carry out our mission and strategy. To support these objectives and help our employees balance professional and personal demands, we maintain a flexible work environment and competitive compensation and benefit programs.</w:t>
      </w:r>
    </w:p>
    <w:p>
      <w:pPr>
        <w:spacing w:after="0" w:line="213" w:lineRule="exact"/>
        <w:rPr>
          <w:sz w:val="20"/>
          <w:szCs w:val="20"/>
          <w:color w:val="auto"/>
        </w:rPr>
      </w:pPr>
    </w:p>
    <w:p>
      <w:pPr>
        <w:jc w:val="both"/>
        <w:ind w:left="660" w:hanging="328"/>
        <w:spacing w:after="0" w:line="259"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Caring and Belonging</w:t>
      </w:r>
      <w:r>
        <w:rPr>
          <w:rFonts w:ascii="Arial" w:cs="Arial" w:eastAsia="Arial" w:hAnsi="Arial"/>
          <w:sz w:val="16"/>
          <w:szCs w:val="16"/>
          <w:color w:val="auto"/>
        </w:rPr>
        <w:t>: Our objective is to make Myriad a place where all employees have a sense of belonging. We foster a culture of caring 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inclusion aligned with our company mission, vision, and values to drive performance by creating opportunities and experiences for learning, development, and a sense of belonging for all employees. As of December 31, 2025, women made up approximately 65% of our workforce, 35% of leadership roles (vice president and above), and 33% of our Board members, including our Board Chair. We have eight ERGs that represent and support diverse communities. These ERGs provide a safe space for teammates from shared backgrounds and their allies to connect and are designed to mentor, develop, and inspire employees at all stages of their careers. Our commitment to a diverse workforce was recognized in 2025 by the Disability Equality Index (Best Place to Work for Disability Inclusion), the Age-Friendly Institute (Age-Friendly Employer), and Mitratech (Top Diversity Employer).</w:t>
      </w:r>
    </w:p>
    <w:p>
      <w:pPr>
        <w:spacing w:after="0" w:line="207"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Compensation, Health, Wellness, Family Resources, and Other Benefits</w:t>
      </w:r>
      <w:r>
        <w:rPr>
          <w:rFonts w:ascii="Arial" w:cs="Arial" w:eastAsia="Arial" w:hAnsi="Arial"/>
          <w:sz w:val="16"/>
          <w:szCs w:val="16"/>
          <w:color w:val="auto"/>
        </w:rPr>
        <w:t>: Our compensation program is designed to attract and reward talented</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who possess the skills necessary to support our business objectives, assist in the achievement of our strategic goals and create long-term value for our stockholders. We provide competitive salaries, stock ownership opportunities, and incentive and bonus programs. We also provide an expansive and evolving benefit offering including medical, dental and vision health care coverage, insurance and disability coverage, 401(k) investment plans with Company matching, tax advantaged savings accounts, paid time off and leaves of absence, parental leave, family formation benefits, employee assistance programs, including free mental health resources for employees and their dependents, preventative health screenings, community outreach programs, and wellness programs.</w:t>
      </w:r>
    </w:p>
    <w:p>
      <w:pPr>
        <w:spacing w:after="0" w:line="230" w:lineRule="exact"/>
        <w:rPr>
          <w:rFonts w:ascii="Arial" w:cs="Arial" w:eastAsia="Arial" w:hAnsi="Arial"/>
          <w:sz w:val="16"/>
          <w:szCs w:val="16"/>
          <w:color w:val="auto"/>
        </w:rPr>
      </w:pPr>
    </w:p>
    <w:p>
      <w:pPr>
        <w:jc w:val="both"/>
        <w:ind w:left="660" w:hanging="328"/>
        <w:spacing w:after="0" w:line="243" w:lineRule="auto"/>
        <w:tabs>
          <w:tab w:leader="none" w:pos="655"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6"/>
          <w:szCs w:val="16"/>
          <w:i w:val="1"/>
          <w:iCs w:val="1"/>
          <w:color w:val="auto"/>
        </w:rPr>
        <w:t>Career Development and Training</w:t>
      </w:r>
      <w:r>
        <w:rPr>
          <w:rFonts w:ascii="Arial" w:cs="Arial" w:eastAsia="Arial" w:hAnsi="Arial"/>
          <w:sz w:val="16"/>
          <w:szCs w:val="16"/>
          <w:color w:val="auto"/>
        </w:rPr>
        <w:t>: We offer several career development and training opportunities to our employees, including a curriculum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Company-sponsored technical, business, and leadership courses, on-the-job training, and a support network to all new employees, and tuition reimbursement for approved external training and educational pursuits. We also sponsor a training and mentoring program for high potential employees to assist them in leadership skills and career development.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5" w:name="page36"/>
    <w:bookmarkEnd w:id="35"/>
    <w:p>
      <w:pPr>
        <w:jc w:val="both"/>
        <w:ind w:left="660" w:hanging="328"/>
        <w:spacing w:after="0" w:line="255"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Oversight and Management</w:t>
      </w:r>
      <w:r>
        <w:rPr>
          <w:rFonts w:ascii="Arial" w:cs="Arial" w:eastAsia="Arial" w:hAnsi="Arial"/>
          <w:sz w:val="16"/>
          <w:szCs w:val="16"/>
          <w:color w:val="auto"/>
        </w:rPr>
        <w:t>: We regularly conduct surveys to obtain feedback from our employees on a variety of topics, including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engagement, Company strengths and focus areas, and culture drivers. The results are reviewed by our Board, the CHCC and senior leadership, who analyze areas of progress or deterioration and prioritize actions and activities in response to this feedback to drive meaningful improvements in employee engagement. We believe our most recent survey in 2025 shows how these intentional efforts are making a difference as 84% of our employees rated us as a Great Place to Work</w:t>
      </w:r>
      <w:r>
        <w:rPr>
          <w:rFonts w:ascii="Arial" w:cs="Arial" w:eastAsia="Arial" w:hAnsi="Arial"/>
          <w:sz w:val="21"/>
          <w:szCs w:val="21"/>
          <w:color w:val="auto"/>
          <w:vertAlign w:val="superscript"/>
        </w:rPr>
        <w:t>®</w:t>
      </w:r>
      <w:r>
        <w:rPr>
          <w:rFonts w:ascii="Arial" w:cs="Arial" w:eastAsia="Arial" w:hAnsi="Arial"/>
          <w:sz w:val="16"/>
          <w:szCs w:val="16"/>
          <w:color w:val="auto"/>
        </w:rPr>
        <w:t>. Myriad was also identified as one of America's Best Employers in 2025 from Forbes.</w:t>
      </w:r>
    </w:p>
    <w:p>
      <w:pPr>
        <w:spacing w:after="0" w:line="149"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Corporate Responsibility and Community</w:t>
      </w:r>
      <w:r>
        <w:rPr>
          <w:rFonts w:ascii="Arial" w:cs="Arial" w:eastAsia="Arial" w:hAnsi="Arial"/>
          <w:sz w:val="16"/>
          <w:szCs w:val="16"/>
          <w:color w:val="auto"/>
        </w:rPr>
        <w:t>: At Myriad, corporate responsibility plays an important role in our approach to developing valuable and</w:t>
      </w:r>
      <w:r>
        <w:rPr>
          <w:rFonts w:ascii="Arial" w:cs="Arial" w:eastAsia="Arial" w:hAnsi="Arial"/>
          <w:sz w:val="16"/>
          <w:szCs w:val="16"/>
          <w:i w:val="1"/>
          <w:iCs w:val="1"/>
          <w:color w:val="auto"/>
        </w:rPr>
        <w:t xml:space="preserve"> </w:t>
      </w:r>
      <w:r>
        <w:rPr>
          <w:rFonts w:ascii="Arial" w:cs="Arial" w:eastAsia="Arial" w:hAnsi="Arial"/>
          <w:sz w:val="16"/>
          <w:szCs w:val="16"/>
          <w:color w:val="auto"/>
        </w:rPr>
        <w:t>transformative diagnostic tests across major diseases to improve patients' lives. We believe that our corporate responsibility programs build greater value for our patients, healthcare professionals and stockholders, support and improve the communities where we live and work, and empower our employees to become more engaged in the well-being of their own communities.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Governance</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Board has primary responsibility for oversight of corporate responsibility matters and our management's development and execution of a corporate responsibility strategy. The Board has delegated certain targeted responsibilities to its standing committees to assist its oversight duties. The NGC is charged with regularly reviewing, evaluating, and making recommendations to the Board and management on our corporate responsibility strategies, practices, and initiatives, while also providing guidance on our public disclosures with respect to corporate responsibility matters, and monitoring emerging sustainability trends and risks that could affect our business. The CHCC regularly reviews human capital management matters, including our strategy, objectives, and practices regarding compensation, benefits, management and leadership development, and human resource planning. The CHCC is also involved in considering, and where appropriate, integrating corporate responsibility goals into our executive compensation programs. The AFC reviews and evaluates risks related to corporate responsibility and provides oversight regarding the processes and controls used to ensure that our quantitative and qualitative corporate responsibility and sustainability disclosures are accurate and consistent. Each of these committees reports to the full Board on various corporate responsibility-related matters.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5"/>
          <w:szCs w:val="25"/>
          <w:b w:val="1"/>
          <w:bCs w:val="1"/>
          <w:color w:val="003595"/>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0205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Compensation Discussion and Analysis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595"/>
        </w:rPr>
        <w:t>Executive Summary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Overview</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 leading molecular diagnostics and precision medicine company committed to advancing health and well-being for all. We develop and commercialize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 Our compensation program is designed to support our mission and business strategy, with the primary objectives of attracting and retaining executive talent, motivating our executive officers through pay-for-performance metrics to enhance our growth and profitability, and increasing long-term stockholder value.</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proxy statement reports on compensation paid or accrued during the year ended December 31, 2025 and certain elements of compensation to be paid under our 2026 compensation program. Our named executive officers ("NEOs") for 2025 are:</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380" w:type="dxa"/>
            <w:vAlign w:val="bottom"/>
            <w:shd w:val="clear" w:color="auto" w:fill="003595"/>
          </w:tcPr>
          <w:p>
            <w:pPr>
              <w:ind w:left="20"/>
              <w:spacing w:after="0"/>
              <w:rPr>
                <w:sz w:val="20"/>
                <w:szCs w:val="20"/>
                <w:color w:val="auto"/>
              </w:rPr>
            </w:pPr>
            <w:r>
              <w:rPr>
                <w:rFonts w:ascii="Arial" w:cs="Arial" w:eastAsia="Arial" w:hAnsi="Arial"/>
                <w:sz w:val="16"/>
                <w:szCs w:val="16"/>
                <w:b w:val="1"/>
                <w:bCs w:val="1"/>
                <w:color w:val="FFFFFF"/>
              </w:rPr>
              <w:t>Name</w:t>
            </w:r>
          </w:p>
        </w:tc>
        <w:tc>
          <w:tcPr>
            <w:tcW w:w="7440" w:type="dxa"/>
            <w:vAlign w:val="bottom"/>
            <w:shd w:val="clear" w:color="auto" w:fill="003595"/>
          </w:tcPr>
          <w:p>
            <w:pPr>
              <w:ind w:left="1840"/>
              <w:spacing w:after="0"/>
              <w:rPr>
                <w:sz w:val="20"/>
                <w:szCs w:val="20"/>
                <w:color w:val="auto"/>
              </w:rPr>
            </w:pPr>
            <w:r>
              <w:rPr>
                <w:rFonts w:ascii="Arial" w:cs="Arial" w:eastAsia="Arial" w:hAnsi="Arial"/>
                <w:sz w:val="16"/>
                <w:szCs w:val="16"/>
                <w:b w:val="1"/>
                <w:bCs w:val="1"/>
                <w:color w:val="FFFFFF"/>
              </w:rPr>
              <w:t>Title</w:t>
            </w:r>
          </w:p>
        </w:tc>
      </w:tr>
      <w:tr>
        <w:trPr>
          <w:trHeight w:val="243"/>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Samraat S. Raha</w:t>
            </w:r>
          </w:p>
        </w:tc>
        <w:tc>
          <w:tcPr>
            <w:tcW w:w="7440" w:type="dxa"/>
            <w:vAlign w:val="bottom"/>
            <w:tcBorders>
              <w:bottom w:val="single" w:sz="8" w:color="003595"/>
            </w:tcBorders>
          </w:tcPr>
          <w:p>
            <w:pPr>
              <w:ind w:left="1840"/>
              <w:spacing w:after="0"/>
              <w:rPr>
                <w:sz w:val="20"/>
                <w:szCs w:val="20"/>
                <w:color w:val="auto"/>
              </w:rPr>
            </w:pPr>
            <w:r>
              <w:rPr>
                <w:rFonts w:ascii="Arial" w:cs="Arial" w:eastAsia="Arial" w:hAnsi="Arial"/>
                <w:sz w:val="16"/>
                <w:szCs w:val="16"/>
                <w:color w:val="auto"/>
              </w:rPr>
              <w:t xml:space="preserve">President and Chief Executive Officer </w:t>
            </w:r>
            <w:r>
              <w:rPr>
                <w:rFonts w:ascii="Arial" w:cs="Arial" w:eastAsia="Arial" w:hAnsi="Arial"/>
                <w:sz w:val="21"/>
                <w:szCs w:val="21"/>
                <w:color w:val="auto"/>
                <w:vertAlign w:val="superscript"/>
              </w:rPr>
              <w:t>(1)</w:t>
            </w:r>
          </w:p>
        </w:tc>
      </w:tr>
      <w:tr>
        <w:trPr>
          <w:trHeight w:val="237"/>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Benjamin R. Wheeler</w:t>
            </w:r>
          </w:p>
        </w:tc>
        <w:tc>
          <w:tcPr>
            <w:tcW w:w="7440" w:type="dxa"/>
            <w:vAlign w:val="bottom"/>
            <w:tcBorders>
              <w:bottom w:val="single" w:sz="8" w:color="003595"/>
            </w:tcBorders>
          </w:tcPr>
          <w:p>
            <w:pPr>
              <w:ind w:left="1840"/>
              <w:spacing w:after="0" w:line="237" w:lineRule="exact"/>
              <w:rPr>
                <w:sz w:val="20"/>
                <w:szCs w:val="20"/>
                <w:color w:val="auto"/>
              </w:rPr>
            </w:pPr>
            <w:r>
              <w:rPr>
                <w:rFonts w:ascii="Arial" w:cs="Arial" w:eastAsia="Arial" w:hAnsi="Arial"/>
                <w:sz w:val="16"/>
                <w:szCs w:val="16"/>
                <w:color w:val="auto"/>
              </w:rPr>
              <w:t xml:space="preserve">Chief Financial Officer </w:t>
            </w:r>
            <w:r>
              <w:rPr>
                <w:rFonts w:ascii="Arial" w:cs="Arial" w:eastAsia="Arial" w:hAnsi="Arial"/>
                <w:sz w:val="21"/>
                <w:szCs w:val="21"/>
                <w:color w:val="auto"/>
                <w:vertAlign w:val="superscript"/>
              </w:rPr>
              <w:t>(2)</w:t>
            </w:r>
          </w:p>
        </w:tc>
      </w:tr>
      <w:tr>
        <w:trPr>
          <w:trHeight w:val="237"/>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Mark S. Verratti</w:t>
            </w:r>
          </w:p>
        </w:tc>
        <w:tc>
          <w:tcPr>
            <w:tcW w:w="7440" w:type="dxa"/>
            <w:vAlign w:val="bottom"/>
            <w:tcBorders>
              <w:bottom w:val="single" w:sz="8" w:color="003595"/>
            </w:tcBorders>
          </w:tcPr>
          <w:p>
            <w:pPr>
              <w:ind w:left="1840"/>
              <w:spacing w:after="0" w:line="237" w:lineRule="exact"/>
              <w:rPr>
                <w:sz w:val="20"/>
                <w:szCs w:val="20"/>
                <w:color w:val="auto"/>
              </w:rPr>
            </w:pPr>
            <w:r>
              <w:rPr>
                <w:rFonts w:ascii="Arial" w:cs="Arial" w:eastAsia="Arial" w:hAnsi="Arial"/>
                <w:sz w:val="16"/>
                <w:szCs w:val="16"/>
                <w:color w:val="auto"/>
              </w:rPr>
              <w:t xml:space="preserve">Chief Operating Officer </w:t>
            </w:r>
            <w:r>
              <w:rPr>
                <w:rFonts w:ascii="Arial" w:cs="Arial" w:eastAsia="Arial" w:hAnsi="Arial"/>
                <w:sz w:val="21"/>
                <w:szCs w:val="21"/>
                <w:color w:val="auto"/>
                <w:vertAlign w:val="superscript"/>
              </w:rPr>
              <w:t>(3)</w:t>
            </w:r>
          </w:p>
        </w:tc>
      </w:tr>
      <w:tr>
        <w:trPr>
          <w:trHeight w:val="236"/>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Brian J. Donnelly</w:t>
            </w:r>
          </w:p>
        </w:tc>
        <w:tc>
          <w:tcPr>
            <w:tcW w:w="7440" w:type="dxa"/>
            <w:vAlign w:val="bottom"/>
            <w:tcBorders>
              <w:bottom w:val="single" w:sz="8" w:color="003595"/>
            </w:tcBorders>
          </w:tcPr>
          <w:p>
            <w:pPr>
              <w:ind w:left="1840"/>
              <w:spacing w:after="0" w:line="237" w:lineRule="exact"/>
              <w:rPr>
                <w:sz w:val="20"/>
                <w:szCs w:val="20"/>
                <w:color w:val="auto"/>
              </w:rPr>
            </w:pPr>
            <w:r>
              <w:rPr>
                <w:rFonts w:ascii="Arial" w:cs="Arial" w:eastAsia="Arial" w:hAnsi="Arial"/>
                <w:sz w:val="16"/>
                <w:szCs w:val="16"/>
                <w:color w:val="auto"/>
              </w:rPr>
              <w:t xml:space="preserve">Chief Commercial Officer </w:t>
            </w:r>
            <w:r>
              <w:rPr>
                <w:rFonts w:ascii="Arial" w:cs="Arial" w:eastAsia="Arial" w:hAnsi="Arial"/>
                <w:sz w:val="21"/>
                <w:szCs w:val="21"/>
                <w:color w:val="auto"/>
                <w:vertAlign w:val="superscript"/>
              </w:rPr>
              <w:t>(4)</w:t>
            </w:r>
          </w:p>
        </w:tc>
      </w:tr>
      <w:tr>
        <w:trPr>
          <w:trHeight w:val="230"/>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Dale Muzzey, Ph.D.</w:t>
            </w:r>
          </w:p>
        </w:tc>
        <w:tc>
          <w:tcPr>
            <w:tcW w:w="7440" w:type="dxa"/>
            <w:vAlign w:val="bottom"/>
            <w:tcBorders>
              <w:bottom w:val="single" w:sz="8" w:color="003595"/>
            </w:tcBorders>
          </w:tcPr>
          <w:p>
            <w:pPr>
              <w:ind w:left="1840"/>
              <w:spacing w:after="0"/>
              <w:rPr>
                <w:sz w:val="20"/>
                <w:szCs w:val="20"/>
                <w:color w:val="auto"/>
              </w:rPr>
            </w:pPr>
            <w:r>
              <w:rPr>
                <w:rFonts w:ascii="Arial" w:cs="Arial" w:eastAsia="Arial" w:hAnsi="Arial"/>
                <w:sz w:val="16"/>
                <w:szCs w:val="16"/>
                <w:color w:val="auto"/>
              </w:rPr>
              <w:t>Chief Scientific Officer</w:t>
            </w:r>
          </w:p>
        </w:tc>
      </w:tr>
      <w:tr>
        <w:trPr>
          <w:trHeight w:val="243"/>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Paul J. Diaz</w:t>
            </w:r>
          </w:p>
        </w:tc>
        <w:tc>
          <w:tcPr>
            <w:tcW w:w="7440" w:type="dxa"/>
            <w:vAlign w:val="bottom"/>
            <w:tcBorders>
              <w:bottom w:val="single" w:sz="8" w:color="003595"/>
            </w:tcBorders>
          </w:tcPr>
          <w:p>
            <w:pPr>
              <w:ind w:left="1840"/>
              <w:spacing w:after="0"/>
              <w:rPr>
                <w:sz w:val="20"/>
                <w:szCs w:val="20"/>
                <w:color w:val="auto"/>
              </w:rPr>
            </w:pPr>
            <w:r>
              <w:rPr>
                <w:rFonts w:ascii="Arial" w:cs="Arial" w:eastAsia="Arial" w:hAnsi="Arial"/>
                <w:sz w:val="16"/>
                <w:szCs w:val="16"/>
                <w:color w:val="auto"/>
              </w:rPr>
              <w:t xml:space="preserve">Former President and Chief Executive Officer </w:t>
            </w:r>
            <w:r>
              <w:rPr>
                <w:rFonts w:ascii="Arial" w:cs="Arial" w:eastAsia="Arial" w:hAnsi="Arial"/>
                <w:sz w:val="21"/>
                <w:szCs w:val="21"/>
                <w:color w:val="auto"/>
                <w:vertAlign w:val="superscript"/>
              </w:rPr>
              <w:t>(5)</w:t>
            </w:r>
          </w:p>
        </w:tc>
      </w:tr>
      <w:tr>
        <w:trPr>
          <w:trHeight w:val="236"/>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Scott J. Leffler</w:t>
            </w:r>
          </w:p>
        </w:tc>
        <w:tc>
          <w:tcPr>
            <w:tcW w:w="7440" w:type="dxa"/>
            <w:vAlign w:val="bottom"/>
            <w:tcBorders>
              <w:bottom w:val="single" w:sz="8" w:color="003595"/>
            </w:tcBorders>
          </w:tcPr>
          <w:p>
            <w:pPr>
              <w:ind w:left="1840"/>
              <w:spacing w:after="0" w:line="237" w:lineRule="exact"/>
              <w:rPr>
                <w:sz w:val="20"/>
                <w:szCs w:val="20"/>
                <w:color w:val="auto"/>
              </w:rPr>
            </w:pPr>
            <w:r>
              <w:rPr>
                <w:rFonts w:ascii="Arial" w:cs="Arial" w:eastAsia="Arial" w:hAnsi="Arial"/>
                <w:sz w:val="16"/>
                <w:szCs w:val="16"/>
                <w:color w:val="auto"/>
              </w:rPr>
              <w:t xml:space="preserve">Former Chief Financial Officer </w:t>
            </w:r>
            <w:r>
              <w:rPr>
                <w:rFonts w:ascii="Arial" w:cs="Arial" w:eastAsia="Arial" w:hAnsi="Arial"/>
                <w:sz w:val="21"/>
                <w:szCs w:val="21"/>
                <w:color w:val="auto"/>
                <w:vertAlign w:val="superscript"/>
              </w:rPr>
              <w:t>(6)</w:t>
            </w:r>
          </w:p>
        </w:tc>
      </w:tr>
      <w:tr>
        <w:trPr>
          <w:trHeight w:val="237"/>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Margaret Ancona</w:t>
            </w:r>
          </w:p>
        </w:tc>
        <w:tc>
          <w:tcPr>
            <w:tcW w:w="7440" w:type="dxa"/>
            <w:vAlign w:val="bottom"/>
            <w:tcBorders>
              <w:bottom w:val="single" w:sz="8" w:color="003595"/>
            </w:tcBorders>
          </w:tcPr>
          <w:p>
            <w:pPr>
              <w:ind w:left="1840"/>
              <w:spacing w:after="0" w:line="237" w:lineRule="exact"/>
              <w:rPr>
                <w:sz w:val="20"/>
                <w:szCs w:val="20"/>
                <w:color w:val="auto"/>
              </w:rPr>
            </w:pPr>
            <w:r>
              <w:rPr>
                <w:rFonts w:ascii="Arial" w:cs="Arial" w:eastAsia="Arial" w:hAnsi="Arial"/>
                <w:sz w:val="16"/>
                <w:szCs w:val="16"/>
                <w:color w:val="auto"/>
              </w:rPr>
              <w:t xml:space="preserve">Former EVP Strategy and Transformation </w:t>
            </w:r>
            <w:r>
              <w:rPr>
                <w:rFonts w:ascii="Arial" w:cs="Arial" w:eastAsia="Arial" w:hAnsi="Arial"/>
                <w:sz w:val="21"/>
                <w:szCs w:val="21"/>
                <w:color w:val="auto"/>
                <w:vertAlign w:val="superscript"/>
              </w:rPr>
              <w:t>(7)</w:t>
            </w:r>
          </w:p>
        </w:tc>
      </w:tr>
    </w:tbl>
    <w:p>
      <w:pPr>
        <w:spacing w:after="0" w:line="63" w:lineRule="exact"/>
        <w:rPr>
          <w:sz w:val="20"/>
          <w:szCs w:val="20"/>
          <w:color w:val="auto"/>
        </w:rPr>
      </w:pPr>
    </w:p>
    <w:p>
      <w:pPr>
        <w:ind w:left="440" w:hanging="189"/>
        <w:spacing w:after="0"/>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Raha was appointed President and Chief Executive Officer effective April 30, 2025.</w:t>
      </w:r>
    </w:p>
    <w:p>
      <w:pPr>
        <w:spacing w:after="0" w:line="16" w:lineRule="exact"/>
        <w:rPr>
          <w:rFonts w:ascii="Arial" w:cs="Arial" w:eastAsia="Arial" w:hAnsi="Arial"/>
          <w:sz w:val="13"/>
          <w:szCs w:val="13"/>
          <w:color w:val="auto"/>
        </w:rPr>
      </w:pPr>
    </w:p>
    <w:p>
      <w:pPr>
        <w:ind w:left="440" w:hanging="189"/>
        <w:spacing w:after="0"/>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Wheeler was appointed Chief Financial Officer effective August 16, 2025.</w:t>
      </w:r>
    </w:p>
    <w:p>
      <w:pPr>
        <w:spacing w:after="0" w:line="7" w:lineRule="exact"/>
        <w:rPr>
          <w:rFonts w:ascii="Arial" w:cs="Arial" w:eastAsia="Arial" w:hAnsi="Arial"/>
          <w:sz w:val="13"/>
          <w:szCs w:val="13"/>
          <w:color w:val="auto"/>
        </w:rPr>
      </w:pPr>
    </w:p>
    <w:p>
      <w:pPr>
        <w:ind w:left="440" w:hanging="189"/>
        <w:spacing w:after="0"/>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Verratti was appointed Chief Operating Officer effective April 30, 2025.</w:t>
      </w:r>
    </w:p>
    <w:p>
      <w:pPr>
        <w:ind w:left="440" w:hanging="189"/>
        <w:spacing w:after="0"/>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Donnelly was appointed Chief Commercial Officer effective May 1, 2025.</w:t>
      </w:r>
    </w:p>
    <w:p>
      <w:pPr>
        <w:ind w:left="440" w:hanging="189"/>
        <w:spacing w:after="0"/>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Diaz resigned as President and Chief Executive Officer effective April 30, 2025.</w:t>
      </w:r>
    </w:p>
    <w:p>
      <w:pPr>
        <w:ind w:left="440" w:hanging="189"/>
        <w:spacing w:after="0"/>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Leffler departed from his position as Chief Financial Officer effective August 15, 2025.</w:t>
      </w:r>
    </w:p>
    <w:p>
      <w:pPr>
        <w:spacing w:after="0" w:line="4" w:lineRule="exact"/>
        <w:rPr>
          <w:rFonts w:ascii="Arial" w:cs="Arial" w:eastAsia="Arial" w:hAnsi="Arial"/>
          <w:sz w:val="13"/>
          <w:szCs w:val="13"/>
          <w:color w:val="auto"/>
        </w:rPr>
      </w:pPr>
    </w:p>
    <w:p>
      <w:pPr>
        <w:ind w:left="440" w:hanging="189"/>
        <w:spacing w:after="0"/>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Ms. Ancona departed from her position as Executive Vice President, Strategy and Transformation on November 3, 2025.</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2025 Financial Highlights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2025, we refined our long-term growth strategy to emphasize accelerated profitable growth by focusing on providing a comprehensive testing menu for the Cancer Care Continuum (CCC) market with a priority for high growth applications, growing our Prenatal Health and Mental Health revenues at or above market growth, and delivering sustained profitable growth through financial and operational discipline and leveraging our operating model. While we navigated certain headwinds during 2025, including UnitedHealthcare's discontinuation of coverage (commercial, individual exchange and certain managed Medicaid) of GeneSight and the divestiture of the European EndoPredict business, we maintained strong operational momentum as evidenced by a 1% year-over-year increase in total volumes across all of our tests, including a 7% year-over-year increase in Hereditary cancer testing volumes and a 6% year-over-year increase in Mental Health testing volumes. Some of our financial highlights during 2025 include the following:</w:t>
      </w:r>
    </w:p>
    <w:p>
      <w:pPr>
        <w:spacing w:after="0" w:line="251" w:lineRule="exact"/>
        <w:rPr>
          <w:sz w:val="20"/>
          <w:szCs w:val="20"/>
          <w:color w:val="auto"/>
        </w:rPr>
      </w:pPr>
    </w:p>
    <w:p>
      <w:pPr>
        <w:ind w:left="660" w:right="20" w:hanging="328"/>
        <w:spacing w:after="0" w:line="244" w:lineRule="auto"/>
        <w:tabs>
          <w:tab w:leader="none" w:pos="648" w:val="left"/>
        </w:tabs>
        <w:numPr>
          <w:ilvl w:val="0"/>
          <w:numId w:val="33"/>
        </w:numPr>
        <w:rPr>
          <w:rFonts w:ascii="Times New Roman" w:cs="Times New Roman" w:eastAsia="Times New Roman" w:hAnsi="Times New Roman"/>
          <w:sz w:val="20"/>
          <w:szCs w:val="20"/>
          <w:color w:val="auto"/>
        </w:rPr>
      </w:pPr>
      <w:r>
        <w:rPr>
          <w:rFonts w:ascii="Arial" w:cs="Arial" w:eastAsia="Arial" w:hAnsi="Arial"/>
          <w:sz w:val="16"/>
          <w:szCs w:val="16"/>
          <w:color w:val="auto"/>
        </w:rPr>
        <w:t>Revenue of $824.5 million, a decrease of 2% year-over-year. Excluding the impact of the aforementioned headwinds, full-year 2025 revenue grew 2% over full-year 2024.</w:t>
      </w:r>
    </w:p>
    <w:p>
      <w:pPr>
        <w:spacing w:after="0" w:line="227" w:lineRule="exact"/>
        <w:rPr>
          <w:rFonts w:ascii="Times New Roman" w:cs="Times New Roman" w:eastAsia="Times New Roman" w:hAnsi="Times New Roman"/>
          <w:sz w:val="20"/>
          <w:szCs w:val="20"/>
          <w:color w:val="auto"/>
        </w:rPr>
      </w:pPr>
    </w:p>
    <w:p>
      <w:pPr>
        <w:ind w:left="660" w:hanging="328"/>
        <w:spacing w:after="0" w:line="227"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GAAP net loss was $365.9 million while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$38.9 million, a decrease of $1.5 million compared to full- year 2024 adjusted EBITDA of $40.4 million.</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GAAP loss per share was $3.95 while adjusted EPS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$0.06, compared to full-year 2024 adjusted EPS of $0.14.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714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0" w:lineRule="exact"/>
        <w:rPr>
          <w:sz w:val="20"/>
          <w:szCs w:val="20"/>
          <w:color w:val="auto"/>
        </w:rPr>
      </w:pPr>
    </w:p>
    <w:p>
      <w:pPr>
        <w:ind w:right="200"/>
        <w:spacing w:after="0" w:line="232" w:lineRule="auto"/>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An explanation of the adjustments to our GAAP financial measures used in this proxy statement and a reconciliation of the adjusted financial measures to the comparable GAAP financial measures are included in Appendix A to this proxy statement.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The following tables show our total revenue, adjusted operating income (loss), and adjusted EBITDA in millions for 2023</w:t>
      </w:r>
      <w:r>
        <w:rPr>
          <w:rFonts w:ascii="Times New Roman" w:cs="Times New Roman" w:eastAsia="Times New Roman" w:hAnsi="Times New Roman"/>
          <w:sz w:val="19"/>
          <w:szCs w:val="19"/>
          <w:color w:val="auto"/>
        </w:rPr>
        <w:t>,</w:t>
      </w:r>
      <w:r>
        <w:rPr>
          <w:rFonts w:ascii="Arial" w:cs="Arial" w:eastAsia="Arial" w:hAnsi="Arial"/>
          <w:sz w:val="16"/>
          <w:szCs w:val="16"/>
          <w:color w:val="auto"/>
        </w:rPr>
        <w:t xml:space="preserve"> 2024</w:t>
      </w:r>
      <w:r>
        <w:rPr>
          <w:rFonts w:ascii="Times New Roman" w:cs="Times New Roman" w:eastAsia="Times New Roman" w:hAnsi="Times New Roman"/>
          <w:sz w:val="19"/>
          <w:szCs w:val="19"/>
          <w:color w:val="auto"/>
        </w:rPr>
        <w:t>,</w:t>
      </w:r>
      <w:r>
        <w:rPr>
          <w:rFonts w:ascii="Arial" w:cs="Arial" w:eastAsia="Arial" w:hAnsi="Arial"/>
          <w:sz w:val="16"/>
          <w:szCs w:val="16"/>
          <w:color w:val="auto"/>
        </w:rPr>
        <w:t xml:space="preserve">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175260</wp:posOffset>
            </wp:positionV>
            <wp:extent cx="5100320" cy="5151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00320" cy="515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2025 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our financial results during 2025 set forth above, some of our business highlights include:</w:t>
      </w:r>
    </w:p>
    <w:p>
      <w:pPr>
        <w:spacing w:after="0" w:line="18"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Named on the Forbes list of America’s Best Employers 2025 and achieved a Great Place to Work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Certification for the third consecutive year.</w:t>
      </w:r>
    </w:p>
    <w:p>
      <w:pPr>
        <w:spacing w:after="0" w:line="190"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Effective April 30, 2025, Samraat Raha was appointed President and Chief Executive Officer and Mark Verratti was appointed Chief Operating Officer; Brian Donnelly was appointed Chief Commercial Officer effective May 1, 2025; and Benjamin Wheeler was appointed Chief Financial Officer effective August 16, 2025.</w:t>
      </w:r>
    </w:p>
    <w:p>
      <w:pPr>
        <w:spacing w:after="0" w:line="19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Announced a strategic collaboration with SOPHiA Genetics SA, an AI technology company transforming precision medicine, to develop and provide pharmaceutical companies with an innovative global liquid biopsy companion diagnostic (CDx) test.</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Added two genes, F8 and FXN, to the Foresight Carrier Screen Universal Plus Panel.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both"/>
        <w:ind w:left="660" w:right="20" w:hanging="328"/>
        <w:spacing w:after="0" w:line="275"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Announced the publication of a new meta-analysis of six prospective controlled studies that included 3,532 adults with major depressive disorder (MDD). The meta-analysis showed that when GeneSight Psychotropic test results were available to treating clinicians, there were significant improvements in response and remission rates for patients with MDD, compared to treatment as usual.</w:t>
      </w:r>
    </w:p>
    <w:p>
      <w:pPr>
        <w:spacing w:after="0" w:line="191"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United States Patent and Trademark Office issued six new U.S. patents covering technological innovations related to our high-definition, tumor-informed molecular residual disease (MRD) assay, Precise MRD.</w:t>
      </w:r>
    </w:p>
    <w:p>
      <w:pPr>
        <w:spacing w:after="0" w:line="168"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Closed a $125 million secured term debt financing with OrbiMed, a leading global healthcare investment firm. This facility includes an option to borrow up to an additional $75 million.</w:t>
      </w:r>
    </w:p>
    <w:p>
      <w:pPr>
        <w:spacing w:after="0" w:line="196" w:lineRule="exact"/>
        <w:rPr>
          <w:rFonts w:ascii="Arial" w:cs="Arial" w:eastAsia="Arial" w:hAnsi="Arial"/>
          <w:sz w:val="16"/>
          <w:szCs w:val="16"/>
          <w:color w:val="auto"/>
        </w:rPr>
      </w:pPr>
    </w:p>
    <w:p>
      <w:pPr>
        <w:jc w:val="both"/>
        <w:ind w:left="660" w:right="20" w:hanging="328"/>
        <w:spacing w:after="0" w:line="275"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New clinical data supporting the performance and potential clinical utility of our Precise MRD test was presented at major scientific conferences, including the American Association for Cancer Research and the American Society of Clinical Oncology Annual Meeting, including data from a prospective pan-cancer study conducted by our partner, the National Cancer Center Hospital East in Japan.</w:t>
      </w:r>
    </w:p>
    <w:p>
      <w:pPr>
        <w:spacing w:after="0" w:line="19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Advanced personalized breast cancer risk assessment through the launch of the first integrated AI and genetic risk platform, developed in partnership with Clairity and MagView.</w:t>
      </w:r>
    </w:p>
    <w:p>
      <w:pPr>
        <w:spacing w:after="0" w:line="182" w:lineRule="exact"/>
        <w:rPr>
          <w:rFonts w:ascii="Arial" w:cs="Arial" w:eastAsia="Arial" w:hAnsi="Arial"/>
          <w:sz w:val="16"/>
          <w:szCs w:val="16"/>
          <w:color w:val="auto"/>
        </w:rPr>
      </w:pPr>
    </w:p>
    <w:p>
      <w:pPr>
        <w:ind w:left="660" w:right="20" w:hanging="328"/>
        <w:spacing w:after="0" w:line="268"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Launched MyRisk Hereditary Cancer Test expanded panel to include 63 genes across 11+ cancer types, further strengthening our comprehensive hereditary cancer offering.</w:t>
      </w:r>
    </w:p>
    <w:p>
      <w:pPr>
        <w:spacing w:after="0" w:line="196" w:lineRule="exact"/>
        <w:rPr>
          <w:rFonts w:ascii="Arial" w:cs="Arial" w:eastAsia="Arial" w:hAnsi="Arial"/>
          <w:sz w:val="16"/>
          <w:szCs w:val="16"/>
          <w:color w:val="auto"/>
        </w:rPr>
      </w:pPr>
    </w:p>
    <w:p>
      <w:pPr>
        <w:ind w:left="660" w:right="40" w:hanging="328"/>
        <w:spacing w:after="0" w:line="227"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Launched early access to FirstGene</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Multiple Prenatal Screen, a prenatal genetic risk assessment screen that combines several testing modalities into a single assay, in a large, multi-site study, called CONNECTOR.</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2025 Executive Compensation Highlights</w:t>
      </w:r>
    </w:p>
    <w:p>
      <w:pPr>
        <w:spacing w:after="0" w:line="23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executive compensation policies and practices are designed to reinforce our pay-for-performance philosophy and align with sound governance principles. Listed below are additional details and highlights of our 2025 executive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150495</wp:posOffset>
            </wp:positionV>
            <wp:extent cx="825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40" w:type="dxa"/>
            <w:vAlign w:val="bottom"/>
            <w:tcBorders>
              <w:top w:val="single" w:sz="8" w:color="003595"/>
              <w:bottom w:val="single" w:sz="8" w:color="003595"/>
              <w:right w:val="single" w:sz="8" w:color="003595"/>
            </w:tcBorders>
            <w:shd w:val="clear" w:color="auto" w:fill="003595"/>
          </w:tcPr>
          <w:p>
            <w:pPr>
              <w:ind w:left="380"/>
              <w:spacing w:after="0"/>
              <w:rPr>
                <w:sz w:val="20"/>
                <w:szCs w:val="20"/>
                <w:color w:val="auto"/>
              </w:rPr>
            </w:pPr>
            <w:r>
              <w:rPr>
                <w:rFonts w:ascii="Arial" w:cs="Arial" w:eastAsia="Arial" w:hAnsi="Arial"/>
                <w:sz w:val="16"/>
                <w:szCs w:val="16"/>
                <w:b w:val="1"/>
                <w:bCs w:val="1"/>
                <w:color w:val="FFFFFF"/>
              </w:rPr>
              <w:t>2025 Executive Compensation Highlights</w:t>
            </w:r>
          </w:p>
        </w:tc>
        <w:tc>
          <w:tcPr>
            <w:tcW w:w="7300" w:type="dxa"/>
            <w:vAlign w:val="bottom"/>
            <w:tcBorders>
              <w:top w:val="single" w:sz="8" w:color="003595"/>
              <w:bottom w:val="single" w:sz="8" w:color="003595"/>
            </w:tcBorders>
            <w:shd w:val="clear" w:color="auto" w:fill="003595"/>
          </w:tcPr>
          <w:p>
            <w:pPr>
              <w:ind w:left="3200"/>
              <w:spacing w:after="0"/>
              <w:rPr>
                <w:sz w:val="20"/>
                <w:szCs w:val="20"/>
                <w:color w:val="auto"/>
              </w:rPr>
            </w:pPr>
            <w:r>
              <w:rPr>
                <w:rFonts w:ascii="Arial" w:cs="Arial" w:eastAsia="Arial" w:hAnsi="Arial"/>
                <w:sz w:val="16"/>
                <w:szCs w:val="16"/>
                <w:b w:val="1"/>
                <w:bCs w:val="1"/>
                <w:color w:val="FFFFFF"/>
              </w:rPr>
              <w:t>Description</w:t>
            </w:r>
          </w:p>
        </w:tc>
        <w:tc>
          <w:tcPr>
            <w:tcW w:w="20" w:type="dxa"/>
            <w:vAlign w:val="bottom"/>
            <w:tcBorders>
              <w:top w:val="single" w:sz="8" w:color="003595"/>
              <w:bottom w:val="single" w:sz="8" w:color="003595"/>
            </w:tcBorders>
          </w:tcPr>
          <w:p>
            <w:pPr>
              <w:spacing w:after="0"/>
              <w:rPr>
                <w:sz w:val="21"/>
                <w:szCs w:val="21"/>
                <w:color w:val="auto"/>
              </w:rPr>
            </w:pPr>
          </w:p>
        </w:tc>
      </w:tr>
      <w:tr>
        <w:trPr>
          <w:trHeight w:val="188"/>
        </w:trPr>
        <w:tc>
          <w:tcPr>
            <w:tcW w:w="394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Our 2025 executive compensation program</w:t>
            </w:r>
          </w:p>
        </w:tc>
        <w:tc>
          <w:tcPr>
            <w:tcW w:w="7300" w:type="dxa"/>
            <w:vAlign w:val="bottom"/>
          </w:tcPr>
          <w:p>
            <w:pPr>
              <w:ind w:left="260"/>
              <w:spacing w:after="0"/>
              <w:rPr>
                <w:sz w:val="20"/>
                <w:szCs w:val="20"/>
                <w:color w:val="auto"/>
              </w:rPr>
            </w:pPr>
            <w:r>
              <w:rPr>
                <w:rFonts w:ascii="Arial" w:cs="Arial" w:eastAsia="Arial" w:hAnsi="Arial"/>
                <w:sz w:val="16"/>
                <w:szCs w:val="16"/>
                <w:color w:val="auto"/>
              </w:rPr>
              <w:t>Approximately 81.8% of our CEO's 2025 target compensation and approximately 74.4% of our</w:t>
            </w:r>
          </w:p>
        </w:tc>
        <w:tc>
          <w:tcPr>
            <w:tcW w:w="20" w:type="dxa"/>
            <w:vAlign w:val="bottom"/>
          </w:tcPr>
          <w:p>
            <w:pPr>
              <w:spacing w:after="0"/>
              <w:rPr>
                <w:sz w:val="16"/>
                <w:szCs w:val="16"/>
                <w:color w:val="auto"/>
              </w:rPr>
            </w:pPr>
          </w:p>
        </w:tc>
      </w:tr>
      <w:tr>
        <w:trPr>
          <w:trHeight w:val="175"/>
        </w:trPr>
        <w:tc>
          <w:tcPr>
            <w:tcW w:w="3940" w:type="dxa"/>
            <w:vAlign w:val="bottom"/>
            <w:tcBorders>
              <w:right w:val="single" w:sz="8" w:color="003595"/>
            </w:tcBorders>
          </w:tcPr>
          <w:p>
            <w:pPr>
              <w:ind w:left="160"/>
              <w:spacing w:after="0" w:line="175" w:lineRule="exact"/>
              <w:rPr>
                <w:sz w:val="20"/>
                <w:szCs w:val="20"/>
                <w:color w:val="auto"/>
              </w:rPr>
            </w:pPr>
            <w:r>
              <w:rPr>
                <w:rFonts w:ascii="Arial" w:cs="Arial" w:eastAsia="Arial" w:hAnsi="Arial"/>
                <w:sz w:val="16"/>
                <w:szCs w:val="16"/>
                <w:color w:val="auto"/>
              </w:rPr>
              <w:t>continues to support long-term value creation</w:t>
            </w:r>
          </w:p>
        </w:tc>
        <w:tc>
          <w:tcPr>
            <w:tcW w:w="7300" w:type="dxa"/>
            <w:vAlign w:val="bottom"/>
          </w:tcPr>
          <w:p>
            <w:pPr>
              <w:ind w:left="260"/>
              <w:spacing w:after="0" w:line="175" w:lineRule="exact"/>
              <w:rPr>
                <w:sz w:val="20"/>
                <w:szCs w:val="20"/>
                <w:color w:val="auto"/>
              </w:rPr>
            </w:pPr>
            <w:r>
              <w:rPr>
                <w:rFonts w:ascii="Arial" w:cs="Arial" w:eastAsia="Arial" w:hAnsi="Arial"/>
                <w:sz w:val="16"/>
                <w:szCs w:val="16"/>
                <w:color w:val="auto"/>
              </w:rPr>
              <w:t>other NEO's aggregate 2025 target compensation is variable and at risk, tied to our stock price</w:t>
            </w:r>
          </w:p>
        </w:tc>
        <w:tc>
          <w:tcPr>
            <w:tcW w:w="20" w:type="dxa"/>
            <w:vAlign w:val="bottom"/>
          </w:tcPr>
          <w:p>
            <w:pPr>
              <w:spacing w:after="0"/>
              <w:rPr>
                <w:sz w:val="15"/>
                <w:szCs w:val="15"/>
                <w:color w:val="auto"/>
              </w:rPr>
            </w:pPr>
          </w:p>
        </w:tc>
      </w:tr>
      <w:tr>
        <w:trPr>
          <w:trHeight w:val="215"/>
        </w:trPr>
        <w:tc>
          <w:tcPr>
            <w:tcW w:w="3940" w:type="dxa"/>
            <w:vAlign w:val="bottom"/>
            <w:tcBorders>
              <w:right w:val="single" w:sz="8" w:color="003595"/>
            </w:tcBorders>
          </w:tcPr>
          <w:p>
            <w:pPr>
              <w:spacing w:after="0"/>
              <w:rPr>
                <w:sz w:val="18"/>
                <w:szCs w:val="18"/>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performance, or subject to achievement of rigorous performance targets</w:t>
            </w:r>
          </w:p>
        </w:tc>
        <w:tc>
          <w:tcPr>
            <w:tcW w:w="20" w:type="dxa"/>
            <w:vAlign w:val="bottom"/>
          </w:tcPr>
          <w:p>
            <w:pPr>
              <w:spacing w:after="0"/>
              <w:rPr>
                <w:sz w:val="18"/>
                <w:szCs w:val="18"/>
                <w:color w:val="auto"/>
              </w:rPr>
            </w:pPr>
          </w:p>
        </w:tc>
      </w:tr>
      <w:tr>
        <w:trPr>
          <w:trHeight w:val="29"/>
        </w:trPr>
        <w:tc>
          <w:tcPr>
            <w:tcW w:w="3940" w:type="dxa"/>
            <w:vAlign w:val="bottom"/>
            <w:tcBorders>
              <w:bottom w:val="single" w:sz="8" w:color="003595"/>
              <w:right w:val="single" w:sz="8" w:color="003595"/>
            </w:tcBorders>
          </w:tcPr>
          <w:p>
            <w:pPr>
              <w:spacing w:after="0"/>
              <w:rPr>
                <w:sz w:val="2"/>
                <w:szCs w:val="2"/>
                <w:color w:val="auto"/>
              </w:rPr>
            </w:pPr>
          </w:p>
        </w:tc>
        <w:tc>
          <w:tcPr>
            <w:tcW w:w="7300" w:type="dxa"/>
            <w:vAlign w:val="bottom"/>
            <w:tcBorders>
              <w:bottom w:val="single" w:sz="8" w:color="003595"/>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3940" w:type="dxa"/>
            <w:vAlign w:val="bottom"/>
            <w:tcBorders>
              <w:right w:val="single" w:sz="8" w:color="003595"/>
            </w:tcBorders>
          </w:tcPr>
          <w:p>
            <w:pPr>
              <w:ind w:left="160"/>
              <w:spacing w:after="0" w:line="182" w:lineRule="exact"/>
              <w:rPr>
                <w:sz w:val="20"/>
                <w:szCs w:val="20"/>
                <w:color w:val="auto"/>
              </w:rPr>
            </w:pPr>
            <w:r>
              <w:rPr>
                <w:rFonts w:ascii="Arial" w:cs="Arial" w:eastAsia="Arial" w:hAnsi="Arial"/>
                <w:sz w:val="16"/>
                <w:szCs w:val="16"/>
                <w:color w:val="auto"/>
              </w:rPr>
              <w:t>Continued commitment to performance-based</w:t>
            </w:r>
          </w:p>
        </w:tc>
        <w:tc>
          <w:tcPr>
            <w:tcW w:w="7300" w:type="dxa"/>
            <w:vAlign w:val="bottom"/>
          </w:tcPr>
          <w:p>
            <w:pPr>
              <w:ind w:left="260"/>
              <w:spacing w:after="0" w:line="182" w:lineRule="exact"/>
              <w:rPr>
                <w:sz w:val="20"/>
                <w:szCs w:val="20"/>
                <w:color w:val="auto"/>
              </w:rPr>
            </w:pPr>
            <w:r>
              <w:rPr>
                <w:rFonts w:ascii="Arial" w:cs="Arial" w:eastAsia="Arial" w:hAnsi="Arial"/>
                <w:sz w:val="16"/>
                <w:szCs w:val="16"/>
                <w:color w:val="auto"/>
              </w:rPr>
              <w:t>The CHCC maintained its practice of granting 50% of executive officer's equity in the form of</w:t>
            </w:r>
          </w:p>
        </w:tc>
        <w:tc>
          <w:tcPr>
            <w:tcW w:w="20" w:type="dxa"/>
            <w:vAlign w:val="bottom"/>
          </w:tcPr>
          <w:p>
            <w:pPr>
              <w:spacing w:after="0"/>
              <w:rPr>
                <w:sz w:val="15"/>
                <w:szCs w:val="15"/>
                <w:color w:val="auto"/>
              </w:rPr>
            </w:pPr>
          </w:p>
        </w:tc>
      </w:tr>
      <w:tr>
        <w:trPr>
          <w:trHeight w:val="175"/>
        </w:trPr>
        <w:tc>
          <w:tcPr>
            <w:tcW w:w="3940" w:type="dxa"/>
            <w:vAlign w:val="bottom"/>
            <w:tcBorders>
              <w:right w:val="single" w:sz="8" w:color="003595"/>
            </w:tcBorders>
          </w:tcPr>
          <w:p>
            <w:pPr>
              <w:ind w:left="160"/>
              <w:spacing w:after="0" w:line="175" w:lineRule="exact"/>
              <w:rPr>
                <w:sz w:val="20"/>
                <w:szCs w:val="20"/>
                <w:color w:val="auto"/>
              </w:rPr>
            </w:pPr>
            <w:r>
              <w:rPr>
                <w:rFonts w:ascii="Arial" w:cs="Arial" w:eastAsia="Arial" w:hAnsi="Arial"/>
                <w:sz w:val="16"/>
                <w:szCs w:val="16"/>
                <w:color w:val="auto"/>
              </w:rPr>
              <w:t>equity compensation</w:t>
            </w:r>
          </w:p>
        </w:tc>
        <w:tc>
          <w:tcPr>
            <w:tcW w:w="7300" w:type="dxa"/>
            <w:vAlign w:val="bottom"/>
          </w:tcPr>
          <w:p>
            <w:pPr>
              <w:ind w:left="260"/>
              <w:spacing w:after="0" w:line="175" w:lineRule="exact"/>
              <w:rPr>
                <w:sz w:val="20"/>
                <w:szCs w:val="20"/>
                <w:color w:val="auto"/>
              </w:rPr>
            </w:pPr>
            <w:r>
              <w:rPr>
                <w:rFonts w:ascii="Arial" w:cs="Arial" w:eastAsia="Arial" w:hAnsi="Arial"/>
                <w:sz w:val="16"/>
                <w:szCs w:val="16"/>
                <w:color w:val="auto"/>
              </w:rPr>
              <w:t>PSUs that are subject to objective performance metrics, aligning executive compensation with</w:t>
            </w:r>
          </w:p>
        </w:tc>
        <w:tc>
          <w:tcPr>
            <w:tcW w:w="20" w:type="dxa"/>
            <w:vAlign w:val="bottom"/>
          </w:tcPr>
          <w:p>
            <w:pPr>
              <w:spacing w:after="0"/>
              <w:rPr>
                <w:sz w:val="15"/>
                <w:szCs w:val="15"/>
                <w:color w:val="auto"/>
              </w:rPr>
            </w:pPr>
          </w:p>
        </w:tc>
      </w:tr>
      <w:tr>
        <w:trPr>
          <w:trHeight w:val="215"/>
        </w:trPr>
        <w:tc>
          <w:tcPr>
            <w:tcW w:w="3940" w:type="dxa"/>
            <w:vAlign w:val="bottom"/>
            <w:tcBorders>
              <w:right w:val="single" w:sz="8" w:color="003595"/>
            </w:tcBorders>
          </w:tcPr>
          <w:p>
            <w:pPr>
              <w:spacing w:after="0"/>
              <w:rPr>
                <w:sz w:val="18"/>
                <w:szCs w:val="18"/>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long-term performance</w:t>
            </w:r>
          </w:p>
        </w:tc>
        <w:tc>
          <w:tcPr>
            <w:tcW w:w="20" w:type="dxa"/>
            <w:vAlign w:val="bottom"/>
          </w:tcPr>
          <w:p>
            <w:pPr>
              <w:spacing w:after="0"/>
              <w:rPr>
                <w:sz w:val="18"/>
                <w:szCs w:val="18"/>
                <w:color w:val="auto"/>
              </w:rPr>
            </w:pPr>
          </w:p>
        </w:tc>
      </w:tr>
      <w:tr>
        <w:trPr>
          <w:trHeight w:val="29"/>
        </w:trPr>
        <w:tc>
          <w:tcPr>
            <w:tcW w:w="3940" w:type="dxa"/>
            <w:vAlign w:val="bottom"/>
            <w:tcBorders>
              <w:bottom w:val="single" w:sz="8" w:color="003595"/>
              <w:right w:val="single" w:sz="8" w:color="003595"/>
            </w:tcBorders>
          </w:tcPr>
          <w:p>
            <w:pPr>
              <w:spacing w:after="0"/>
              <w:rPr>
                <w:sz w:val="2"/>
                <w:szCs w:val="2"/>
                <w:color w:val="auto"/>
              </w:rPr>
            </w:pPr>
          </w:p>
        </w:tc>
        <w:tc>
          <w:tcPr>
            <w:tcW w:w="7300" w:type="dxa"/>
            <w:vAlign w:val="bottom"/>
            <w:tcBorders>
              <w:bottom w:val="single" w:sz="8" w:color="003595"/>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3940" w:type="dxa"/>
            <w:vAlign w:val="bottom"/>
            <w:tcBorders>
              <w:right w:val="single" w:sz="8" w:color="003595"/>
            </w:tcBorders>
          </w:tcPr>
          <w:p>
            <w:pPr>
              <w:ind w:left="160"/>
              <w:spacing w:after="0" w:line="182" w:lineRule="exact"/>
              <w:rPr>
                <w:sz w:val="20"/>
                <w:szCs w:val="20"/>
                <w:color w:val="auto"/>
              </w:rPr>
            </w:pPr>
            <w:r>
              <w:rPr>
                <w:rFonts w:ascii="Arial" w:cs="Arial" w:eastAsia="Arial" w:hAnsi="Arial"/>
                <w:sz w:val="16"/>
                <w:szCs w:val="16"/>
                <w:color w:val="auto"/>
              </w:rPr>
              <w:t>Continued formula-driven calculation for annual</w:t>
            </w:r>
          </w:p>
        </w:tc>
        <w:tc>
          <w:tcPr>
            <w:tcW w:w="7300" w:type="dxa"/>
            <w:vAlign w:val="bottom"/>
          </w:tcPr>
          <w:p>
            <w:pPr>
              <w:ind w:left="260"/>
              <w:spacing w:after="0" w:line="182" w:lineRule="exact"/>
              <w:rPr>
                <w:sz w:val="20"/>
                <w:szCs w:val="20"/>
                <w:color w:val="auto"/>
              </w:rPr>
            </w:pPr>
            <w:r>
              <w:rPr>
                <w:rFonts w:ascii="Arial" w:cs="Arial" w:eastAsia="Arial" w:hAnsi="Arial"/>
                <w:sz w:val="16"/>
                <w:szCs w:val="16"/>
                <w:color w:val="auto"/>
              </w:rPr>
              <w:t>The CHCC continued to rely solely on pre-determined objective measures to assess financial</w:t>
            </w:r>
          </w:p>
        </w:tc>
        <w:tc>
          <w:tcPr>
            <w:tcW w:w="20" w:type="dxa"/>
            <w:vAlign w:val="bottom"/>
          </w:tcPr>
          <w:p>
            <w:pPr>
              <w:spacing w:after="0"/>
              <w:rPr>
                <w:sz w:val="15"/>
                <w:szCs w:val="15"/>
                <w:color w:val="auto"/>
              </w:rPr>
            </w:pPr>
          </w:p>
        </w:tc>
      </w:tr>
      <w:tr>
        <w:trPr>
          <w:trHeight w:val="215"/>
        </w:trPr>
        <w:tc>
          <w:tcPr>
            <w:tcW w:w="394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bonus payments</w:t>
            </w:r>
          </w:p>
        </w:tc>
        <w:tc>
          <w:tcPr>
            <w:tcW w:w="7300" w:type="dxa"/>
            <w:vAlign w:val="bottom"/>
          </w:tcPr>
          <w:p>
            <w:pPr>
              <w:ind w:left="260"/>
              <w:spacing w:after="0"/>
              <w:rPr>
                <w:sz w:val="20"/>
                <w:szCs w:val="20"/>
                <w:color w:val="auto"/>
              </w:rPr>
            </w:pPr>
            <w:r>
              <w:rPr>
                <w:rFonts w:ascii="Arial" w:cs="Arial" w:eastAsia="Arial" w:hAnsi="Arial"/>
                <w:sz w:val="16"/>
                <w:szCs w:val="16"/>
                <w:color w:val="auto"/>
              </w:rPr>
              <w:t>performance for cash bonus payments for 2025</w:t>
            </w:r>
          </w:p>
        </w:tc>
        <w:tc>
          <w:tcPr>
            <w:tcW w:w="20" w:type="dxa"/>
            <w:vAlign w:val="bottom"/>
          </w:tcPr>
          <w:p>
            <w:pPr>
              <w:spacing w:after="0"/>
              <w:rPr>
                <w:sz w:val="18"/>
                <w:szCs w:val="18"/>
                <w:color w:val="auto"/>
              </w:rPr>
            </w:pPr>
          </w:p>
        </w:tc>
      </w:tr>
      <w:tr>
        <w:trPr>
          <w:trHeight w:val="29"/>
        </w:trPr>
        <w:tc>
          <w:tcPr>
            <w:tcW w:w="3940" w:type="dxa"/>
            <w:vAlign w:val="bottom"/>
            <w:tcBorders>
              <w:bottom w:val="single" w:sz="8" w:color="003595"/>
              <w:right w:val="single" w:sz="8" w:color="003595"/>
            </w:tcBorders>
          </w:tcPr>
          <w:p>
            <w:pPr>
              <w:spacing w:after="0"/>
              <w:rPr>
                <w:sz w:val="2"/>
                <w:szCs w:val="2"/>
                <w:color w:val="auto"/>
              </w:rPr>
            </w:pPr>
          </w:p>
        </w:tc>
        <w:tc>
          <w:tcPr>
            <w:tcW w:w="7300" w:type="dxa"/>
            <w:vAlign w:val="bottom"/>
            <w:tcBorders>
              <w:bottom w:val="single" w:sz="8" w:color="003595"/>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3940" w:type="dxa"/>
            <w:vAlign w:val="bottom"/>
            <w:tcBorders>
              <w:right w:val="single" w:sz="8" w:color="003595"/>
            </w:tcBorders>
          </w:tcPr>
          <w:p>
            <w:pPr>
              <w:ind w:left="160"/>
              <w:spacing w:after="0" w:line="182" w:lineRule="exact"/>
              <w:rPr>
                <w:sz w:val="20"/>
                <w:szCs w:val="20"/>
                <w:color w:val="auto"/>
              </w:rPr>
            </w:pPr>
            <w:r>
              <w:rPr>
                <w:rFonts w:ascii="Arial" w:cs="Arial" w:eastAsia="Arial" w:hAnsi="Arial"/>
                <w:sz w:val="16"/>
                <w:szCs w:val="16"/>
                <w:color w:val="auto"/>
              </w:rPr>
              <w:t>Incentive payouts aligned with revenue and</w:t>
            </w:r>
          </w:p>
        </w:tc>
        <w:tc>
          <w:tcPr>
            <w:tcW w:w="7300" w:type="dxa"/>
            <w:vAlign w:val="bottom"/>
          </w:tcPr>
          <w:p>
            <w:pPr>
              <w:ind w:left="260"/>
              <w:spacing w:after="0" w:line="182" w:lineRule="exact"/>
              <w:rPr>
                <w:sz w:val="20"/>
                <w:szCs w:val="20"/>
                <w:color w:val="auto"/>
              </w:rPr>
            </w:pPr>
            <w:r>
              <w:rPr>
                <w:rFonts w:ascii="Arial" w:cs="Arial" w:eastAsia="Arial" w:hAnsi="Arial"/>
                <w:sz w:val="16"/>
                <w:szCs w:val="16"/>
                <w:color w:val="auto"/>
              </w:rPr>
              <w:t>Our 2025 short-term incentive plan paid out at 59% and 106% of target for our revenue and</w:t>
            </w:r>
          </w:p>
        </w:tc>
        <w:tc>
          <w:tcPr>
            <w:tcW w:w="20" w:type="dxa"/>
            <w:vAlign w:val="bottom"/>
          </w:tcPr>
          <w:p>
            <w:pPr>
              <w:spacing w:after="0"/>
              <w:rPr>
                <w:sz w:val="15"/>
                <w:szCs w:val="15"/>
                <w:color w:val="auto"/>
              </w:rPr>
            </w:pPr>
          </w:p>
        </w:tc>
      </w:tr>
      <w:tr>
        <w:trPr>
          <w:trHeight w:val="215"/>
        </w:trPr>
        <w:tc>
          <w:tcPr>
            <w:tcW w:w="394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adjusted operating income performance</w:t>
            </w:r>
          </w:p>
        </w:tc>
        <w:tc>
          <w:tcPr>
            <w:tcW w:w="7300" w:type="dxa"/>
            <w:vAlign w:val="bottom"/>
          </w:tcPr>
          <w:p>
            <w:pPr>
              <w:ind w:left="260"/>
              <w:spacing w:after="0"/>
              <w:rPr>
                <w:sz w:val="20"/>
                <w:szCs w:val="20"/>
                <w:color w:val="auto"/>
              </w:rPr>
            </w:pPr>
            <w:r>
              <w:rPr>
                <w:rFonts w:ascii="Arial" w:cs="Arial" w:eastAsia="Arial" w:hAnsi="Arial"/>
                <w:sz w:val="16"/>
                <w:szCs w:val="16"/>
                <w:color w:val="auto"/>
              </w:rPr>
              <w:t>adjusted operating income metrics, respectively, reflecting our financial results for 2025</w:t>
            </w:r>
          </w:p>
        </w:tc>
        <w:tc>
          <w:tcPr>
            <w:tcW w:w="20" w:type="dxa"/>
            <w:vAlign w:val="bottom"/>
          </w:tcPr>
          <w:p>
            <w:pPr>
              <w:spacing w:after="0"/>
              <w:rPr>
                <w:sz w:val="18"/>
                <w:szCs w:val="18"/>
                <w:color w:val="auto"/>
              </w:rPr>
            </w:pPr>
          </w:p>
        </w:tc>
      </w:tr>
      <w:tr>
        <w:trPr>
          <w:trHeight w:val="29"/>
        </w:trPr>
        <w:tc>
          <w:tcPr>
            <w:tcW w:w="3940" w:type="dxa"/>
            <w:vAlign w:val="bottom"/>
            <w:tcBorders>
              <w:bottom w:val="single" w:sz="8" w:color="003595"/>
              <w:right w:val="single" w:sz="8" w:color="003595"/>
            </w:tcBorders>
          </w:tcPr>
          <w:p>
            <w:pPr>
              <w:spacing w:after="0"/>
              <w:rPr>
                <w:sz w:val="2"/>
                <w:szCs w:val="2"/>
                <w:color w:val="auto"/>
              </w:rPr>
            </w:pPr>
          </w:p>
        </w:tc>
        <w:tc>
          <w:tcPr>
            <w:tcW w:w="7300" w:type="dxa"/>
            <w:vAlign w:val="bottom"/>
            <w:tcBorders>
              <w:bottom w:val="single" w:sz="8" w:color="003595"/>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3940" w:type="dxa"/>
            <w:vAlign w:val="bottom"/>
            <w:tcBorders>
              <w:right w:val="single" w:sz="8" w:color="003595"/>
            </w:tcBorders>
          </w:tcPr>
          <w:p>
            <w:pPr>
              <w:ind w:left="160"/>
              <w:spacing w:after="0" w:line="182" w:lineRule="exact"/>
              <w:rPr>
                <w:sz w:val="20"/>
                <w:szCs w:val="20"/>
                <w:color w:val="auto"/>
              </w:rPr>
            </w:pPr>
            <w:r>
              <w:rPr>
                <w:rFonts w:ascii="Arial" w:cs="Arial" w:eastAsia="Arial" w:hAnsi="Arial"/>
                <w:sz w:val="16"/>
                <w:szCs w:val="16"/>
                <w:color w:val="auto"/>
              </w:rPr>
              <w:t>Outperformed employee and customer engagement</w:t>
            </w:r>
          </w:p>
        </w:tc>
        <w:tc>
          <w:tcPr>
            <w:tcW w:w="7300" w:type="dxa"/>
            <w:vAlign w:val="bottom"/>
          </w:tcPr>
          <w:p>
            <w:pPr>
              <w:ind w:left="260"/>
              <w:spacing w:after="0" w:line="182" w:lineRule="exact"/>
              <w:rPr>
                <w:sz w:val="20"/>
                <w:szCs w:val="20"/>
                <w:color w:val="auto"/>
              </w:rPr>
            </w:pPr>
            <w:r>
              <w:rPr>
                <w:rFonts w:ascii="Arial" w:cs="Arial" w:eastAsia="Arial" w:hAnsi="Arial"/>
                <w:sz w:val="16"/>
                <w:szCs w:val="16"/>
                <w:color w:val="auto"/>
              </w:rPr>
              <w:t>Achieved 84th percentile for employee engagement and 72.5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for customer NPS,</w:t>
            </w:r>
          </w:p>
        </w:tc>
        <w:tc>
          <w:tcPr>
            <w:tcW w:w="20" w:type="dxa"/>
            <w:vAlign w:val="bottom"/>
          </w:tcPr>
          <w:p>
            <w:pPr>
              <w:spacing w:after="0"/>
              <w:rPr>
                <w:sz w:val="15"/>
                <w:szCs w:val="15"/>
                <w:color w:val="auto"/>
              </w:rPr>
            </w:pPr>
          </w:p>
        </w:tc>
      </w:tr>
      <w:tr>
        <w:trPr>
          <w:trHeight w:val="215"/>
        </w:trPr>
        <w:tc>
          <w:tcPr>
            <w:tcW w:w="394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targets</w:t>
            </w:r>
          </w:p>
        </w:tc>
        <w:tc>
          <w:tcPr>
            <w:tcW w:w="7300" w:type="dxa"/>
            <w:vAlign w:val="bottom"/>
          </w:tcPr>
          <w:p>
            <w:pPr>
              <w:ind w:left="260"/>
              <w:spacing w:after="0"/>
              <w:rPr>
                <w:sz w:val="20"/>
                <w:szCs w:val="20"/>
                <w:color w:val="auto"/>
              </w:rPr>
            </w:pPr>
            <w:r>
              <w:rPr>
                <w:rFonts w:ascii="Arial" w:cs="Arial" w:eastAsia="Arial" w:hAnsi="Arial"/>
                <w:sz w:val="16"/>
                <w:szCs w:val="16"/>
                <w:color w:val="auto"/>
              </w:rPr>
              <w:t>resulting in achievement of 125% and 138% to target</w:t>
            </w:r>
          </w:p>
        </w:tc>
        <w:tc>
          <w:tcPr>
            <w:tcW w:w="20" w:type="dxa"/>
            <w:vAlign w:val="bottom"/>
          </w:tcPr>
          <w:p>
            <w:pPr>
              <w:spacing w:after="0"/>
              <w:rPr>
                <w:sz w:val="18"/>
                <w:szCs w:val="18"/>
                <w:color w:val="auto"/>
              </w:rPr>
            </w:pPr>
          </w:p>
        </w:tc>
      </w:tr>
      <w:tr>
        <w:trPr>
          <w:trHeight w:val="29"/>
        </w:trPr>
        <w:tc>
          <w:tcPr>
            <w:tcW w:w="3940" w:type="dxa"/>
            <w:vAlign w:val="bottom"/>
            <w:tcBorders>
              <w:bottom w:val="single" w:sz="8" w:color="003595"/>
              <w:right w:val="single" w:sz="8" w:color="003595"/>
            </w:tcBorders>
          </w:tcPr>
          <w:p>
            <w:pPr>
              <w:spacing w:after="0"/>
              <w:rPr>
                <w:sz w:val="2"/>
                <w:szCs w:val="2"/>
                <w:color w:val="auto"/>
              </w:rPr>
            </w:pPr>
          </w:p>
        </w:tc>
        <w:tc>
          <w:tcPr>
            <w:tcW w:w="7300" w:type="dxa"/>
            <w:vAlign w:val="bottom"/>
            <w:tcBorders>
              <w:bottom w:val="single" w:sz="8" w:color="003595"/>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3940" w:type="dxa"/>
            <w:vAlign w:val="bottom"/>
            <w:tcBorders>
              <w:right w:val="single" w:sz="8" w:color="003595"/>
            </w:tcBorders>
          </w:tcPr>
          <w:p>
            <w:pPr>
              <w:ind w:left="160"/>
              <w:spacing w:after="0" w:line="182" w:lineRule="exact"/>
              <w:rPr>
                <w:sz w:val="20"/>
                <w:szCs w:val="20"/>
                <w:color w:val="auto"/>
              </w:rPr>
            </w:pPr>
            <w:r>
              <w:rPr>
                <w:rFonts w:ascii="Arial" w:cs="Arial" w:eastAsia="Arial" w:hAnsi="Arial"/>
                <w:sz w:val="16"/>
                <w:szCs w:val="16"/>
                <w:color w:val="auto"/>
              </w:rPr>
              <w:t>Payout of 2023 PSUs reinforces at-risk,</w:t>
            </w:r>
          </w:p>
        </w:tc>
        <w:tc>
          <w:tcPr>
            <w:tcW w:w="7300" w:type="dxa"/>
            <w:vAlign w:val="bottom"/>
          </w:tcPr>
          <w:p>
            <w:pPr>
              <w:ind w:left="260"/>
              <w:spacing w:after="0" w:line="182" w:lineRule="exact"/>
              <w:rPr>
                <w:sz w:val="20"/>
                <w:szCs w:val="20"/>
                <w:color w:val="auto"/>
              </w:rPr>
            </w:pPr>
            <w:r>
              <w:rPr>
                <w:rFonts w:ascii="Arial" w:cs="Arial" w:eastAsia="Arial" w:hAnsi="Arial"/>
                <w:sz w:val="16"/>
                <w:szCs w:val="16"/>
                <w:color w:val="auto"/>
              </w:rPr>
              <w:t>The total achievement percentage for our 2023 PSUs was 83% of target, consisting of revenue</w:t>
            </w:r>
          </w:p>
        </w:tc>
        <w:tc>
          <w:tcPr>
            <w:tcW w:w="20" w:type="dxa"/>
            <w:vAlign w:val="bottom"/>
          </w:tcPr>
          <w:p>
            <w:pPr>
              <w:spacing w:after="0"/>
              <w:rPr>
                <w:sz w:val="15"/>
                <w:szCs w:val="15"/>
                <w:color w:val="auto"/>
              </w:rPr>
            </w:pPr>
          </w:p>
        </w:tc>
      </w:tr>
      <w:tr>
        <w:trPr>
          <w:trHeight w:val="175"/>
        </w:trPr>
        <w:tc>
          <w:tcPr>
            <w:tcW w:w="3940" w:type="dxa"/>
            <w:vAlign w:val="bottom"/>
            <w:tcBorders>
              <w:right w:val="single" w:sz="8" w:color="003595"/>
            </w:tcBorders>
          </w:tcPr>
          <w:p>
            <w:pPr>
              <w:ind w:left="160"/>
              <w:spacing w:after="0" w:line="175" w:lineRule="exact"/>
              <w:rPr>
                <w:sz w:val="20"/>
                <w:szCs w:val="20"/>
                <w:color w:val="auto"/>
              </w:rPr>
            </w:pPr>
            <w:r>
              <w:rPr>
                <w:rFonts w:ascii="Arial" w:cs="Arial" w:eastAsia="Arial" w:hAnsi="Arial"/>
                <w:sz w:val="16"/>
                <w:szCs w:val="16"/>
                <w:color w:val="auto"/>
              </w:rPr>
              <w:t>performance-based nature of our executive</w:t>
            </w:r>
          </w:p>
        </w:tc>
        <w:tc>
          <w:tcPr>
            <w:tcW w:w="7300" w:type="dxa"/>
            <w:vAlign w:val="bottom"/>
          </w:tcPr>
          <w:p>
            <w:pPr>
              <w:ind w:left="260"/>
              <w:spacing w:after="0" w:line="175" w:lineRule="exact"/>
              <w:rPr>
                <w:sz w:val="20"/>
                <w:szCs w:val="20"/>
                <w:color w:val="auto"/>
              </w:rPr>
            </w:pPr>
            <w:r>
              <w:rPr>
                <w:rFonts w:ascii="Arial" w:cs="Arial" w:eastAsia="Arial" w:hAnsi="Arial"/>
                <w:sz w:val="16"/>
                <w:szCs w:val="16"/>
                <w:color w:val="auto"/>
              </w:rPr>
              <w:t>growth (77% of target), adjusted EPS (86% of target), and relative total stockholder return (87% of</w:t>
            </w:r>
          </w:p>
        </w:tc>
        <w:tc>
          <w:tcPr>
            <w:tcW w:w="20" w:type="dxa"/>
            <w:vAlign w:val="bottom"/>
          </w:tcPr>
          <w:p>
            <w:pPr>
              <w:spacing w:after="0"/>
              <w:rPr>
                <w:sz w:val="15"/>
                <w:szCs w:val="15"/>
                <w:color w:val="auto"/>
              </w:rPr>
            </w:pPr>
          </w:p>
        </w:tc>
      </w:tr>
      <w:tr>
        <w:trPr>
          <w:trHeight w:val="215"/>
        </w:trPr>
        <w:tc>
          <w:tcPr>
            <w:tcW w:w="394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compensation program</w:t>
            </w:r>
          </w:p>
        </w:tc>
        <w:tc>
          <w:tcPr>
            <w:tcW w:w="7300" w:type="dxa"/>
            <w:vAlign w:val="bottom"/>
          </w:tcPr>
          <w:p>
            <w:pPr>
              <w:ind w:left="260"/>
              <w:spacing w:after="0"/>
              <w:rPr>
                <w:sz w:val="20"/>
                <w:szCs w:val="20"/>
                <w:color w:val="auto"/>
              </w:rPr>
            </w:pPr>
            <w:r>
              <w:rPr>
                <w:rFonts w:ascii="Arial" w:cs="Arial" w:eastAsia="Arial" w:hAnsi="Arial"/>
                <w:sz w:val="16"/>
                <w:szCs w:val="16"/>
                <w:color w:val="auto"/>
              </w:rPr>
              <w:t>target)</w:t>
            </w:r>
          </w:p>
        </w:tc>
        <w:tc>
          <w:tcPr>
            <w:tcW w:w="20" w:type="dxa"/>
            <w:vAlign w:val="bottom"/>
          </w:tcPr>
          <w:p>
            <w:pPr>
              <w:spacing w:after="0"/>
              <w:rPr>
                <w:sz w:val="18"/>
                <w:szCs w:val="18"/>
                <w:color w:val="auto"/>
              </w:rPr>
            </w:pPr>
          </w:p>
        </w:tc>
      </w:tr>
      <w:tr>
        <w:trPr>
          <w:trHeight w:val="29"/>
        </w:trPr>
        <w:tc>
          <w:tcPr>
            <w:tcW w:w="3940" w:type="dxa"/>
            <w:vAlign w:val="bottom"/>
            <w:tcBorders>
              <w:bottom w:val="single" w:sz="8" w:color="003595"/>
              <w:right w:val="single" w:sz="8" w:color="003595"/>
            </w:tcBorders>
          </w:tcPr>
          <w:p>
            <w:pPr>
              <w:spacing w:after="0"/>
              <w:rPr>
                <w:sz w:val="2"/>
                <w:szCs w:val="2"/>
                <w:color w:val="auto"/>
              </w:rPr>
            </w:pPr>
          </w:p>
        </w:tc>
        <w:tc>
          <w:tcPr>
            <w:tcW w:w="7300" w:type="dxa"/>
            <w:vAlign w:val="bottom"/>
            <w:tcBorders>
              <w:bottom w:val="single" w:sz="8" w:color="003595"/>
            </w:tcBorders>
          </w:tcPr>
          <w:p>
            <w:pPr>
              <w:spacing w:after="0"/>
              <w:rPr>
                <w:sz w:val="2"/>
                <w:szCs w:val="2"/>
                <w:color w:val="auto"/>
              </w:rPr>
            </w:pPr>
          </w:p>
        </w:tc>
        <w:tc>
          <w:tcPr>
            <w:tcW w:w="20" w:type="dxa"/>
            <w:vAlign w:val="bottom"/>
          </w:tcPr>
          <w:p>
            <w:pPr>
              <w:spacing w:after="0"/>
              <w:rPr>
                <w:sz w:val="2"/>
                <w:szCs w:val="2"/>
                <w:color w:val="auto"/>
              </w:rPr>
            </w:pPr>
          </w:p>
        </w:tc>
      </w:tr>
      <w:tr>
        <w:trPr>
          <w:trHeight w:val="208"/>
        </w:trPr>
        <w:tc>
          <w:tcPr>
            <w:tcW w:w="3940" w:type="dxa"/>
            <w:vAlign w:val="bottom"/>
            <w:tcBorders>
              <w:right w:val="single" w:sz="8" w:color="003595"/>
            </w:tcBorders>
          </w:tcPr>
          <w:p>
            <w:pPr>
              <w:ind w:left="160"/>
              <w:spacing w:after="0"/>
              <w:rPr>
                <w:sz w:val="20"/>
                <w:szCs w:val="20"/>
                <w:color w:val="auto"/>
              </w:rPr>
            </w:pPr>
            <w:r>
              <w:rPr>
                <w:rFonts w:ascii="Arial" w:cs="Arial" w:eastAsia="Arial" w:hAnsi="Arial"/>
                <w:sz w:val="16"/>
                <w:szCs w:val="16"/>
                <w:color w:val="auto"/>
              </w:rPr>
              <w:t>No modifications to performance metrics</w:t>
            </w:r>
          </w:p>
        </w:tc>
        <w:tc>
          <w:tcPr>
            <w:tcW w:w="7300" w:type="dxa"/>
            <w:vAlign w:val="bottom"/>
          </w:tcPr>
          <w:p>
            <w:pPr>
              <w:ind w:left="260"/>
              <w:spacing w:after="0"/>
              <w:rPr>
                <w:sz w:val="20"/>
                <w:szCs w:val="20"/>
                <w:color w:val="auto"/>
              </w:rPr>
            </w:pPr>
            <w:r>
              <w:rPr>
                <w:rFonts w:ascii="Arial" w:cs="Arial" w:eastAsia="Arial" w:hAnsi="Arial"/>
                <w:sz w:val="16"/>
                <w:szCs w:val="16"/>
                <w:color w:val="auto"/>
              </w:rPr>
              <w:t>The CHCC did not adjust 2025 performance metrics</w:t>
            </w:r>
          </w:p>
        </w:tc>
        <w:tc>
          <w:tcPr>
            <w:tcW w:w="20" w:type="dxa"/>
            <w:vAlign w:val="bottom"/>
          </w:tcPr>
          <w:p>
            <w:pPr>
              <w:spacing w:after="0"/>
              <w:rPr>
                <w:sz w:val="18"/>
                <w:szCs w:val="18"/>
                <w:color w:val="auto"/>
              </w:rPr>
            </w:pPr>
          </w:p>
        </w:tc>
      </w:tr>
      <w:tr>
        <w:trPr>
          <w:trHeight w:val="28"/>
        </w:trPr>
        <w:tc>
          <w:tcPr>
            <w:tcW w:w="3940" w:type="dxa"/>
            <w:vAlign w:val="bottom"/>
            <w:tcBorders>
              <w:bottom w:val="single" w:sz="8" w:color="003595"/>
              <w:right w:val="single" w:sz="8" w:color="003595"/>
            </w:tcBorders>
          </w:tcPr>
          <w:p>
            <w:pPr>
              <w:spacing w:after="0"/>
              <w:rPr>
                <w:sz w:val="2"/>
                <w:szCs w:val="2"/>
                <w:color w:val="auto"/>
              </w:rPr>
            </w:pPr>
          </w:p>
        </w:tc>
        <w:tc>
          <w:tcPr>
            <w:tcW w:w="7300" w:type="dxa"/>
            <w:vAlign w:val="bottom"/>
            <w:tcBorders>
              <w:bottom w:val="single" w:sz="8" w:color="003595"/>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2025 Executive Compensation Program Overview</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During 2025 and continuing into 2026, the three principal components of our compensation program for executive officers are:</w:t>
      </w:r>
    </w:p>
    <w:p>
      <w:pPr>
        <w:spacing w:after="0" w:line="262"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Annual base salary;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Short-term incentive compensation in the form of an annual cash incentive award; and</w:t>
      </w:r>
    </w:p>
    <w:p>
      <w:pPr>
        <w:spacing w:after="0" w:line="248"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Long-term incentive compensation in the form of (a) restricted stock units subject to time-based vesting ("RSUs") and (b) restricted stock units subject to vesting upon meeting certain performance metrics ("PSUs").</w:t>
      </w:r>
    </w:p>
    <w:p>
      <w:pPr>
        <w:sectPr>
          <w:pgSz w:w="11900" w:h="16838" w:orient="portrait"/>
          <w:cols w:equalWidth="0" w:num="1">
            <w:col w:w="11260"/>
          </w:cols>
          <w:pgMar w:left="320" w:top="77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497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type w:val="continuous"/>
        </w:sectPr>
      </w:pPr>
    </w:p>
    <w:bookmarkStart w:id="39" w:name="page40"/>
    <w:bookmarkEnd w:id="39"/>
    <w:p>
      <w:pPr>
        <w:jc w:val="both"/>
        <w:spacing w:after="0" w:line="265" w:lineRule="auto"/>
        <w:rPr>
          <w:sz w:val="20"/>
          <w:szCs w:val="20"/>
          <w:color w:val="auto"/>
        </w:rPr>
      </w:pPr>
      <w:r>
        <w:rPr>
          <w:rFonts w:ascii="Arial" w:cs="Arial" w:eastAsia="Arial" w:hAnsi="Arial"/>
          <w:sz w:val="16"/>
          <w:szCs w:val="16"/>
          <w:color w:val="auto"/>
        </w:rPr>
        <w:t>We believe that these compensation components provide the appropriate balance of short- and long-term compensation and incentives to our executive officers to drive our performance, success, and long-term growth. Our compensation program seeks to align compensation with our performance and reward our executive officers for their contribution to our growth, profitability, increased stockholder value, and employee and customer engagement through the recognition of individual leadership, initiatives, achievements, and other contributions.</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short-term incentive awards for our executive officers for 2025, the CHCC approved Company performance metrics and employee and customer engagement metrics as well as individual strategic goals. The short-term incentive award component of our executive officers' compensation was balanced among the following factors:</w:t>
      </w:r>
    </w:p>
    <w:p>
      <w:pPr>
        <w:spacing w:after="0" w:line="223"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16"/>
          <w:szCs w:val="16"/>
          <w:color w:val="auto"/>
        </w:rPr>
        <w:t>Two financial performance metrics: revenue and adjusted operating income;</w:t>
      </w:r>
    </w:p>
    <w:p>
      <w:pPr>
        <w:spacing w:after="0" w:line="230"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Two non-financial quantitative metrics: employee engagement and customer net promoter score ("NPS"); and</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Individual strategic goals.</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Historically, the relative weighting of the financial performance metrics, employee engagement, customer NPS, and individual strategic goals varied among executive officers, with greater weight generally given to the financial performance metrics. For the 2025 short-term incentive awards, however, the CHCC weighed the factors the same for all executive officers with the financial performance metrics representing 70% of an executive officer's total score, engagement and customer NPS each representing 5% of an executive officer's total score, and individual strategic goals accounting for the remaining 20%.</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Long-term incentives for 2025, which were comprised of 50% each of RSUs and PSUs, were also based in part on the Company's performance as measured by certain financial performance metrics set by the CHCC, as shown in the following illustration: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159385</wp:posOffset>
            </wp:positionV>
            <wp:extent cx="660082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00825" cy="17145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64"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FFFFFF"/>
        </w:rPr>
        <w:t>Annual Equity Grant: 50% RSUs</w:t>
      </w:r>
    </w:p>
    <w:p>
      <w:pPr>
        <w:spacing w:after="0" w:line="86" w:lineRule="exact"/>
        <w:rPr>
          <w:sz w:val="20"/>
          <w:szCs w:val="20"/>
          <w:color w:val="auto"/>
        </w:rPr>
      </w:pPr>
    </w:p>
    <w:p>
      <w:pPr>
        <w:ind w:left="920" w:hanging="145"/>
        <w:spacing w:after="0"/>
        <w:tabs>
          <w:tab w:leader="none" w:pos="9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Number of RSUs granted is fixed at the grant date</w:t>
      </w:r>
    </w:p>
    <w:p>
      <w:pPr>
        <w:spacing w:after="0" w:line="72" w:lineRule="exact"/>
        <w:rPr>
          <w:rFonts w:ascii="Arial" w:cs="Arial" w:eastAsia="Arial" w:hAnsi="Arial"/>
          <w:sz w:val="16"/>
          <w:szCs w:val="16"/>
          <w:color w:val="auto"/>
        </w:rPr>
      </w:pPr>
    </w:p>
    <w:p>
      <w:pPr>
        <w:ind w:left="920" w:hanging="145"/>
        <w:spacing w:after="0"/>
        <w:tabs>
          <w:tab w:leader="none" w:pos="9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Pro-rata vesting over three years subject to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569595</wp:posOffset>
            </wp:positionV>
            <wp:extent cx="32061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278130</wp:posOffset>
            </wp:positionV>
            <wp:extent cx="32061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-132715</wp:posOffset>
            </wp:positionV>
            <wp:extent cx="32061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1286"/>
        <w:spacing w:after="0"/>
        <w:rPr>
          <w:sz w:val="20"/>
          <w:szCs w:val="20"/>
          <w:color w:val="auto"/>
        </w:rPr>
      </w:pPr>
      <w:r>
        <w:rPr>
          <w:rFonts w:ascii="Arial" w:cs="Arial" w:eastAsia="Arial" w:hAnsi="Arial"/>
          <w:sz w:val="16"/>
          <w:szCs w:val="16"/>
          <w:b w:val="1"/>
          <w:bCs w:val="1"/>
          <w:color w:val="FFFFFF"/>
        </w:rPr>
        <w:t>Annual Equity Grant: 50% PSUs</w:t>
      </w:r>
    </w:p>
    <w:p>
      <w:pPr>
        <w:spacing w:after="0" w:line="86" w:lineRule="exact"/>
        <w:rPr>
          <w:sz w:val="20"/>
          <w:szCs w:val="20"/>
          <w:color w:val="auto"/>
        </w:rPr>
      </w:pPr>
    </w:p>
    <w:p>
      <w:pPr>
        <w:ind w:left="146" w:hanging="146"/>
        <w:spacing w:after="0"/>
        <w:tabs>
          <w:tab w:leader="none" w:pos="1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Target number of PSUs is set at the grant date</w:t>
      </w:r>
    </w:p>
    <w:p>
      <w:pPr>
        <w:spacing w:after="0" w:line="72" w:lineRule="exact"/>
        <w:rPr>
          <w:rFonts w:ascii="Arial" w:cs="Arial" w:eastAsia="Arial" w:hAnsi="Arial"/>
          <w:sz w:val="16"/>
          <w:szCs w:val="16"/>
          <w:color w:val="auto"/>
        </w:rPr>
      </w:pPr>
    </w:p>
    <w:p>
      <w:pPr>
        <w:jc w:val="both"/>
        <w:ind w:left="166" w:right="260" w:hanging="166"/>
        <w:spacing w:after="0" w:line="275" w:lineRule="auto"/>
        <w:tabs>
          <w:tab w:leader="none" w:pos="1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Actual number of units earned is based on Company performance relative to revenue, adjusted EPS, and relative stockholder return targets</w:t>
      </w:r>
    </w:p>
    <w:p>
      <w:pPr>
        <w:spacing w:after="0" w:line="15" w:lineRule="exact"/>
        <w:rPr>
          <w:rFonts w:ascii="Arial" w:cs="Arial" w:eastAsia="Arial" w:hAnsi="Arial"/>
          <w:sz w:val="16"/>
          <w:szCs w:val="16"/>
          <w:color w:val="auto"/>
        </w:rPr>
      </w:pPr>
    </w:p>
    <w:p>
      <w:pPr>
        <w:ind w:left="166" w:right="820" w:hanging="166"/>
        <w:spacing w:after="0" w:line="304" w:lineRule="auto"/>
        <w:tabs>
          <w:tab w:leader="none" w:pos="1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Vest on three-year anniversary of the grant date subject to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32150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1500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-311785</wp:posOffset>
            </wp:positionV>
            <wp:extent cx="32150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1500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-723265</wp:posOffset>
            </wp:positionV>
            <wp:extent cx="32150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394"/>
            <w:col w:w="5146"/>
          </w:cols>
          <w:pgMar w:left="320" w:top="773" w:right="339" w:bottom="1440" w:gutter="0" w:footer="0" w:header="0"/>
          <w:type w:val="continuous"/>
        </w:sectPr>
      </w:pP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2025 long-term incentive program includes the following performance metrics: revenue (34% weighting), adjusted EPS (33% weighting), and relative total stockholder return (33% weighting). The relative total stockholder return metric is measured from January 1, 2025 to December 31, 2027 and the revenue and adjusted EPS metrics are measured based on results for the year ended December 31, 2027.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Named Executive Officer Pay at a Glance</w:t>
      </w: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 ensure that the interests of our executive officers are aligned with those of our stockholders, the CHCC has designed our executive compensation program to include a substantial majority of target pay that is at-risk. At-risk pay may be cash-based, equity-based, or both. The charts below show that the target compensation opportunities for certain of our NEOs are heavily weighted towards variable at-risk pay elements that are earned only based on achievement of performance goals or through continued employment with us. Approximately 81.8% of our President and Chief Executive Officer's 2025 target compensation was comprised of at-risk pay. Similarly, approximately 74.4% of certain of our other NEOs' aggregate 2025 target compensation was comprised of at-risk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62153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72200" cy="621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*This chart reflects the 2025 target compensation of Mr. Raha, our President and Chief Executive Officer. Percentages shown are approximate.</w:t>
      </w:r>
    </w:p>
    <w:p>
      <w:pPr>
        <w:spacing w:after="0" w:line="262" w:lineRule="exact"/>
        <w:rPr>
          <w:sz w:val="20"/>
          <w:szCs w:val="20"/>
          <w:color w:val="auto"/>
        </w:rPr>
      </w:pPr>
    </w:p>
    <w:p>
      <w:pPr>
        <w:ind w:firstLine="8"/>
        <w:spacing w:after="0" w:line="266" w:lineRule="auto"/>
        <w:tabs>
          <w:tab w:leader="none" w:pos="17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chart reflects the aggregate 2025 target compensation of Mr. Wheeler, Mr. Verratti, Mr. Donnelly, and Dr. Muzzey. The percentage for each category is calculated by dividing (i) the sum of the 2025 target compensation for these four NEOs for such category by (ii) the aggregate 2025 target compensation of these four NEOs for all categories. Percentages shown are approximate.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i w:val="1"/>
          <w:iCs w:val="1"/>
          <w:color w:val="0071CE"/>
        </w:rPr>
        <w:t>Role of Stockholder Say-on-Pay Votes</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We value our stockholders' opinion and feedback and are committed to maintaining an active dialogue to understand their priorities and concerns. We engaged with a majority of our top 25 stockholders on a quarterly basis during 2025. In addition, at our last Annual Meeting of Stockholders on June 5, 2025, we held a stockholder advisory vote on the compensation of our NEOs as disclosed in our 2025 proxy statement. This is generally referred to as a ‘‘Say-on-Pay’’ vote. Our stockholders approved the compensation of our NEOs with 92% of the votes cast in favor of our Say-on-Pay resolution at our 2025 Annual Meeting of Stockholders. We view these voting results as an indication of our stockholders' positive reaction to our executive compensation program. Notwithstanding this high approval percentage, the CHCC continues to monitor stakeholder feedback, Company performance, and market developments for potential further improvements to our compensation structure for executive officers. Proxy advisors and stockholder feedback was considered in the CHCC's decisions for 2025 compensation. We currently hold our Say-On-Pay vote every year. Stockholders will have an opportunity to cast an advisory vote on the frequency of Say-On-Pay votes at least every six years. Our next scheduled advisory vote on the frequency of future Say-On-Pay votes will be at the 2029 Annual Meeting of Stockholders.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Pay Practices</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evaluating, designing and implementing our executive compensation program, the CHCC considers the latest industry trends in compensation governance and compensation best practices. As a result of our review of our executive compensation program, we have adopted a number of best practices that we believe reflect the high standards our CHCC seeks to attain to support our compensation philosophy and pay practices,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160655</wp:posOffset>
            </wp:positionV>
            <wp:extent cx="889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0" w:type="dxa"/>
            <w:vAlign w:val="bottom"/>
            <w:tcBorders>
              <w:bottom w:val="single" w:sz="8" w:color="003595"/>
            </w:tcBorders>
            <w:shd w:val="clear" w:color="auto" w:fill="003595"/>
          </w:tcPr>
          <w:p>
            <w:pPr>
              <w:spacing w:after="0"/>
              <w:rPr>
                <w:sz w:val="21"/>
                <w:szCs w:val="21"/>
                <w:color w:val="auto"/>
              </w:rPr>
            </w:pPr>
          </w:p>
        </w:tc>
        <w:tc>
          <w:tcPr>
            <w:tcW w:w="5280" w:type="dxa"/>
            <w:vAlign w:val="bottom"/>
            <w:tcBorders>
              <w:bottom w:val="single" w:sz="8" w:color="003595"/>
            </w:tcBorders>
            <w:shd w:val="clear" w:color="auto" w:fill="003595"/>
          </w:tcPr>
          <w:p>
            <w:pPr>
              <w:ind w:left="2040"/>
              <w:spacing w:after="0"/>
              <w:rPr>
                <w:sz w:val="20"/>
                <w:szCs w:val="20"/>
                <w:color w:val="auto"/>
              </w:rPr>
            </w:pPr>
            <w:r>
              <w:rPr>
                <w:rFonts w:ascii="Arial" w:cs="Arial" w:eastAsia="Arial" w:hAnsi="Arial"/>
                <w:sz w:val="16"/>
                <w:szCs w:val="16"/>
                <w:b w:val="1"/>
                <w:bCs w:val="1"/>
                <w:color w:val="FFFFFF"/>
              </w:rPr>
              <w:t>What We Do:</w:t>
            </w:r>
          </w:p>
        </w:tc>
        <w:tc>
          <w:tcPr>
            <w:tcW w:w="240" w:type="dxa"/>
            <w:vAlign w:val="bottom"/>
            <w:tcBorders>
              <w:bottom w:val="single" w:sz="8" w:color="003595"/>
            </w:tcBorders>
            <w:shd w:val="clear" w:color="auto" w:fill="003595"/>
          </w:tcPr>
          <w:p>
            <w:pPr>
              <w:spacing w:after="0"/>
              <w:rPr>
                <w:sz w:val="21"/>
                <w:szCs w:val="21"/>
                <w:color w:val="auto"/>
              </w:rPr>
            </w:pPr>
          </w:p>
        </w:tc>
        <w:tc>
          <w:tcPr>
            <w:tcW w:w="5300" w:type="dxa"/>
            <w:vAlign w:val="bottom"/>
            <w:tcBorders>
              <w:bottom w:val="single" w:sz="8" w:color="003595"/>
            </w:tcBorders>
            <w:shd w:val="clear" w:color="auto" w:fill="003595"/>
          </w:tcPr>
          <w:p>
            <w:pPr>
              <w:ind w:left="1820"/>
              <w:spacing w:after="0"/>
              <w:rPr>
                <w:sz w:val="20"/>
                <w:szCs w:val="20"/>
                <w:color w:val="auto"/>
              </w:rPr>
            </w:pPr>
            <w:r>
              <w:rPr>
                <w:rFonts w:ascii="Arial" w:cs="Arial" w:eastAsia="Arial" w:hAnsi="Arial"/>
                <w:sz w:val="16"/>
                <w:szCs w:val="16"/>
                <w:b w:val="1"/>
                <w:bCs w:val="1"/>
                <w:color w:val="FFFFFF"/>
              </w:rPr>
              <w:t>What We Don't Do:</w:t>
            </w:r>
          </w:p>
        </w:tc>
      </w:tr>
      <w:tr>
        <w:trPr>
          <w:trHeight w:val="175"/>
        </w:trPr>
        <w:tc>
          <w:tcPr>
            <w:tcW w:w="220" w:type="dxa"/>
            <w:vAlign w:val="bottom"/>
          </w:tcPr>
          <w:p>
            <w:pPr>
              <w:ind w:left="100"/>
              <w:spacing w:after="0" w:line="175" w:lineRule="exact"/>
              <w:rPr>
                <w:sz w:val="20"/>
                <w:szCs w:val="20"/>
                <w:color w:val="auto"/>
              </w:rPr>
            </w:pPr>
            <w:r>
              <w:rPr>
                <w:rFonts w:ascii="Arial" w:cs="Arial" w:eastAsia="Arial" w:hAnsi="Arial"/>
                <w:sz w:val="16"/>
                <w:szCs w:val="16"/>
                <w:color w:val="auto"/>
              </w:rPr>
              <w:t>•</w:t>
            </w:r>
          </w:p>
        </w:tc>
        <w:tc>
          <w:tcPr>
            <w:tcW w:w="5280" w:type="dxa"/>
            <w:vAlign w:val="bottom"/>
          </w:tcPr>
          <w:p>
            <w:pPr>
              <w:ind w:left="40"/>
              <w:spacing w:after="0" w:line="175" w:lineRule="exact"/>
              <w:rPr>
                <w:sz w:val="20"/>
                <w:szCs w:val="20"/>
                <w:color w:val="auto"/>
              </w:rPr>
            </w:pPr>
            <w:r>
              <w:rPr>
                <w:rFonts w:ascii="Arial" w:cs="Arial" w:eastAsia="Arial" w:hAnsi="Arial"/>
                <w:sz w:val="16"/>
                <w:szCs w:val="16"/>
                <w:color w:val="auto"/>
              </w:rPr>
              <w:t>Grant 50% of executive officers' equity in the form of PSUs that are</w:t>
            </w:r>
          </w:p>
        </w:tc>
        <w:tc>
          <w:tcPr>
            <w:tcW w:w="24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5300" w:type="dxa"/>
            <w:vAlign w:val="bottom"/>
          </w:tcPr>
          <w:p>
            <w:pPr>
              <w:ind w:left="40"/>
              <w:spacing w:after="0" w:line="175" w:lineRule="exact"/>
              <w:rPr>
                <w:sz w:val="20"/>
                <w:szCs w:val="20"/>
                <w:color w:val="auto"/>
              </w:rPr>
            </w:pPr>
            <w:r>
              <w:rPr>
                <w:rFonts w:ascii="Arial" w:cs="Arial" w:eastAsia="Arial" w:hAnsi="Arial"/>
                <w:sz w:val="16"/>
                <w:szCs w:val="16"/>
                <w:color w:val="auto"/>
              </w:rPr>
              <w:t>Reprice stock options and other awards without stockholder approval</w:t>
            </w:r>
          </w:p>
        </w:tc>
      </w:tr>
      <w:tr>
        <w:trPr>
          <w:trHeight w:val="215"/>
        </w:trPr>
        <w:tc>
          <w:tcPr>
            <w:tcW w:w="2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6"/>
                <w:szCs w:val="16"/>
                <w:color w:val="auto"/>
              </w:rPr>
              <w:t>subject to objective performance metrics</w:t>
            </w: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43"/>
        </w:trPr>
        <w:tc>
          <w:tcPr>
            <w:tcW w:w="220" w:type="dxa"/>
            <w:vAlign w:val="bottom"/>
            <w:tcBorders>
              <w:bottom w:val="single" w:sz="8" w:color="003595"/>
            </w:tcBorders>
          </w:tcPr>
          <w:p>
            <w:pPr>
              <w:spacing w:after="0"/>
              <w:rPr>
                <w:sz w:val="3"/>
                <w:szCs w:val="3"/>
                <w:color w:val="auto"/>
              </w:rPr>
            </w:pPr>
          </w:p>
        </w:tc>
        <w:tc>
          <w:tcPr>
            <w:tcW w:w="528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5300" w:type="dxa"/>
            <w:vAlign w:val="bottom"/>
            <w:tcBorders>
              <w:bottom w:val="single" w:sz="8" w:color="003595"/>
            </w:tcBorders>
          </w:tcPr>
          <w:p>
            <w:pPr>
              <w:spacing w:after="0"/>
              <w:rPr>
                <w:sz w:val="3"/>
                <w:szCs w:val="3"/>
                <w:color w:val="auto"/>
              </w:rPr>
            </w:pPr>
          </w:p>
        </w:tc>
      </w:tr>
      <w:tr>
        <w:trPr>
          <w:trHeight w:val="168"/>
        </w:trPr>
        <w:tc>
          <w:tcPr>
            <w:tcW w:w="220" w:type="dxa"/>
            <w:vAlign w:val="bottom"/>
          </w:tcPr>
          <w:p>
            <w:pPr>
              <w:ind w:left="100"/>
              <w:spacing w:after="0" w:line="168" w:lineRule="exact"/>
              <w:rPr>
                <w:sz w:val="20"/>
                <w:szCs w:val="20"/>
                <w:color w:val="auto"/>
              </w:rPr>
            </w:pPr>
            <w:r>
              <w:rPr>
                <w:rFonts w:ascii="Arial" w:cs="Arial" w:eastAsia="Arial" w:hAnsi="Arial"/>
                <w:sz w:val="16"/>
                <w:szCs w:val="16"/>
                <w:color w:val="auto"/>
              </w:rPr>
              <w:t>•</w:t>
            </w:r>
          </w:p>
        </w:tc>
        <w:tc>
          <w:tcPr>
            <w:tcW w:w="5280" w:type="dxa"/>
            <w:vAlign w:val="bottom"/>
          </w:tcPr>
          <w:p>
            <w:pPr>
              <w:ind w:left="40"/>
              <w:spacing w:after="0" w:line="168" w:lineRule="exact"/>
              <w:rPr>
                <w:sz w:val="20"/>
                <w:szCs w:val="20"/>
                <w:color w:val="auto"/>
              </w:rPr>
            </w:pPr>
            <w:r>
              <w:rPr>
                <w:rFonts w:ascii="Arial" w:cs="Arial" w:eastAsia="Arial" w:hAnsi="Arial"/>
                <w:sz w:val="16"/>
                <w:szCs w:val="16"/>
                <w:color w:val="auto"/>
              </w:rPr>
              <w:t>Cap PSUs earned at target if absolute total stockholder return is</w:t>
            </w:r>
          </w:p>
        </w:tc>
        <w:tc>
          <w:tcPr>
            <w:tcW w:w="240" w:type="dxa"/>
            <w:vAlign w:val="bottom"/>
          </w:tcPr>
          <w:p>
            <w:pPr>
              <w:ind w:left="120"/>
              <w:spacing w:after="0" w:line="168" w:lineRule="exact"/>
              <w:rPr>
                <w:sz w:val="20"/>
                <w:szCs w:val="20"/>
                <w:color w:val="auto"/>
              </w:rPr>
            </w:pPr>
            <w:r>
              <w:rPr>
                <w:rFonts w:ascii="Arial" w:cs="Arial" w:eastAsia="Arial" w:hAnsi="Arial"/>
                <w:sz w:val="16"/>
                <w:szCs w:val="16"/>
                <w:color w:val="auto"/>
              </w:rPr>
              <w:t>•</w:t>
            </w:r>
          </w:p>
        </w:tc>
        <w:tc>
          <w:tcPr>
            <w:tcW w:w="5300" w:type="dxa"/>
            <w:vAlign w:val="bottom"/>
          </w:tcPr>
          <w:p>
            <w:pPr>
              <w:ind w:left="40"/>
              <w:spacing w:after="0" w:line="168" w:lineRule="exact"/>
              <w:rPr>
                <w:sz w:val="20"/>
                <w:szCs w:val="20"/>
                <w:color w:val="auto"/>
              </w:rPr>
            </w:pPr>
            <w:r>
              <w:rPr>
                <w:rFonts w:ascii="Arial" w:cs="Arial" w:eastAsia="Arial" w:hAnsi="Arial"/>
                <w:sz w:val="16"/>
                <w:szCs w:val="16"/>
                <w:color w:val="auto"/>
              </w:rPr>
              <w:t>Provide single-trigger change of control vesting for equity awards for</w:t>
            </w:r>
          </w:p>
        </w:tc>
      </w:tr>
      <w:tr>
        <w:trPr>
          <w:trHeight w:val="215"/>
        </w:trPr>
        <w:tc>
          <w:tcPr>
            <w:tcW w:w="2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6"/>
                <w:szCs w:val="16"/>
                <w:color w:val="auto"/>
              </w:rPr>
              <w:t>negative over the performance period</w:t>
            </w:r>
          </w:p>
        </w:tc>
        <w:tc>
          <w:tcPr>
            <w:tcW w:w="240" w:type="dxa"/>
            <w:vAlign w:val="bottom"/>
          </w:tcPr>
          <w:p>
            <w:pPr>
              <w:spacing w:after="0"/>
              <w:rPr>
                <w:sz w:val="18"/>
                <w:szCs w:val="18"/>
                <w:color w:val="auto"/>
              </w:rPr>
            </w:pPr>
          </w:p>
        </w:tc>
        <w:tc>
          <w:tcPr>
            <w:tcW w:w="5300" w:type="dxa"/>
            <w:vAlign w:val="bottom"/>
          </w:tcPr>
          <w:p>
            <w:pPr>
              <w:ind w:left="60"/>
              <w:spacing w:after="0"/>
              <w:rPr>
                <w:sz w:val="20"/>
                <w:szCs w:val="20"/>
                <w:color w:val="auto"/>
              </w:rPr>
            </w:pPr>
            <w:r>
              <w:rPr>
                <w:rFonts w:ascii="Arial" w:cs="Arial" w:eastAsia="Arial" w:hAnsi="Arial"/>
                <w:sz w:val="16"/>
                <w:szCs w:val="16"/>
                <w:color w:val="auto"/>
              </w:rPr>
              <w:t>executive officers</w:t>
            </w:r>
          </w:p>
        </w:tc>
      </w:tr>
      <w:tr>
        <w:trPr>
          <w:trHeight w:val="43"/>
        </w:trPr>
        <w:tc>
          <w:tcPr>
            <w:tcW w:w="220" w:type="dxa"/>
            <w:vAlign w:val="bottom"/>
            <w:tcBorders>
              <w:bottom w:val="single" w:sz="8" w:color="003595"/>
            </w:tcBorders>
          </w:tcPr>
          <w:p>
            <w:pPr>
              <w:spacing w:after="0"/>
              <w:rPr>
                <w:sz w:val="3"/>
                <w:szCs w:val="3"/>
                <w:color w:val="auto"/>
              </w:rPr>
            </w:pPr>
          </w:p>
        </w:tc>
        <w:tc>
          <w:tcPr>
            <w:tcW w:w="528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5300" w:type="dxa"/>
            <w:vAlign w:val="bottom"/>
            <w:tcBorders>
              <w:bottom w:val="single" w:sz="8" w:color="003595"/>
            </w:tcBorders>
          </w:tcPr>
          <w:p>
            <w:pPr>
              <w:spacing w:after="0"/>
              <w:rPr>
                <w:sz w:val="3"/>
                <w:szCs w:val="3"/>
                <w:color w:val="auto"/>
              </w:rPr>
            </w:pPr>
          </w:p>
        </w:tc>
      </w:tr>
      <w:tr>
        <w:trPr>
          <w:trHeight w:val="168"/>
        </w:trPr>
        <w:tc>
          <w:tcPr>
            <w:tcW w:w="220" w:type="dxa"/>
            <w:vAlign w:val="bottom"/>
          </w:tcPr>
          <w:p>
            <w:pPr>
              <w:ind w:left="100"/>
              <w:spacing w:after="0" w:line="168" w:lineRule="exact"/>
              <w:rPr>
                <w:sz w:val="20"/>
                <w:szCs w:val="20"/>
                <w:color w:val="auto"/>
              </w:rPr>
            </w:pPr>
            <w:r>
              <w:rPr>
                <w:rFonts w:ascii="Arial" w:cs="Arial" w:eastAsia="Arial" w:hAnsi="Arial"/>
                <w:sz w:val="16"/>
                <w:szCs w:val="16"/>
                <w:color w:val="auto"/>
              </w:rPr>
              <w:t>•</w:t>
            </w:r>
          </w:p>
        </w:tc>
        <w:tc>
          <w:tcPr>
            <w:tcW w:w="5280" w:type="dxa"/>
            <w:vAlign w:val="bottom"/>
          </w:tcPr>
          <w:p>
            <w:pPr>
              <w:ind w:left="40"/>
              <w:spacing w:after="0" w:line="168" w:lineRule="exact"/>
              <w:rPr>
                <w:sz w:val="20"/>
                <w:szCs w:val="20"/>
                <w:color w:val="auto"/>
              </w:rPr>
            </w:pPr>
            <w:r>
              <w:rPr>
                <w:rFonts w:ascii="Arial" w:cs="Arial" w:eastAsia="Arial" w:hAnsi="Arial"/>
                <w:sz w:val="16"/>
                <w:szCs w:val="16"/>
                <w:color w:val="auto"/>
              </w:rPr>
              <w:t>Establish challenging performance metrics, including revenue and</w:t>
            </w:r>
          </w:p>
        </w:tc>
        <w:tc>
          <w:tcPr>
            <w:tcW w:w="240" w:type="dxa"/>
            <w:vAlign w:val="bottom"/>
          </w:tcPr>
          <w:p>
            <w:pPr>
              <w:ind w:left="120"/>
              <w:spacing w:after="0" w:line="168" w:lineRule="exact"/>
              <w:rPr>
                <w:sz w:val="20"/>
                <w:szCs w:val="20"/>
                <w:color w:val="auto"/>
              </w:rPr>
            </w:pPr>
            <w:r>
              <w:rPr>
                <w:rFonts w:ascii="Arial" w:cs="Arial" w:eastAsia="Arial" w:hAnsi="Arial"/>
                <w:sz w:val="16"/>
                <w:szCs w:val="16"/>
                <w:color w:val="auto"/>
              </w:rPr>
              <w:t>•</w:t>
            </w:r>
          </w:p>
        </w:tc>
        <w:tc>
          <w:tcPr>
            <w:tcW w:w="5300" w:type="dxa"/>
            <w:vAlign w:val="bottom"/>
          </w:tcPr>
          <w:p>
            <w:pPr>
              <w:ind w:left="40"/>
              <w:spacing w:after="0" w:line="168" w:lineRule="exact"/>
              <w:rPr>
                <w:sz w:val="20"/>
                <w:szCs w:val="20"/>
                <w:color w:val="auto"/>
              </w:rPr>
            </w:pPr>
            <w:r>
              <w:rPr>
                <w:rFonts w:ascii="Arial" w:cs="Arial" w:eastAsia="Arial" w:hAnsi="Arial"/>
                <w:sz w:val="16"/>
                <w:szCs w:val="16"/>
                <w:color w:val="auto"/>
              </w:rPr>
              <w:t>Guarantee bonuses</w:t>
            </w:r>
          </w:p>
        </w:tc>
      </w:tr>
      <w:tr>
        <w:trPr>
          <w:trHeight w:val="215"/>
        </w:trPr>
        <w:tc>
          <w:tcPr>
            <w:tcW w:w="2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6"/>
                <w:szCs w:val="16"/>
                <w:color w:val="auto"/>
              </w:rPr>
              <w:t>adjusted operating income targets</w:t>
            </w: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43"/>
        </w:trPr>
        <w:tc>
          <w:tcPr>
            <w:tcW w:w="220" w:type="dxa"/>
            <w:vAlign w:val="bottom"/>
            <w:tcBorders>
              <w:bottom w:val="single" w:sz="8" w:color="003595"/>
            </w:tcBorders>
          </w:tcPr>
          <w:p>
            <w:pPr>
              <w:spacing w:after="0"/>
              <w:rPr>
                <w:sz w:val="3"/>
                <w:szCs w:val="3"/>
                <w:color w:val="auto"/>
              </w:rPr>
            </w:pPr>
          </w:p>
        </w:tc>
        <w:tc>
          <w:tcPr>
            <w:tcW w:w="528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5300" w:type="dxa"/>
            <w:vAlign w:val="bottom"/>
            <w:tcBorders>
              <w:bottom w:val="single" w:sz="8" w:color="003595"/>
            </w:tcBorders>
          </w:tcPr>
          <w:p>
            <w:pPr>
              <w:spacing w:after="0"/>
              <w:rPr>
                <w:sz w:val="3"/>
                <w:szCs w:val="3"/>
                <w:color w:val="auto"/>
              </w:rPr>
            </w:pPr>
          </w:p>
        </w:tc>
      </w:tr>
      <w:tr>
        <w:trPr>
          <w:trHeight w:val="168"/>
        </w:trPr>
        <w:tc>
          <w:tcPr>
            <w:tcW w:w="220" w:type="dxa"/>
            <w:vAlign w:val="bottom"/>
          </w:tcPr>
          <w:p>
            <w:pPr>
              <w:ind w:left="100"/>
              <w:spacing w:after="0" w:line="168" w:lineRule="exact"/>
              <w:rPr>
                <w:sz w:val="20"/>
                <w:szCs w:val="20"/>
                <w:color w:val="auto"/>
              </w:rPr>
            </w:pPr>
            <w:r>
              <w:rPr>
                <w:rFonts w:ascii="Arial" w:cs="Arial" w:eastAsia="Arial" w:hAnsi="Arial"/>
                <w:sz w:val="16"/>
                <w:szCs w:val="16"/>
                <w:color w:val="auto"/>
              </w:rPr>
              <w:t>•</w:t>
            </w:r>
          </w:p>
        </w:tc>
        <w:tc>
          <w:tcPr>
            <w:tcW w:w="5280" w:type="dxa"/>
            <w:vAlign w:val="bottom"/>
          </w:tcPr>
          <w:p>
            <w:pPr>
              <w:ind w:left="40"/>
              <w:spacing w:after="0" w:line="168" w:lineRule="exact"/>
              <w:rPr>
                <w:sz w:val="20"/>
                <w:szCs w:val="20"/>
                <w:color w:val="auto"/>
              </w:rPr>
            </w:pPr>
            <w:r>
              <w:rPr>
                <w:rFonts w:ascii="Arial" w:cs="Arial" w:eastAsia="Arial" w:hAnsi="Arial"/>
                <w:sz w:val="16"/>
                <w:szCs w:val="16"/>
                <w:color w:val="auto"/>
              </w:rPr>
              <w:t>Require directors and executive officers to meet robust stock ownership</w:t>
            </w:r>
          </w:p>
        </w:tc>
        <w:tc>
          <w:tcPr>
            <w:tcW w:w="240" w:type="dxa"/>
            <w:vAlign w:val="bottom"/>
          </w:tcPr>
          <w:p>
            <w:pPr>
              <w:ind w:left="120"/>
              <w:spacing w:after="0" w:line="168" w:lineRule="exact"/>
              <w:rPr>
                <w:sz w:val="20"/>
                <w:szCs w:val="20"/>
                <w:color w:val="auto"/>
              </w:rPr>
            </w:pPr>
            <w:r>
              <w:rPr>
                <w:rFonts w:ascii="Arial" w:cs="Arial" w:eastAsia="Arial" w:hAnsi="Arial"/>
                <w:sz w:val="16"/>
                <w:szCs w:val="16"/>
                <w:color w:val="auto"/>
              </w:rPr>
              <w:t>•</w:t>
            </w:r>
          </w:p>
        </w:tc>
        <w:tc>
          <w:tcPr>
            <w:tcW w:w="5300" w:type="dxa"/>
            <w:vAlign w:val="bottom"/>
          </w:tcPr>
          <w:p>
            <w:pPr>
              <w:ind w:left="40"/>
              <w:spacing w:after="0" w:line="168" w:lineRule="exact"/>
              <w:rPr>
                <w:sz w:val="20"/>
                <w:szCs w:val="20"/>
                <w:color w:val="auto"/>
              </w:rPr>
            </w:pPr>
            <w:r>
              <w:rPr>
                <w:rFonts w:ascii="Arial" w:cs="Arial" w:eastAsia="Arial" w:hAnsi="Arial"/>
                <w:sz w:val="16"/>
                <w:szCs w:val="16"/>
                <w:color w:val="auto"/>
              </w:rPr>
              <w:t>Grant in-the-money stock options</w:t>
            </w:r>
          </w:p>
        </w:tc>
      </w:tr>
      <w:tr>
        <w:trPr>
          <w:trHeight w:val="215"/>
        </w:trPr>
        <w:tc>
          <w:tcPr>
            <w:tcW w:w="2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6"/>
                <w:szCs w:val="16"/>
                <w:color w:val="auto"/>
              </w:rPr>
              <w:t>guidelines</w:t>
            </w: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43"/>
        </w:trPr>
        <w:tc>
          <w:tcPr>
            <w:tcW w:w="220" w:type="dxa"/>
            <w:vAlign w:val="bottom"/>
            <w:tcBorders>
              <w:bottom w:val="single" w:sz="8" w:color="003595"/>
            </w:tcBorders>
          </w:tcPr>
          <w:p>
            <w:pPr>
              <w:spacing w:after="0"/>
              <w:rPr>
                <w:sz w:val="3"/>
                <w:szCs w:val="3"/>
                <w:color w:val="auto"/>
              </w:rPr>
            </w:pPr>
          </w:p>
        </w:tc>
        <w:tc>
          <w:tcPr>
            <w:tcW w:w="528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5300" w:type="dxa"/>
            <w:vAlign w:val="bottom"/>
            <w:tcBorders>
              <w:bottom w:val="single" w:sz="8" w:color="003595"/>
            </w:tcBorders>
          </w:tcPr>
          <w:p>
            <w:pPr>
              <w:spacing w:after="0"/>
              <w:rPr>
                <w:sz w:val="3"/>
                <w:szCs w:val="3"/>
                <w:color w:val="auto"/>
              </w:rPr>
            </w:pPr>
          </w:p>
        </w:tc>
      </w:tr>
      <w:tr>
        <w:trPr>
          <w:trHeight w:val="168"/>
        </w:trPr>
        <w:tc>
          <w:tcPr>
            <w:tcW w:w="220" w:type="dxa"/>
            <w:vAlign w:val="bottom"/>
          </w:tcPr>
          <w:p>
            <w:pPr>
              <w:ind w:left="100"/>
              <w:spacing w:after="0" w:line="168" w:lineRule="exact"/>
              <w:rPr>
                <w:sz w:val="20"/>
                <w:szCs w:val="20"/>
                <w:color w:val="auto"/>
              </w:rPr>
            </w:pPr>
            <w:r>
              <w:rPr>
                <w:rFonts w:ascii="Arial" w:cs="Arial" w:eastAsia="Arial" w:hAnsi="Arial"/>
                <w:sz w:val="16"/>
                <w:szCs w:val="16"/>
                <w:color w:val="auto"/>
              </w:rPr>
              <w:t>•</w:t>
            </w:r>
          </w:p>
        </w:tc>
        <w:tc>
          <w:tcPr>
            <w:tcW w:w="5280" w:type="dxa"/>
            <w:vAlign w:val="bottom"/>
          </w:tcPr>
          <w:p>
            <w:pPr>
              <w:ind w:left="40"/>
              <w:spacing w:after="0" w:line="168" w:lineRule="exact"/>
              <w:rPr>
                <w:sz w:val="20"/>
                <w:szCs w:val="20"/>
                <w:color w:val="auto"/>
              </w:rPr>
            </w:pPr>
            <w:r>
              <w:rPr>
                <w:rFonts w:ascii="Arial" w:cs="Arial" w:eastAsia="Arial" w:hAnsi="Arial"/>
                <w:sz w:val="16"/>
                <w:szCs w:val="16"/>
                <w:color w:val="auto"/>
              </w:rPr>
              <w:t>Provide full vesting of RSUs and PSUs under our 2025 long-term</w:t>
            </w:r>
          </w:p>
        </w:tc>
        <w:tc>
          <w:tcPr>
            <w:tcW w:w="240" w:type="dxa"/>
            <w:vAlign w:val="bottom"/>
          </w:tcPr>
          <w:p>
            <w:pPr>
              <w:ind w:left="120"/>
              <w:spacing w:after="0" w:line="168" w:lineRule="exact"/>
              <w:rPr>
                <w:sz w:val="20"/>
                <w:szCs w:val="20"/>
                <w:color w:val="auto"/>
              </w:rPr>
            </w:pPr>
            <w:r>
              <w:rPr>
                <w:rFonts w:ascii="Arial" w:cs="Arial" w:eastAsia="Arial" w:hAnsi="Arial"/>
                <w:sz w:val="16"/>
                <w:szCs w:val="16"/>
                <w:color w:val="auto"/>
              </w:rPr>
              <w:t>•</w:t>
            </w:r>
          </w:p>
        </w:tc>
        <w:tc>
          <w:tcPr>
            <w:tcW w:w="5300" w:type="dxa"/>
            <w:vAlign w:val="bottom"/>
          </w:tcPr>
          <w:p>
            <w:pPr>
              <w:ind w:left="40"/>
              <w:spacing w:after="0" w:line="168" w:lineRule="exact"/>
              <w:rPr>
                <w:sz w:val="20"/>
                <w:szCs w:val="20"/>
                <w:color w:val="auto"/>
              </w:rPr>
            </w:pPr>
            <w:r>
              <w:rPr>
                <w:rFonts w:ascii="Arial" w:cs="Arial" w:eastAsia="Arial" w:hAnsi="Arial"/>
                <w:sz w:val="16"/>
                <w:szCs w:val="16"/>
                <w:color w:val="auto"/>
              </w:rPr>
              <w:t>Provide excessive perquisites</w:t>
            </w:r>
          </w:p>
        </w:tc>
      </w:tr>
      <w:tr>
        <w:trPr>
          <w:trHeight w:val="215"/>
        </w:trPr>
        <w:tc>
          <w:tcPr>
            <w:tcW w:w="2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6"/>
                <w:szCs w:val="16"/>
                <w:color w:val="auto"/>
              </w:rPr>
              <w:t>incentive plan to executive officers only after three years</w:t>
            </w: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43"/>
        </w:trPr>
        <w:tc>
          <w:tcPr>
            <w:tcW w:w="220" w:type="dxa"/>
            <w:vAlign w:val="bottom"/>
            <w:tcBorders>
              <w:bottom w:val="single" w:sz="8" w:color="003595"/>
            </w:tcBorders>
          </w:tcPr>
          <w:p>
            <w:pPr>
              <w:spacing w:after="0"/>
              <w:rPr>
                <w:sz w:val="3"/>
                <w:szCs w:val="3"/>
                <w:color w:val="auto"/>
              </w:rPr>
            </w:pPr>
          </w:p>
        </w:tc>
        <w:tc>
          <w:tcPr>
            <w:tcW w:w="528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5300" w:type="dxa"/>
            <w:vAlign w:val="bottom"/>
            <w:tcBorders>
              <w:bottom w:val="single" w:sz="8" w:color="003595"/>
            </w:tcBorders>
          </w:tcPr>
          <w:p>
            <w:pPr>
              <w:spacing w:after="0"/>
              <w:rPr>
                <w:sz w:val="3"/>
                <w:szCs w:val="3"/>
                <w:color w:val="auto"/>
              </w:rPr>
            </w:pPr>
          </w:p>
        </w:tc>
      </w:tr>
      <w:tr>
        <w:trPr>
          <w:trHeight w:val="168"/>
        </w:trPr>
        <w:tc>
          <w:tcPr>
            <w:tcW w:w="220" w:type="dxa"/>
            <w:vAlign w:val="bottom"/>
          </w:tcPr>
          <w:p>
            <w:pPr>
              <w:ind w:left="100"/>
              <w:spacing w:after="0" w:line="168" w:lineRule="exact"/>
              <w:rPr>
                <w:sz w:val="20"/>
                <w:szCs w:val="20"/>
                <w:color w:val="auto"/>
              </w:rPr>
            </w:pPr>
            <w:r>
              <w:rPr>
                <w:rFonts w:ascii="Arial" w:cs="Arial" w:eastAsia="Arial" w:hAnsi="Arial"/>
                <w:sz w:val="16"/>
                <w:szCs w:val="16"/>
                <w:color w:val="auto"/>
              </w:rPr>
              <w:t>•</w:t>
            </w:r>
          </w:p>
        </w:tc>
        <w:tc>
          <w:tcPr>
            <w:tcW w:w="5280" w:type="dxa"/>
            <w:vAlign w:val="bottom"/>
          </w:tcPr>
          <w:p>
            <w:pPr>
              <w:ind w:left="40"/>
              <w:spacing w:after="0" w:line="168" w:lineRule="exact"/>
              <w:rPr>
                <w:sz w:val="20"/>
                <w:szCs w:val="20"/>
                <w:color w:val="auto"/>
              </w:rPr>
            </w:pPr>
            <w:r>
              <w:rPr>
                <w:rFonts w:ascii="Arial" w:cs="Arial" w:eastAsia="Arial" w:hAnsi="Arial"/>
                <w:sz w:val="16"/>
                <w:szCs w:val="16"/>
                <w:color w:val="auto"/>
              </w:rPr>
              <w:t>Evaluate officer compensation levels against a peer group of similarly</w:t>
            </w:r>
          </w:p>
        </w:tc>
        <w:tc>
          <w:tcPr>
            <w:tcW w:w="240" w:type="dxa"/>
            <w:vAlign w:val="bottom"/>
          </w:tcPr>
          <w:p>
            <w:pPr>
              <w:ind w:left="120"/>
              <w:spacing w:after="0" w:line="168" w:lineRule="exact"/>
              <w:rPr>
                <w:sz w:val="20"/>
                <w:szCs w:val="20"/>
                <w:color w:val="auto"/>
              </w:rPr>
            </w:pPr>
            <w:r>
              <w:rPr>
                <w:rFonts w:ascii="Arial" w:cs="Arial" w:eastAsia="Arial" w:hAnsi="Arial"/>
                <w:sz w:val="16"/>
                <w:szCs w:val="16"/>
                <w:color w:val="auto"/>
              </w:rPr>
              <w:t>•</w:t>
            </w:r>
          </w:p>
        </w:tc>
        <w:tc>
          <w:tcPr>
            <w:tcW w:w="5300" w:type="dxa"/>
            <w:vAlign w:val="bottom"/>
          </w:tcPr>
          <w:p>
            <w:pPr>
              <w:ind w:left="40"/>
              <w:spacing w:after="0" w:line="168" w:lineRule="exact"/>
              <w:rPr>
                <w:sz w:val="20"/>
                <w:szCs w:val="20"/>
                <w:color w:val="auto"/>
              </w:rPr>
            </w:pPr>
            <w:r>
              <w:rPr>
                <w:rFonts w:ascii="Arial" w:cs="Arial" w:eastAsia="Arial" w:hAnsi="Arial"/>
                <w:sz w:val="16"/>
                <w:szCs w:val="16"/>
                <w:color w:val="auto"/>
              </w:rPr>
              <w:t>Repurchase underwater stock options</w:t>
            </w:r>
          </w:p>
        </w:tc>
      </w:tr>
      <w:tr>
        <w:trPr>
          <w:trHeight w:val="215"/>
        </w:trPr>
        <w:tc>
          <w:tcPr>
            <w:tcW w:w="2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6"/>
                <w:szCs w:val="16"/>
                <w:color w:val="auto"/>
              </w:rPr>
              <w:t>situated companies</w:t>
            </w: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43"/>
        </w:trPr>
        <w:tc>
          <w:tcPr>
            <w:tcW w:w="220" w:type="dxa"/>
            <w:vAlign w:val="bottom"/>
            <w:tcBorders>
              <w:bottom w:val="single" w:sz="8" w:color="003595"/>
            </w:tcBorders>
          </w:tcPr>
          <w:p>
            <w:pPr>
              <w:spacing w:after="0"/>
              <w:rPr>
                <w:sz w:val="3"/>
                <w:szCs w:val="3"/>
                <w:color w:val="auto"/>
              </w:rPr>
            </w:pPr>
          </w:p>
        </w:tc>
        <w:tc>
          <w:tcPr>
            <w:tcW w:w="528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5300" w:type="dxa"/>
            <w:vAlign w:val="bottom"/>
            <w:tcBorders>
              <w:bottom w:val="single" w:sz="8" w:color="003595"/>
            </w:tcBorders>
          </w:tcPr>
          <w:p>
            <w:pPr>
              <w:spacing w:after="0"/>
              <w:rPr>
                <w:sz w:val="3"/>
                <w:szCs w:val="3"/>
                <w:color w:val="auto"/>
              </w:rPr>
            </w:pPr>
          </w:p>
        </w:tc>
      </w:tr>
      <w:tr>
        <w:trPr>
          <w:trHeight w:val="208"/>
        </w:trPr>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280" w:type="dxa"/>
            <w:vAlign w:val="bottom"/>
          </w:tcPr>
          <w:p>
            <w:pPr>
              <w:ind w:left="40"/>
              <w:spacing w:after="0"/>
              <w:rPr>
                <w:sz w:val="20"/>
                <w:szCs w:val="20"/>
                <w:color w:val="auto"/>
              </w:rPr>
            </w:pPr>
            <w:r>
              <w:rPr>
                <w:rFonts w:ascii="Arial" w:cs="Arial" w:eastAsia="Arial" w:hAnsi="Arial"/>
                <w:sz w:val="16"/>
                <w:szCs w:val="16"/>
                <w:color w:val="auto"/>
              </w:rPr>
              <w:t>Retain an independent compensation consultant</w:t>
            </w: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8"/>
        </w:trPr>
        <w:tc>
          <w:tcPr>
            <w:tcW w:w="220" w:type="dxa"/>
            <w:vAlign w:val="bottom"/>
            <w:tcBorders>
              <w:bottom w:val="single" w:sz="8" w:color="003595"/>
            </w:tcBorders>
          </w:tcPr>
          <w:p>
            <w:pPr>
              <w:spacing w:after="0"/>
              <w:rPr>
                <w:sz w:val="2"/>
                <w:szCs w:val="2"/>
                <w:color w:val="auto"/>
              </w:rPr>
            </w:pPr>
          </w:p>
        </w:tc>
        <w:tc>
          <w:tcPr>
            <w:tcW w:w="5280" w:type="dxa"/>
            <w:vAlign w:val="bottom"/>
            <w:tcBorders>
              <w:bottom w:val="single" w:sz="8" w:color="003595"/>
            </w:tcBorders>
          </w:tcPr>
          <w:p>
            <w:pPr>
              <w:spacing w:after="0"/>
              <w:rPr>
                <w:sz w:val="2"/>
                <w:szCs w:val="2"/>
                <w:color w:val="auto"/>
              </w:rPr>
            </w:pPr>
          </w:p>
        </w:tc>
        <w:tc>
          <w:tcPr>
            <w:tcW w:w="240" w:type="dxa"/>
            <w:vAlign w:val="bottom"/>
            <w:tcBorders>
              <w:bottom w:val="single" w:sz="8" w:color="003595"/>
            </w:tcBorders>
          </w:tcPr>
          <w:p>
            <w:pPr>
              <w:spacing w:after="0"/>
              <w:rPr>
                <w:sz w:val="2"/>
                <w:szCs w:val="2"/>
                <w:color w:val="auto"/>
              </w:rPr>
            </w:pPr>
          </w:p>
        </w:tc>
        <w:tc>
          <w:tcPr>
            <w:tcW w:w="5300" w:type="dxa"/>
            <w:vAlign w:val="bottom"/>
            <w:tcBorders>
              <w:bottom w:val="single" w:sz="8" w:color="003595"/>
            </w:tcBorders>
          </w:tcPr>
          <w:p>
            <w:pPr>
              <w:spacing w:after="0"/>
              <w:rPr>
                <w:sz w:val="2"/>
                <w:szCs w:val="2"/>
                <w:color w:val="auto"/>
              </w:rPr>
            </w:pPr>
          </w:p>
        </w:tc>
      </w:tr>
      <w:tr>
        <w:trPr>
          <w:trHeight w:val="208"/>
        </w:trPr>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280" w:type="dxa"/>
            <w:vAlign w:val="bottom"/>
          </w:tcPr>
          <w:p>
            <w:pPr>
              <w:ind w:left="40"/>
              <w:spacing w:after="0"/>
              <w:rPr>
                <w:sz w:val="20"/>
                <w:szCs w:val="20"/>
                <w:color w:val="auto"/>
              </w:rPr>
            </w:pPr>
            <w:r>
              <w:rPr>
                <w:rFonts w:ascii="Arial" w:cs="Arial" w:eastAsia="Arial" w:hAnsi="Arial"/>
                <w:sz w:val="16"/>
                <w:szCs w:val="16"/>
                <w:color w:val="auto"/>
              </w:rPr>
              <w:t>Prohibit hedging transactions for all employees (no waivers granted)</w:t>
            </w: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8"/>
        </w:trPr>
        <w:tc>
          <w:tcPr>
            <w:tcW w:w="220" w:type="dxa"/>
            <w:vAlign w:val="bottom"/>
            <w:tcBorders>
              <w:bottom w:val="single" w:sz="8" w:color="003595"/>
            </w:tcBorders>
          </w:tcPr>
          <w:p>
            <w:pPr>
              <w:spacing w:after="0"/>
              <w:rPr>
                <w:sz w:val="2"/>
                <w:szCs w:val="2"/>
                <w:color w:val="auto"/>
              </w:rPr>
            </w:pPr>
          </w:p>
        </w:tc>
        <w:tc>
          <w:tcPr>
            <w:tcW w:w="5280" w:type="dxa"/>
            <w:vAlign w:val="bottom"/>
            <w:tcBorders>
              <w:bottom w:val="single" w:sz="8" w:color="003595"/>
            </w:tcBorders>
          </w:tcPr>
          <w:p>
            <w:pPr>
              <w:spacing w:after="0"/>
              <w:rPr>
                <w:sz w:val="2"/>
                <w:szCs w:val="2"/>
                <w:color w:val="auto"/>
              </w:rPr>
            </w:pPr>
          </w:p>
        </w:tc>
        <w:tc>
          <w:tcPr>
            <w:tcW w:w="240" w:type="dxa"/>
            <w:vAlign w:val="bottom"/>
            <w:tcBorders>
              <w:bottom w:val="single" w:sz="8" w:color="003595"/>
            </w:tcBorders>
          </w:tcPr>
          <w:p>
            <w:pPr>
              <w:spacing w:after="0"/>
              <w:rPr>
                <w:sz w:val="2"/>
                <w:szCs w:val="2"/>
                <w:color w:val="auto"/>
              </w:rPr>
            </w:pPr>
          </w:p>
        </w:tc>
        <w:tc>
          <w:tcPr>
            <w:tcW w:w="5300" w:type="dxa"/>
            <w:vAlign w:val="bottom"/>
            <w:tcBorders>
              <w:bottom w:val="single" w:sz="8" w:color="003595"/>
            </w:tcBorders>
          </w:tcPr>
          <w:p>
            <w:pPr>
              <w:spacing w:after="0"/>
              <w:rPr>
                <w:sz w:val="2"/>
                <w:szCs w:val="2"/>
                <w:color w:val="auto"/>
              </w:rPr>
            </w:pPr>
          </w:p>
        </w:tc>
      </w:tr>
      <w:tr>
        <w:trPr>
          <w:trHeight w:val="168"/>
        </w:trPr>
        <w:tc>
          <w:tcPr>
            <w:tcW w:w="220" w:type="dxa"/>
            <w:vAlign w:val="bottom"/>
          </w:tcPr>
          <w:p>
            <w:pPr>
              <w:ind w:left="100"/>
              <w:spacing w:after="0" w:line="168" w:lineRule="exact"/>
              <w:rPr>
                <w:sz w:val="20"/>
                <w:szCs w:val="20"/>
                <w:color w:val="auto"/>
              </w:rPr>
            </w:pPr>
            <w:r>
              <w:rPr>
                <w:rFonts w:ascii="Arial" w:cs="Arial" w:eastAsia="Arial" w:hAnsi="Arial"/>
                <w:sz w:val="16"/>
                <w:szCs w:val="16"/>
                <w:color w:val="auto"/>
              </w:rPr>
              <w:t>•</w:t>
            </w:r>
          </w:p>
        </w:tc>
        <w:tc>
          <w:tcPr>
            <w:tcW w:w="5280" w:type="dxa"/>
            <w:vAlign w:val="bottom"/>
          </w:tcPr>
          <w:p>
            <w:pPr>
              <w:ind w:left="40"/>
              <w:spacing w:after="0" w:line="168" w:lineRule="exact"/>
              <w:rPr>
                <w:sz w:val="20"/>
                <w:szCs w:val="20"/>
                <w:color w:val="auto"/>
              </w:rPr>
            </w:pPr>
            <w:r>
              <w:rPr>
                <w:rFonts w:ascii="Arial" w:cs="Arial" w:eastAsia="Arial" w:hAnsi="Arial"/>
                <w:sz w:val="16"/>
                <w:szCs w:val="16"/>
                <w:color w:val="auto"/>
              </w:rPr>
              <w:t>Use employee engagement and customer net promoter score as</w:t>
            </w:r>
          </w:p>
        </w:tc>
        <w:tc>
          <w:tcPr>
            <w:tcW w:w="240" w:type="dxa"/>
            <w:vAlign w:val="bottom"/>
          </w:tcPr>
          <w:p>
            <w:pPr>
              <w:spacing w:after="0"/>
              <w:rPr>
                <w:sz w:val="14"/>
                <w:szCs w:val="14"/>
                <w:color w:val="auto"/>
              </w:rPr>
            </w:pPr>
          </w:p>
        </w:tc>
        <w:tc>
          <w:tcPr>
            <w:tcW w:w="5300" w:type="dxa"/>
            <w:vAlign w:val="bottom"/>
          </w:tcPr>
          <w:p>
            <w:pPr>
              <w:spacing w:after="0"/>
              <w:rPr>
                <w:sz w:val="14"/>
                <w:szCs w:val="14"/>
                <w:color w:val="auto"/>
              </w:rPr>
            </w:pPr>
          </w:p>
        </w:tc>
      </w:tr>
      <w:tr>
        <w:trPr>
          <w:trHeight w:val="215"/>
        </w:trPr>
        <w:tc>
          <w:tcPr>
            <w:tcW w:w="2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6"/>
                <w:szCs w:val="16"/>
                <w:color w:val="auto"/>
              </w:rPr>
              <w:t>performance metrics in our 2025 short-term incentive plan</w:t>
            </w: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43"/>
        </w:trPr>
        <w:tc>
          <w:tcPr>
            <w:tcW w:w="220" w:type="dxa"/>
            <w:vAlign w:val="bottom"/>
            <w:tcBorders>
              <w:bottom w:val="single" w:sz="8" w:color="003595"/>
            </w:tcBorders>
          </w:tcPr>
          <w:p>
            <w:pPr>
              <w:spacing w:after="0"/>
              <w:rPr>
                <w:sz w:val="3"/>
                <w:szCs w:val="3"/>
                <w:color w:val="auto"/>
              </w:rPr>
            </w:pPr>
          </w:p>
        </w:tc>
        <w:tc>
          <w:tcPr>
            <w:tcW w:w="528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5300" w:type="dxa"/>
            <w:vAlign w:val="bottom"/>
            <w:tcBorders>
              <w:bottom w:val="single" w:sz="8" w:color="003595"/>
            </w:tcBorders>
          </w:tcPr>
          <w:p>
            <w:pPr>
              <w:spacing w:after="0"/>
              <w:rPr>
                <w:sz w:val="3"/>
                <w:szCs w:val="3"/>
                <w:color w:val="auto"/>
              </w:rPr>
            </w:pPr>
          </w:p>
        </w:tc>
      </w:tr>
      <w:tr>
        <w:trPr>
          <w:trHeight w:val="168"/>
        </w:trPr>
        <w:tc>
          <w:tcPr>
            <w:tcW w:w="220" w:type="dxa"/>
            <w:vAlign w:val="bottom"/>
          </w:tcPr>
          <w:p>
            <w:pPr>
              <w:ind w:left="100"/>
              <w:spacing w:after="0" w:line="168" w:lineRule="exact"/>
              <w:rPr>
                <w:sz w:val="20"/>
                <w:szCs w:val="20"/>
                <w:color w:val="auto"/>
              </w:rPr>
            </w:pPr>
            <w:r>
              <w:rPr>
                <w:rFonts w:ascii="Arial" w:cs="Arial" w:eastAsia="Arial" w:hAnsi="Arial"/>
                <w:sz w:val="16"/>
                <w:szCs w:val="16"/>
                <w:color w:val="auto"/>
              </w:rPr>
              <w:t>•</w:t>
            </w:r>
          </w:p>
        </w:tc>
        <w:tc>
          <w:tcPr>
            <w:tcW w:w="5280" w:type="dxa"/>
            <w:vAlign w:val="bottom"/>
          </w:tcPr>
          <w:p>
            <w:pPr>
              <w:ind w:left="40"/>
              <w:spacing w:after="0" w:line="168" w:lineRule="exact"/>
              <w:rPr>
                <w:sz w:val="20"/>
                <w:szCs w:val="20"/>
                <w:color w:val="auto"/>
              </w:rPr>
            </w:pPr>
            <w:r>
              <w:rPr>
                <w:rFonts w:ascii="Arial" w:cs="Arial" w:eastAsia="Arial" w:hAnsi="Arial"/>
                <w:sz w:val="16"/>
                <w:szCs w:val="16"/>
                <w:color w:val="auto"/>
              </w:rPr>
              <w:t>Prohibit short sales, put and call options and other speculative</w:t>
            </w:r>
          </w:p>
        </w:tc>
        <w:tc>
          <w:tcPr>
            <w:tcW w:w="240" w:type="dxa"/>
            <w:vAlign w:val="bottom"/>
          </w:tcPr>
          <w:p>
            <w:pPr>
              <w:spacing w:after="0"/>
              <w:rPr>
                <w:sz w:val="14"/>
                <w:szCs w:val="14"/>
                <w:color w:val="auto"/>
              </w:rPr>
            </w:pPr>
          </w:p>
        </w:tc>
        <w:tc>
          <w:tcPr>
            <w:tcW w:w="5300" w:type="dxa"/>
            <w:vAlign w:val="bottom"/>
          </w:tcPr>
          <w:p>
            <w:pPr>
              <w:spacing w:after="0"/>
              <w:rPr>
                <w:sz w:val="14"/>
                <w:szCs w:val="14"/>
                <w:color w:val="auto"/>
              </w:rPr>
            </w:pPr>
          </w:p>
        </w:tc>
      </w:tr>
      <w:tr>
        <w:trPr>
          <w:trHeight w:val="215"/>
        </w:trPr>
        <w:tc>
          <w:tcPr>
            <w:tcW w:w="2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6"/>
                <w:szCs w:val="16"/>
                <w:color w:val="auto"/>
              </w:rPr>
              <w:t>transactions</w:t>
            </w: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42"/>
        </w:trPr>
        <w:tc>
          <w:tcPr>
            <w:tcW w:w="220" w:type="dxa"/>
            <w:vAlign w:val="bottom"/>
            <w:tcBorders>
              <w:bottom w:val="single" w:sz="8" w:color="003595"/>
            </w:tcBorders>
          </w:tcPr>
          <w:p>
            <w:pPr>
              <w:spacing w:after="0"/>
              <w:rPr>
                <w:sz w:val="3"/>
                <w:szCs w:val="3"/>
                <w:color w:val="auto"/>
              </w:rPr>
            </w:pPr>
          </w:p>
        </w:tc>
        <w:tc>
          <w:tcPr>
            <w:tcW w:w="528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5300" w:type="dxa"/>
            <w:vAlign w:val="bottom"/>
            <w:tcBorders>
              <w:bottom w:val="single" w:sz="8" w:color="003595"/>
            </w:tcBorders>
          </w:tcPr>
          <w:p>
            <w:pPr>
              <w:spacing w:after="0"/>
              <w:rPr>
                <w:sz w:val="3"/>
                <w:szCs w:val="3"/>
                <w:color w:val="auto"/>
              </w:rPr>
            </w:pPr>
          </w:p>
        </w:tc>
      </w:tr>
      <w:tr>
        <w:trPr>
          <w:trHeight w:val="168"/>
        </w:trPr>
        <w:tc>
          <w:tcPr>
            <w:tcW w:w="220" w:type="dxa"/>
            <w:vAlign w:val="bottom"/>
          </w:tcPr>
          <w:p>
            <w:pPr>
              <w:ind w:left="100"/>
              <w:spacing w:after="0" w:line="168" w:lineRule="exact"/>
              <w:rPr>
                <w:sz w:val="20"/>
                <w:szCs w:val="20"/>
                <w:color w:val="auto"/>
              </w:rPr>
            </w:pPr>
            <w:r>
              <w:rPr>
                <w:rFonts w:ascii="Arial" w:cs="Arial" w:eastAsia="Arial" w:hAnsi="Arial"/>
                <w:sz w:val="16"/>
                <w:szCs w:val="16"/>
                <w:color w:val="auto"/>
              </w:rPr>
              <w:t>•</w:t>
            </w:r>
          </w:p>
        </w:tc>
        <w:tc>
          <w:tcPr>
            <w:tcW w:w="5280" w:type="dxa"/>
            <w:vAlign w:val="bottom"/>
          </w:tcPr>
          <w:p>
            <w:pPr>
              <w:ind w:left="40"/>
              <w:spacing w:after="0" w:line="168" w:lineRule="exact"/>
              <w:rPr>
                <w:sz w:val="20"/>
                <w:szCs w:val="20"/>
                <w:color w:val="auto"/>
              </w:rPr>
            </w:pPr>
            <w:r>
              <w:rPr>
                <w:rFonts w:ascii="Arial" w:cs="Arial" w:eastAsia="Arial" w:hAnsi="Arial"/>
                <w:sz w:val="16"/>
                <w:szCs w:val="16"/>
                <w:color w:val="auto"/>
              </w:rPr>
              <w:t>Prohibit pledging or the use of common stock to secure a margin or</w:t>
            </w:r>
          </w:p>
        </w:tc>
        <w:tc>
          <w:tcPr>
            <w:tcW w:w="240" w:type="dxa"/>
            <w:vAlign w:val="bottom"/>
          </w:tcPr>
          <w:p>
            <w:pPr>
              <w:spacing w:after="0"/>
              <w:rPr>
                <w:sz w:val="14"/>
                <w:szCs w:val="14"/>
                <w:color w:val="auto"/>
              </w:rPr>
            </w:pPr>
          </w:p>
        </w:tc>
        <w:tc>
          <w:tcPr>
            <w:tcW w:w="5300" w:type="dxa"/>
            <w:vAlign w:val="bottom"/>
          </w:tcPr>
          <w:p>
            <w:pPr>
              <w:spacing w:after="0"/>
              <w:rPr>
                <w:sz w:val="14"/>
                <w:szCs w:val="14"/>
                <w:color w:val="auto"/>
              </w:rPr>
            </w:pPr>
          </w:p>
        </w:tc>
      </w:tr>
      <w:tr>
        <w:trPr>
          <w:trHeight w:val="215"/>
        </w:trPr>
        <w:tc>
          <w:tcPr>
            <w:tcW w:w="220" w:type="dxa"/>
            <w:vAlign w:val="bottom"/>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6"/>
                <w:szCs w:val="16"/>
                <w:color w:val="auto"/>
              </w:rPr>
              <w:t>other loan (no waivers granted)</w:t>
            </w: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43"/>
        </w:trPr>
        <w:tc>
          <w:tcPr>
            <w:tcW w:w="220" w:type="dxa"/>
            <w:vAlign w:val="bottom"/>
            <w:tcBorders>
              <w:bottom w:val="single" w:sz="8" w:color="003595"/>
            </w:tcBorders>
          </w:tcPr>
          <w:p>
            <w:pPr>
              <w:spacing w:after="0"/>
              <w:rPr>
                <w:sz w:val="3"/>
                <w:szCs w:val="3"/>
                <w:color w:val="auto"/>
              </w:rPr>
            </w:pPr>
          </w:p>
        </w:tc>
        <w:tc>
          <w:tcPr>
            <w:tcW w:w="528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5300" w:type="dxa"/>
            <w:vAlign w:val="bottom"/>
            <w:tcBorders>
              <w:bottom w:val="single" w:sz="8" w:color="003595"/>
            </w:tcBorders>
          </w:tcPr>
          <w:p>
            <w:pPr>
              <w:spacing w:after="0"/>
              <w:rPr>
                <w:sz w:val="3"/>
                <w:szCs w:val="3"/>
                <w:color w:val="auto"/>
              </w:rPr>
            </w:pPr>
          </w:p>
        </w:tc>
      </w:tr>
      <w:tr>
        <w:trPr>
          <w:trHeight w:val="208"/>
        </w:trPr>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280" w:type="dxa"/>
            <w:vAlign w:val="bottom"/>
          </w:tcPr>
          <w:p>
            <w:pPr>
              <w:ind w:left="40"/>
              <w:spacing w:after="0"/>
              <w:rPr>
                <w:sz w:val="20"/>
                <w:szCs w:val="20"/>
                <w:color w:val="auto"/>
              </w:rPr>
            </w:pPr>
            <w:r>
              <w:rPr>
                <w:rFonts w:ascii="Arial" w:cs="Arial" w:eastAsia="Arial" w:hAnsi="Arial"/>
                <w:sz w:val="16"/>
                <w:szCs w:val="16"/>
                <w:color w:val="auto"/>
              </w:rPr>
              <w:t>Hold an annual advisory vote on executive compensation</w:t>
            </w: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-3007360</wp:posOffset>
            </wp:positionV>
            <wp:extent cx="7003415" cy="3308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03415" cy="3308985"/>
                    </a:xfrm>
                    <a:prstGeom prst="rect">
                      <a:avLst/>
                    </a:prstGeom>
                    <a:noFill/>
                  </pic:spPr>
                </pic:pic>
              </a:graphicData>
            </a:graphic>
          </wp:anchor>
        </w:drawing>
      </w:r>
    </w:p>
    <w:p>
      <w:pPr>
        <w:spacing w:after="0" w:line="21" w:lineRule="exact"/>
        <w:rPr>
          <w:sz w:val="20"/>
          <w:szCs w:val="20"/>
          <w:color w:val="auto"/>
        </w:rPr>
      </w:pPr>
    </w:p>
    <w:p>
      <w:pPr>
        <w:ind w:left="260" w:right="6180" w:hanging="153"/>
        <w:spacing w:after="0" w:line="268" w:lineRule="auto"/>
        <w:tabs>
          <w:tab w:leader="none" w:pos="2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Subject incentive compensation to recoupment under our clawback policy</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595"/>
        </w:rPr>
        <w:t>2025 Named Executive Officer Compensation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Elements of our Compensation Program</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While the components of our compensation program are discussed in detail in the following pages, below is a brief introduction:</w:t>
      </w:r>
    </w:p>
    <w:p>
      <w:pPr>
        <w:spacing w:after="0" w:line="262" w:lineRule="exact"/>
        <w:rPr>
          <w:sz w:val="20"/>
          <w:szCs w:val="20"/>
          <w:color w:val="auto"/>
        </w:rPr>
      </w:pPr>
    </w:p>
    <w:p>
      <w:pPr>
        <w:ind w:left="660" w:hanging="328"/>
        <w:spacing w:after="0" w:line="304"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An annual base salary provides the foundation of our compensation program and ensures that the executive officer is being paid ongoing compensation, which allows us to attract and retain high-quality talent.</w:t>
      </w:r>
    </w:p>
    <w:p>
      <w:pPr>
        <w:spacing w:after="0" w:line="168"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Short-Term Incentive Award</w:t>
      </w:r>
      <w:r>
        <w:rPr>
          <w:rFonts w:ascii="Arial" w:cs="Arial" w:eastAsia="Arial" w:hAnsi="Arial"/>
          <w:sz w:val="16"/>
          <w:szCs w:val="16"/>
          <w:color w:val="auto"/>
          <w:highlight w:val="white"/>
        </w:rPr>
        <w:t>: The short-term incentive award forms an important part of our compensation strategy by providing an incentive to</w:t>
      </w:r>
      <w:r>
        <w:rPr>
          <w:rFonts w:ascii="Arial" w:cs="Arial" w:eastAsia="Arial" w:hAnsi="Arial"/>
          <w:sz w:val="16"/>
          <w:szCs w:val="16"/>
          <w:color w:val="auto"/>
        </w:rPr>
        <w:t xml:space="preserve"> achieve short-term performance goals as measured by Company performance, an employee engagement score, customer NPS, and accomplishment of individual strategic goals.</w:t>
      </w:r>
    </w:p>
    <w:p>
      <w:pPr>
        <w:sectPr>
          <w:pgSz w:w="11900" w:h="16838" w:orient="portrait"/>
          <w:cols w:equalWidth="0" w:num="1">
            <w:col w:w="11240"/>
          </w:cols>
          <w:pgMar w:left="320" w:top="7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42" w:name="page43"/>
    <w:bookmarkEnd w:id="42"/>
    <w:p>
      <w:pPr>
        <w:jc w:val="both"/>
        <w:ind w:left="660" w:hanging="328"/>
        <w:spacing w:after="0" w:line="253" w:lineRule="auto"/>
        <w:tabs>
          <w:tab w:leader="none" w:pos="649"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Equity incentive compensation forms an important part of our compensation strategy. Equity grants reward our executive officers for the long-term performance of the Company and help to ensure that our executive officers have a stake in our long-term success by providing an incentive to improve our overall growth and stockholder value. For example, financial and stock price performance metrics are included that align with our strategic goals and objectives and align the executive officers’ interests with stockholders’ long-term interests.</w:t>
      </w:r>
    </w:p>
    <w:p>
      <w:pPr>
        <w:spacing w:after="0" w:line="20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CHCC, in collaboration with management, attempts to develop an overall compensation program that incentivizes the executive officers to achieve their objectives without encouraging them to take excessive risks to the business. We believe this objective is accomplished by appropriately balancing the various elements of our compensation program.</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Formulating and Setting Executive Compensation</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CHCC is responsible for formulating, evaluating and approving the compensation, including the award of equity compensation, for our executive officers. The CHCC also assists our Board in establishing appropriate incentive compensation and equity-based plans generally for all employees and is responsible for administering these plans.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2024, the CHCC retained an independent compensation consultant, Mercer, to review our peer group of companies and to provide competitive market data on the salary, short-term incentive compensation, and long-term incentive compensation of executive officers at comparable companies within our industry (the "2024 Mercer Executive Compensation Review"). The CHCC used this competitive market data on compensation in determining annual base salaries, short-term (annual) incentive compensation, and long-term equity incentive compensation for our executive officers for 2025.</w:t>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basis for the source market data for the 2024 Mercer Executive Compensation Review, Mercer used the compensation data from the group of 20 peer companies set forth in the table below (the "2025 Peer Group"). Based on input from Mercer, in order to provide for a more comparable peer group, the CHCC modified the Company's peer group by adding ACADIA Pharmaceuticals Inc., Dynavax Technologies Corporation, Guardant Health, Inc., PTC Therapeutics, Inc., and Sarepta Therapeutics, Inc. to the Company's peer group and removed Seagen Inc., Invitae Corporation, Jazz Pharmaceuticals plc and Intercept Pharmaceuticals, Inc. The resulting peer group retains some companies that fall outside a preferred revenue size range based on an assessment of their continued business fit and alignment on secondary size and complexity criteria. The CHCC will continue to reassess companies for appropriateness as it reviews the peer group annually. We believe that the compensation information obtained from the 2024 Mercer Executive Compensation Review provides us with appropriate compensation data and benchmarks for 2025 compensation decisions because it is derived from companies operating in the diagnostic, pharmaceutical, and biotechnology industries and have similar factors such as number of employees, revenues, total assets, market value, and net income.</w:t>
      </w:r>
    </w:p>
    <w:p>
      <w:pPr>
        <w:spacing w:after="0" w:line="200" w:lineRule="exact"/>
        <w:rPr>
          <w:sz w:val="20"/>
          <w:szCs w:val="20"/>
          <w:color w:val="auto"/>
        </w:rPr>
      </w:pPr>
    </w:p>
    <w:p>
      <w:pPr>
        <w:spacing w:after="0" w:line="256" w:lineRule="exact"/>
        <w:rPr>
          <w:sz w:val="20"/>
          <w:szCs w:val="20"/>
          <w:color w:val="auto"/>
        </w:rPr>
      </w:pPr>
    </w:p>
    <w:tbl>
      <w:tblPr>
        <w:tblLayout w:type="fixed"/>
        <w:tblInd w:w="1620" w:type="dxa"/>
        <w:tblCellMar>
          <w:top w:w="0" w:type="dxa"/>
          <w:left w:w="0" w:type="dxa"/>
          <w:bottom w:w="0" w:type="dxa"/>
          <w:right w:w="0" w:type="dxa"/>
        </w:tblCellMar>
      </w:tblPr>
      <w:tr>
        <w:trPr>
          <w:trHeight w:val="235"/>
        </w:trPr>
        <w:tc>
          <w:tcPr>
            <w:tcW w:w="366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ACADIA Pharmaceuticals Inc.</w:t>
            </w:r>
          </w:p>
        </w:tc>
        <w:tc>
          <w:tcPr>
            <w:tcW w:w="2900" w:type="dxa"/>
            <w:vAlign w:val="bottom"/>
          </w:tcPr>
          <w:p>
            <w:pPr>
              <w:ind w:left="560"/>
              <w:spacing w:after="0"/>
              <w:rPr>
                <w:sz w:val="20"/>
                <w:szCs w:val="20"/>
                <w:color w:val="auto"/>
              </w:rPr>
            </w:pPr>
            <w:r>
              <w:rPr>
                <w:rFonts w:ascii="Arial" w:cs="Arial" w:eastAsia="Arial" w:hAnsi="Arial"/>
                <w:sz w:val="16"/>
                <w:szCs w:val="16"/>
                <w:color w:val="auto"/>
              </w:rPr>
              <w:t>Ionis Pharmaceuticals, Inc.</w:t>
            </w:r>
          </w:p>
        </w:tc>
      </w:tr>
      <w:tr>
        <w:trPr>
          <w:trHeight w:val="236"/>
        </w:trPr>
        <w:tc>
          <w:tcPr>
            <w:tcW w:w="366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Alkermes plc</w:t>
            </w:r>
          </w:p>
        </w:tc>
        <w:tc>
          <w:tcPr>
            <w:tcW w:w="2900" w:type="dxa"/>
            <w:vAlign w:val="bottom"/>
          </w:tcPr>
          <w:p>
            <w:pPr>
              <w:ind w:left="560"/>
              <w:spacing w:after="0"/>
              <w:rPr>
                <w:sz w:val="20"/>
                <w:szCs w:val="20"/>
                <w:color w:val="auto"/>
              </w:rPr>
            </w:pPr>
            <w:r>
              <w:rPr>
                <w:rFonts w:ascii="Arial" w:cs="Arial" w:eastAsia="Arial" w:hAnsi="Arial"/>
                <w:sz w:val="16"/>
                <w:szCs w:val="16"/>
                <w:color w:val="auto"/>
              </w:rPr>
              <w:t>Ironwood Pharmaceuticals, Inc.</w:t>
            </w:r>
          </w:p>
        </w:tc>
      </w:tr>
      <w:tr>
        <w:trPr>
          <w:trHeight w:val="243"/>
        </w:trPr>
        <w:tc>
          <w:tcPr>
            <w:tcW w:w="3660" w:type="dxa"/>
            <w:vAlign w:val="bottom"/>
            <w:tcBorders>
              <w:right w:val="single" w:sz="8" w:color="00497F"/>
            </w:tcBorders>
          </w:tcPr>
          <w:p>
            <w:pPr>
              <w:ind w:left="20"/>
              <w:spacing w:after="0"/>
              <w:rPr>
                <w:sz w:val="20"/>
                <w:szCs w:val="20"/>
                <w:color w:val="auto"/>
              </w:rPr>
            </w:pPr>
            <w:r>
              <w:rPr>
                <w:rFonts w:ascii="Arial" w:cs="Arial" w:eastAsia="Arial" w:hAnsi="Arial"/>
                <w:sz w:val="16"/>
                <w:szCs w:val="16"/>
                <w:color w:val="auto"/>
              </w:rPr>
              <w:t>BioMarin Pharmaceutical Inc.</w:t>
            </w:r>
          </w:p>
        </w:tc>
        <w:tc>
          <w:tcPr>
            <w:tcW w:w="2900" w:type="dxa"/>
            <w:vAlign w:val="bottom"/>
          </w:tcPr>
          <w:p>
            <w:pPr>
              <w:ind w:left="560"/>
              <w:spacing w:after="0"/>
              <w:rPr>
                <w:sz w:val="20"/>
                <w:szCs w:val="20"/>
                <w:color w:val="auto"/>
              </w:rPr>
            </w:pPr>
            <w:r>
              <w:rPr>
                <w:rFonts w:ascii="Arial" w:cs="Arial" w:eastAsia="Arial" w:hAnsi="Arial"/>
                <w:sz w:val="16"/>
                <w:szCs w:val="16"/>
                <w:color w:val="auto"/>
              </w:rPr>
              <w:t>Natera, Inc.</w:t>
            </w:r>
          </w:p>
        </w:tc>
      </w:tr>
      <w:tr>
        <w:trPr>
          <w:trHeight w:val="243"/>
        </w:trPr>
        <w:tc>
          <w:tcPr>
            <w:tcW w:w="3660" w:type="dxa"/>
            <w:vAlign w:val="bottom"/>
            <w:tcBorders>
              <w:right w:val="single" w:sz="8" w:color="00497F"/>
            </w:tcBorders>
          </w:tcPr>
          <w:p>
            <w:pPr>
              <w:ind w:left="20"/>
              <w:spacing w:after="0"/>
              <w:rPr>
                <w:sz w:val="20"/>
                <w:szCs w:val="20"/>
                <w:color w:val="auto"/>
              </w:rPr>
            </w:pPr>
            <w:r>
              <w:rPr>
                <w:rFonts w:ascii="Arial" w:cs="Arial" w:eastAsia="Arial" w:hAnsi="Arial"/>
                <w:sz w:val="16"/>
                <w:szCs w:val="16"/>
                <w:color w:val="auto"/>
              </w:rPr>
              <w:t>Bio-Techne Corporation</w:t>
            </w:r>
          </w:p>
        </w:tc>
        <w:tc>
          <w:tcPr>
            <w:tcW w:w="2900" w:type="dxa"/>
            <w:vAlign w:val="bottom"/>
          </w:tcPr>
          <w:p>
            <w:pPr>
              <w:ind w:left="560"/>
              <w:spacing w:after="0"/>
              <w:rPr>
                <w:sz w:val="20"/>
                <w:szCs w:val="20"/>
                <w:color w:val="auto"/>
              </w:rPr>
            </w:pPr>
            <w:r>
              <w:rPr>
                <w:rFonts w:ascii="Arial" w:cs="Arial" w:eastAsia="Arial" w:hAnsi="Arial"/>
                <w:sz w:val="16"/>
                <w:szCs w:val="16"/>
                <w:color w:val="auto"/>
              </w:rPr>
              <w:t>Neogenomics, Inc.</w:t>
            </w:r>
          </w:p>
        </w:tc>
      </w:tr>
      <w:tr>
        <w:trPr>
          <w:trHeight w:val="243"/>
        </w:trPr>
        <w:tc>
          <w:tcPr>
            <w:tcW w:w="3660" w:type="dxa"/>
            <w:vAlign w:val="bottom"/>
            <w:tcBorders>
              <w:right w:val="single" w:sz="8" w:color="00497F"/>
            </w:tcBorders>
          </w:tcPr>
          <w:p>
            <w:pPr>
              <w:ind w:left="20"/>
              <w:spacing w:after="0"/>
              <w:rPr>
                <w:sz w:val="20"/>
                <w:szCs w:val="20"/>
                <w:color w:val="auto"/>
              </w:rPr>
            </w:pPr>
            <w:r>
              <w:rPr>
                <w:rFonts w:ascii="Arial" w:cs="Arial" w:eastAsia="Arial" w:hAnsi="Arial"/>
                <w:sz w:val="16"/>
                <w:szCs w:val="16"/>
                <w:color w:val="auto"/>
              </w:rPr>
              <w:t>Coherus BioSciences, Inc.</w:t>
            </w:r>
          </w:p>
        </w:tc>
        <w:tc>
          <w:tcPr>
            <w:tcW w:w="2900" w:type="dxa"/>
            <w:vAlign w:val="bottom"/>
          </w:tcPr>
          <w:p>
            <w:pPr>
              <w:ind w:left="560"/>
              <w:spacing w:after="0"/>
              <w:rPr>
                <w:sz w:val="20"/>
                <w:szCs w:val="20"/>
                <w:color w:val="auto"/>
              </w:rPr>
            </w:pPr>
            <w:r>
              <w:rPr>
                <w:rFonts w:ascii="Arial" w:cs="Arial" w:eastAsia="Arial" w:hAnsi="Arial"/>
                <w:sz w:val="16"/>
                <w:szCs w:val="16"/>
                <w:color w:val="auto"/>
              </w:rPr>
              <w:t>Neurocrine Biosciences Inc.</w:t>
            </w:r>
          </w:p>
        </w:tc>
      </w:tr>
      <w:tr>
        <w:trPr>
          <w:trHeight w:val="243"/>
        </w:trPr>
        <w:tc>
          <w:tcPr>
            <w:tcW w:w="366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Dynavax Technologies Corporation</w:t>
            </w:r>
          </w:p>
        </w:tc>
        <w:tc>
          <w:tcPr>
            <w:tcW w:w="2900" w:type="dxa"/>
            <w:vAlign w:val="bottom"/>
          </w:tcPr>
          <w:p>
            <w:pPr>
              <w:ind w:left="560"/>
              <w:spacing w:after="0"/>
              <w:rPr>
                <w:sz w:val="20"/>
                <w:szCs w:val="20"/>
                <w:color w:val="auto"/>
              </w:rPr>
            </w:pPr>
            <w:r>
              <w:rPr>
                <w:rFonts w:ascii="Arial" w:cs="Arial" w:eastAsia="Arial" w:hAnsi="Arial"/>
                <w:sz w:val="16"/>
                <w:szCs w:val="16"/>
                <w:color w:val="auto"/>
              </w:rPr>
              <w:t>PTC Therapeutics, Inc.</w:t>
            </w:r>
          </w:p>
        </w:tc>
      </w:tr>
      <w:tr>
        <w:trPr>
          <w:trHeight w:val="243"/>
        </w:trPr>
        <w:tc>
          <w:tcPr>
            <w:tcW w:w="3660" w:type="dxa"/>
            <w:vAlign w:val="bottom"/>
            <w:tcBorders>
              <w:right w:val="single" w:sz="8" w:color="00497F"/>
            </w:tcBorders>
          </w:tcPr>
          <w:p>
            <w:pPr>
              <w:spacing w:after="0"/>
              <w:rPr>
                <w:sz w:val="20"/>
                <w:szCs w:val="20"/>
                <w:color w:val="auto"/>
              </w:rPr>
            </w:pPr>
            <w:r>
              <w:rPr>
                <w:rFonts w:ascii="Arial" w:cs="Arial" w:eastAsia="Arial" w:hAnsi="Arial"/>
                <w:sz w:val="16"/>
                <w:szCs w:val="16"/>
                <w:color w:val="auto"/>
              </w:rPr>
              <w:t>Exact Sciences Corporation</w:t>
            </w:r>
          </w:p>
        </w:tc>
        <w:tc>
          <w:tcPr>
            <w:tcW w:w="2900" w:type="dxa"/>
            <w:vAlign w:val="bottom"/>
          </w:tcPr>
          <w:p>
            <w:pPr>
              <w:ind w:left="560"/>
              <w:spacing w:after="0"/>
              <w:rPr>
                <w:sz w:val="20"/>
                <w:szCs w:val="20"/>
                <w:color w:val="auto"/>
              </w:rPr>
            </w:pPr>
            <w:r>
              <w:rPr>
                <w:rFonts w:ascii="Arial" w:cs="Arial" w:eastAsia="Arial" w:hAnsi="Arial"/>
                <w:sz w:val="16"/>
                <w:szCs w:val="16"/>
                <w:color w:val="auto"/>
              </w:rPr>
              <w:t>Sarepta Therapeutics, Inc.</w:t>
            </w:r>
          </w:p>
        </w:tc>
      </w:tr>
      <w:tr>
        <w:trPr>
          <w:trHeight w:val="243"/>
        </w:trPr>
        <w:tc>
          <w:tcPr>
            <w:tcW w:w="3660" w:type="dxa"/>
            <w:vAlign w:val="bottom"/>
            <w:tcBorders>
              <w:right w:val="single" w:sz="8" w:color="00497F"/>
            </w:tcBorders>
          </w:tcPr>
          <w:p>
            <w:pPr>
              <w:ind w:left="20"/>
              <w:spacing w:after="0"/>
              <w:rPr>
                <w:sz w:val="20"/>
                <w:szCs w:val="20"/>
                <w:color w:val="auto"/>
              </w:rPr>
            </w:pPr>
            <w:r>
              <w:rPr>
                <w:rFonts w:ascii="Arial" w:cs="Arial" w:eastAsia="Arial" w:hAnsi="Arial"/>
                <w:sz w:val="16"/>
                <w:szCs w:val="16"/>
                <w:color w:val="auto"/>
              </w:rPr>
              <w:t>Exelixis Inc.</w:t>
            </w:r>
          </w:p>
        </w:tc>
        <w:tc>
          <w:tcPr>
            <w:tcW w:w="2900" w:type="dxa"/>
            <w:vAlign w:val="bottom"/>
          </w:tcPr>
          <w:p>
            <w:pPr>
              <w:ind w:left="560"/>
              <w:spacing w:after="0"/>
              <w:rPr>
                <w:sz w:val="20"/>
                <w:szCs w:val="20"/>
                <w:color w:val="auto"/>
              </w:rPr>
            </w:pPr>
            <w:r>
              <w:rPr>
                <w:rFonts w:ascii="Arial" w:cs="Arial" w:eastAsia="Arial" w:hAnsi="Arial"/>
                <w:sz w:val="16"/>
                <w:szCs w:val="16"/>
                <w:color w:val="auto"/>
              </w:rPr>
              <w:t>United Therapeutics Corporation</w:t>
            </w:r>
          </w:p>
        </w:tc>
      </w:tr>
      <w:tr>
        <w:trPr>
          <w:trHeight w:val="243"/>
        </w:trPr>
        <w:tc>
          <w:tcPr>
            <w:tcW w:w="3660" w:type="dxa"/>
            <w:vAlign w:val="bottom"/>
            <w:tcBorders>
              <w:right w:val="single" w:sz="8" w:color="00497F"/>
            </w:tcBorders>
          </w:tcPr>
          <w:p>
            <w:pPr>
              <w:ind w:left="20"/>
              <w:spacing w:after="0"/>
              <w:rPr>
                <w:sz w:val="20"/>
                <w:szCs w:val="20"/>
                <w:color w:val="auto"/>
              </w:rPr>
            </w:pPr>
            <w:r>
              <w:rPr>
                <w:rFonts w:ascii="Arial" w:cs="Arial" w:eastAsia="Arial" w:hAnsi="Arial"/>
                <w:sz w:val="16"/>
                <w:szCs w:val="16"/>
                <w:color w:val="auto"/>
              </w:rPr>
              <w:t>Guardant Health, Inc.</w:t>
            </w:r>
          </w:p>
        </w:tc>
        <w:tc>
          <w:tcPr>
            <w:tcW w:w="2900" w:type="dxa"/>
            <w:vAlign w:val="bottom"/>
          </w:tcPr>
          <w:p>
            <w:pPr>
              <w:ind w:left="560"/>
              <w:spacing w:after="0"/>
              <w:rPr>
                <w:sz w:val="20"/>
                <w:szCs w:val="20"/>
                <w:color w:val="auto"/>
              </w:rPr>
            </w:pPr>
            <w:r>
              <w:rPr>
                <w:rFonts w:ascii="Arial" w:cs="Arial" w:eastAsia="Arial" w:hAnsi="Arial"/>
                <w:sz w:val="16"/>
                <w:szCs w:val="16"/>
                <w:color w:val="auto"/>
              </w:rPr>
              <w:t>Vanda Pharmaceuticals Inc.</w:t>
            </w:r>
          </w:p>
        </w:tc>
      </w:tr>
      <w:tr>
        <w:trPr>
          <w:trHeight w:val="258"/>
        </w:trPr>
        <w:tc>
          <w:tcPr>
            <w:tcW w:w="3660" w:type="dxa"/>
            <w:vAlign w:val="bottom"/>
            <w:tcBorders>
              <w:right w:val="single" w:sz="8" w:color="00497F"/>
            </w:tcBorders>
          </w:tcPr>
          <w:p>
            <w:pPr>
              <w:ind w:left="20"/>
              <w:spacing w:after="0"/>
              <w:rPr>
                <w:sz w:val="20"/>
                <w:szCs w:val="20"/>
                <w:color w:val="auto"/>
              </w:rPr>
            </w:pPr>
            <w:r>
              <w:rPr>
                <w:rFonts w:ascii="Arial" w:cs="Arial" w:eastAsia="Arial" w:hAnsi="Arial"/>
                <w:sz w:val="16"/>
                <w:szCs w:val="16"/>
                <w:color w:val="auto"/>
              </w:rPr>
              <w:t>lncyte Corporation</w:t>
            </w:r>
          </w:p>
        </w:tc>
        <w:tc>
          <w:tcPr>
            <w:tcW w:w="2900" w:type="dxa"/>
            <w:vAlign w:val="bottom"/>
          </w:tcPr>
          <w:p>
            <w:pPr>
              <w:ind w:left="560"/>
              <w:spacing w:after="0"/>
              <w:rPr>
                <w:sz w:val="20"/>
                <w:szCs w:val="20"/>
                <w:color w:val="auto"/>
              </w:rPr>
            </w:pPr>
            <w:r>
              <w:rPr>
                <w:rFonts w:ascii="Arial" w:cs="Arial" w:eastAsia="Arial" w:hAnsi="Arial"/>
                <w:sz w:val="16"/>
                <w:szCs w:val="16"/>
                <w:color w:val="auto"/>
              </w:rPr>
              <w:t>Veracyte, Inc.</w:t>
            </w:r>
          </w:p>
        </w:tc>
      </w:tr>
    </w:tbl>
    <w:p>
      <w:pPr>
        <w:spacing w:after="0" w:line="29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Mercer gathered competitive market data from published surveys in the biotech industry for similarly sized entities as reflected in the 2023 Mercer Benchmark - United States Survey, 2023 Mercer SIRS Executive Survey and the 2024 Radford Global Life Sciences Survey. To determine competitive market compensation, where possible, our executive officers were matched to appropriate proxy and survey positions based on job content and level of responsibility. This information was gathered and analyzed for the 25th, 50th and 75th percentiles for annual salary, short-term incentive pay elements, and long-term incentive pay elements. Proxy-based and survey-based salaries were aged by 3.5%, the average actual 2024 salary increase for executives in the United States Life Sciences industry. Restricted stock units were valued at fair market value (the closing price of our common stock) on the date of grant. Using the composite peer group data provided to us in the 2024 Mercer Executive Compensation Review, the CHCC analyzed the average salary, short-term incentive bonus compensation, and long-term equity incentive compensation for each of our executive officers at the 25th, 50th and 75th percentile ranges.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3" w:name="page44"/>
    <w:bookmarkEnd w:id="43"/>
    <w:p>
      <w:pPr>
        <w:jc w:val="both"/>
        <w:spacing w:after="0" w:line="242" w:lineRule="auto"/>
        <w:rPr>
          <w:sz w:val="20"/>
          <w:szCs w:val="20"/>
          <w:color w:val="auto"/>
        </w:rPr>
      </w:pPr>
      <w:r>
        <w:rPr>
          <w:rFonts w:ascii="Arial" w:cs="Arial" w:eastAsia="Arial" w:hAnsi="Arial"/>
          <w:sz w:val="16"/>
          <w:szCs w:val="16"/>
          <w:color w:val="auto"/>
        </w:rPr>
        <w:t>Using this composite peer group data, the CHCC determined the components of each executive officer's compensation package based on various factors, including: the transition of the Company’s senior management during 2025, including the Chief Executive Officer, the Chief Financial Officer, the Chief Operating Officer and the Chief Commercial Officer, and the need to ensure a smooth transition; the executive officer’s particular background, training and relevant work experience; the executive officer’s role and responsibilities and the compensation paid to similar persons in comparable companies represented in the compensation data; demand for individuals with the executive officer’s specific talents and expertise and our ability to attract and retain comparable talent; individual strategic goals; other expectations of the executive officer for the position; and comparison to other executive officers within our Company having similar skills and experience levels and responsibilities. The CHCC may award compensation below or above the 50th percentile of comparable companies in our industry taking into account the foregoing factors and the need to ensure that the applicable compensation package provides sufficient compensation to attract and retain talented executives and achieve our other executive compensation program objectives.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Base Salary</w:t>
      </w:r>
    </w:p>
    <w:p>
      <w:pPr>
        <w:spacing w:after="0" w:line="23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Each year, we evaluate base salaries as part of our management compensation program and establish each executive officer’s base salary for the ensuing year. In establishing base salaries, the CHCC assesses a number of factors, including:</w:t>
      </w:r>
    </w:p>
    <w:p>
      <w:pPr>
        <w:spacing w:after="0" w:line="183"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executive officer’s performance in each of the areas of their individual strategic goals;</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financial performance of the Company overall and in the areas of responsibility of the executive officer;</w:t>
      </w:r>
    </w:p>
    <w:p>
      <w:pPr>
        <w:spacing w:after="0" w:line="5" w:lineRule="exact"/>
        <w:rPr>
          <w:rFonts w:ascii="Arial" w:cs="Arial" w:eastAsia="Arial" w:hAnsi="Arial"/>
          <w:sz w:val="16"/>
          <w:szCs w:val="16"/>
          <w:color w:val="auto"/>
        </w:rPr>
      </w:pPr>
    </w:p>
    <w:p>
      <w:pPr>
        <w:ind w:left="640" w:hanging="308"/>
        <w:spacing w:after="0" w:line="228" w:lineRule="auto"/>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level and breadth of experience of the executive officer;</w:t>
      </w: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executive officer’s role and responsibilities and particular background;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competitive pay levels at comparable positions in peer companies;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retention considerations;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significant accomplishments and contributions of the executive officer.</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late 2024, the CHCC determined not to make any changes to the base salaries of our executive officers in the same roles for 2025 due to the Company's then-current market position and certain headwinds facing the Company. However, in 2025, the CHCC increased the base salaries of certain of our NEOs in connection with promotions or changes in role and responsibilities. Specifically, Mr. Raha received a base salary increase in connection with his promotion from Chief Operating Officer to Chief Executive Officer, Mr. Verratti received a base salary increase in connection with his promotion from Chief Commercial Officer to Chief Operating Officer, and Ms. Ancona received a base salary increase in connection with her promotion from Chief of Staff to Executive Vice President, Strategy and Transformation. The base salary increases for Mr. Raha and Mr. Verratti became effective on April 30, 2025, and Ms. Ancona's base salary increase became effective on May 1,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00" w:type="dxa"/>
            <w:vAlign w:val="bottom"/>
            <w:vMerge w:val="restart"/>
            <w:shd w:val="clear" w:color="auto" w:fill="003595"/>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2980" w:type="dxa"/>
            <w:vAlign w:val="bottom"/>
            <w:shd w:val="clear" w:color="auto" w:fill="003595"/>
          </w:tcPr>
          <w:p>
            <w:pPr>
              <w:jc w:val="center"/>
              <w:ind w:left="1340"/>
              <w:spacing w:after="0"/>
              <w:rPr>
                <w:sz w:val="20"/>
                <w:szCs w:val="20"/>
                <w:color w:val="auto"/>
              </w:rPr>
            </w:pPr>
            <w:r>
              <w:rPr>
                <w:rFonts w:ascii="Arial" w:cs="Arial" w:eastAsia="Arial" w:hAnsi="Arial"/>
                <w:sz w:val="15"/>
                <w:szCs w:val="15"/>
                <w:b w:val="1"/>
                <w:bCs w:val="1"/>
                <w:color w:val="FFFFFF"/>
              </w:rPr>
              <w:t>Base Salary During</w:t>
            </w:r>
          </w:p>
        </w:tc>
        <w:tc>
          <w:tcPr>
            <w:tcW w:w="1580" w:type="dxa"/>
            <w:vAlign w:val="bottom"/>
            <w:shd w:val="clear" w:color="auto" w:fill="003595"/>
          </w:tcPr>
          <w:p>
            <w:pPr>
              <w:ind w:left="80"/>
              <w:spacing w:after="0"/>
              <w:rPr>
                <w:sz w:val="20"/>
                <w:szCs w:val="20"/>
                <w:color w:val="auto"/>
              </w:rPr>
            </w:pPr>
            <w:r>
              <w:rPr>
                <w:rFonts w:ascii="Arial" w:cs="Arial" w:eastAsia="Arial" w:hAnsi="Arial"/>
                <w:sz w:val="15"/>
                <w:szCs w:val="15"/>
                <w:b w:val="1"/>
                <w:bCs w:val="1"/>
                <w:color w:val="FFFFFF"/>
              </w:rPr>
              <w:t>Base Salary During</w:t>
            </w:r>
          </w:p>
        </w:tc>
        <w:tc>
          <w:tcPr>
            <w:tcW w:w="1580" w:type="dxa"/>
            <w:vAlign w:val="bottom"/>
            <w:shd w:val="clear" w:color="auto" w:fill="003595"/>
          </w:tcPr>
          <w:p>
            <w:pPr>
              <w:jc w:val="center"/>
              <w:spacing w:after="0"/>
              <w:rPr>
                <w:sz w:val="20"/>
                <w:szCs w:val="20"/>
                <w:color w:val="auto"/>
              </w:rPr>
            </w:pPr>
            <w:r>
              <w:rPr>
                <w:rFonts w:ascii="Arial" w:cs="Arial" w:eastAsia="Arial" w:hAnsi="Arial"/>
                <w:sz w:val="15"/>
                <w:szCs w:val="15"/>
                <w:b w:val="1"/>
                <w:bCs w:val="1"/>
                <w:color w:val="FFFFFF"/>
              </w:rPr>
              <w:t>% Base Salary</w:t>
            </w:r>
          </w:p>
        </w:tc>
        <w:tc>
          <w:tcPr>
            <w:tcW w:w="0" w:type="dxa"/>
            <w:vAlign w:val="bottom"/>
          </w:tcPr>
          <w:p>
            <w:pPr>
              <w:spacing w:after="0"/>
              <w:rPr>
                <w:sz w:val="1"/>
                <w:szCs w:val="1"/>
                <w:color w:val="auto"/>
              </w:rPr>
            </w:pPr>
          </w:p>
        </w:tc>
      </w:tr>
      <w:tr>
        <w:trPr>
          <w:trHeight w:val="175"/>
        </w:trPr>
        <w:tc>
          <w:tcPr>
            <w:tcW w:w="5100" w:type="dxa"/>
            <w:vAlign w:val="bottom"/>
            <w:vMerge w:val="continue"/>
            <w:shd w:val="clear" w:color="auto" w:fill="003595"/>
          </w:tcPr>
          <w:p>
            <w:pPr>
              <w:spacing w:after="0"/>
              <w:rPr>
                <w:sz w:val="15"/>
                <w:szCs w:val="15"/>
                <w:color w:val="auto"/>
              </w:rPr>
            </w:pPr>
          </w:p>
        </w:tc>
        <w:tc>
          <w:tcPr>
            <w:tcW w:w="2980" w:type="dxa"/>
            <w:vAlign w:val="bottom"/>
            <w:shd w:val="clear" w:color="auto" w:fill="003595"/>
          </w:tcPr>
          <w:p>
            <w:pPr>
              <w:jc w:val="center"/>
              <w:ind w:left="1320"/>
              <w:spacing w:after="0"/>
              <w:rPr>
                <w:sz w:val="20"/>
                <w:szCs w:val="20"/>
                <w:color w:val="auto"/>
              </w:rPr>
            </w:pPr>
            <w:r>
              <w:rPr>
                <w:rFonts w:ascii="Arial" w:cs="Arial" w:eastAsia="Arial" w:hAnsi="Arial"/>
                <w:sz w:val="15"/>
                <w:szCs w:val="15"/>
                <w:b w:val="1"/>
                <w:bCs w:val="1"/>
                <w:color w:val="FFFFFF"/>
              </w:rPr>
              <w:t>2024</w:t>
            </w:r>
          </w:p>
        </w:tc>
        <w:tc>
          <w:tcPr>
            <w:tcW w:w="1580" w:type="dxa"/>
            <w:vAlign w:val="bottom"/>
            <w:shd w:val="clear" w:color="auto" w:fill="003595"/>
          </w:tcPr>
          <w:p>
            <w:pPr>
              <w:jc w:val="center"/>
              <w:spacing w:after="0"/>
              <w:rPr>
                <w:sz w:val="20"/>
                <w:szCs w:val="20"/>
                <w:color w:val="auto"/>
              </w:rPr>
            </w:pPr>
            <w:r>
              <w:rPr>
                <w:rFonts w:ascii="Arial" w:cs="Arial" w:eastAsia="Arial" w:hAnsi="Arial"/>
                <w:sz w:val="15"/>
                <w:szCs w:val="15"/>
                <w:b w:val="1"/>
                <w:bCs w:val="1"/>
                <w:color w:val="FFFFFF"/>
              </w:rPr>
              <w:t>2025</w:t>
            </w:r>
          </w:p>
        </w:tc>
        <w:tc>
          <w:tcPr>
            <w:tcW w:w="1580" w:type="dxa"/>
            <w:vAlign w:val="bottom"/>
            <w:shd w:val="clear" w:color="auto" w:fill="003595"/>
          </w:tcPr>
          <w:p>
            <w:pPr>
              <w:jc w:val="center"/>
              <w:spacing w:after="0"/>
              <w:rPr>
                <w:sz w:val="20"/>
                <w:szCs w:val="20"/>
                <w:color w:val="auto"/>
              </w:rPr>
            </w:pPr>
            <w:r>
              <w:rPr>
                <w:rFonts w:ascii="Arial" w:cs="Arial" w:eastAsia="Arial" w:hAnsi="Arial"/>
                <w:sz w:val="15"/>
                <w:szCs w:val="15"/>
                <w:b w:val="1"/>
                <w:bCs w:val="1"/>
                <w:color w:val="FFFFFF"/>
              </w:rPr>
              <w:t>Increase From 2024</w:t>
            </w:r>
          </w:p>
        </w:tc>
        <w:tc>
          <w:tcPr>
            <w:tcW w:w="0" w:type="dxa"/>
            <w:vAlign w:val="bottom"/>
          </w:tcPr>
          <w:p>
            <w:pPr>
              <w:spacing w:after="0"/>
              <w:rPr>
                <w:sz w:val="1"/>
                <w:szCs w:val="1"/>
                <w:color w:val="auto"/>
              </w:rPr>
            </w:pPr>
          </w:p>
        </w:tc>
      </w:tr>
      <w:tr>
        <w:trPr>
          <w:trHeight w:val="215"/>
        </w:trPr>
        <w:tc>
          <w:tcPr>
            <w:tcW w:w="5100" w:type="dxa"/>
            <w:vAlign w:val="bottom"/>
            <w:tcBorders>
              <w:bottom w:val="single" w:sz="8" w:color="003595"/>
            </w:tcBorders>
            <w:shd w:val="clear" w:color="auto" w:fill="003595"/>
          </w:tcPr>
          <w:p>
            <w:pPr>
              <w:spacing w:after="0"/>
              <w:rPr>
                <w:sz w:val="18"/>
                <w:szCs w:val="18"/>
                <w:color w:val="auto"/>
              </w:rPr>
            </w:pPr>
          </w:p>
        </w:tc>
        <w:tc>
          <w:tcPr>
            <w:tcW w:w="2980" w:type="dxa"/>
            <w:vAlign w:val="bottom"/>
            <w:tcBorders>
              <w:bottom w:val="single" w:sz="8" w:color="003595"/>
            </w:tcBorders>
            <w:shd w:val="clear" w:color="auto" w:fill="003595"/>
          </w:tcPr>
          <w:p>
            <w:pPr>
              <w:jc w:val="center"/>
              <w:ind w:left="1320"/>
              <w:spacing w:after="0"/>
              <w:rPr>
                <w:sz w:val="20"/>
                <w:szCs w:val="20"/>
                <w:color w:val="auto"/>
              </w:rPr>
            </w:pPr>
            <w:r>
              <w:rPr>
                <w:rFonts w:ascii="Arial" w:cs="Arial" w:eastAsia="Arial" w:hAnsi="Arial"/>
                <w:sz w:val="15"/>
                <w:szCs w:val="15"/>
                <w:b w:val="1"/>
                <w:bCs w:val="1"/>
                <w:color w:val="FFFFFF"/>
                <w:w w:val="97"/>
              </w:rPr>
              <w:t>($)</w:t>
            </w:r>
          </w:p>
        </w:tc>
        <w:tc>
          <w:tcPr>
            <w:tcW w:w="158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5"/>
                <w:szCs w:val="15"/>
                <w:b w:val="1"/>
                <w:bCs w:val="1"/>
                <w:color w:val="FFFFFF"/>
                <w:w w:val="97"/>
              </w:rPr>
              <w:t>($)</w:t>
            </w:r>
          </w:p>
        </w:tc>
        <w:tc>
          <w:tcPr>
            <w:tcW w:w="1580" w:type="dxa"/>
            <w:vAlign w:val="bottom"/>
            <w:tcBorders>
              <w:bottom w:val="single" w:sz="8" w:color="003595"/>
            </w:tcBorders>
            <w:shd w:val="clear" w:color="auto" w:fill="00359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tcPr>
          <w:p>
            <w:pPr>
              <w:ind w:left="20"/>
              <w:spacing w:after="0"/>
              <w:rPr>
                <w:sz w:val="20"/>
                <w:szCs w:val="20"/>
                <w:color w:val="auto"/>
              </w:rPr>
            </w:pPr>
            <w:r>
              <w:rPr>
                <w:rFonts w:ascii="Arial" w:cs="Arial" w:eastAsia="Arial" w:hAnsi="Arial"/>
                <w:sz w:val="16"/>
                <w:szCs w:val="16"/>
                <w:color w:val="auto"/>
              </w:rPr>
              <w:t>Samraat S. Raha</w:t>
            </w:r>
          </w:p>
        </w:tc>
        <w:tc>
          <w:tcPr>
            <w:tcW w:w="2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003595"/>
            </w:tcBorders>
          </w:tcPr>
          <w:p>
            <w:pPr>
              <w:ind w:left="200"/>
              <w:spacing w:after="0"/>
              <w:rPr>
                <w:sz w:val="20"/>
                <w:szCs w:val="20"/>
                <w:color w:val="auto"/>
              </w:rPr>
            </w:pPr>
            <w:r>
              <w:rPr>
                <w:rFonts w:ascii="Arial" w:cs="Arial" w:eastAsia="Arial" w:hAnsi="Arial"/>
                <w:sz w:val="16"/>
                <w:szCs w:val="16"/>
                <w:color w:val="auto"/>
              </w:rPr>
              <w:t xml:space="preserve">President and Chief Executive Officer </w:t>
            </w:r>
            <w:r>
              <w:rPr>
                <w:rFonts w:ascii="Arial" w:cs="Arial" w:eastAsia="Arial" w:hAnsi="Arial"/>
                <w:sz w:val="21"/>
                <w:szCs w:val="21"/>
                <w:color w:val="auto"/>
                <w:vertAlign w:val="superscript"/>
              </w:rPr>
              <w:t>(1)</w:t>
            </w:r>
          </w:p>
        </w:tc>
        <w:tc>
          <w:tcPr>
            <w:tcW w:w="2980" w:type="dxa"/>
            <w:vAlign w:val="bottom"/>
            <w:tcBorders>
              <w:bottom w:val="single" w:sz="8" w:color="003595"/>
            </w:tcBorders>
          </w:tcPr>
          <w:p>
            <w:pPr>
              <w:jc w:val="center"/>
              <w:ind w:left="1320"/>
              <w:spacing w:after="0"/>
              <w:rPr>
                <w:sz w:val="20"/>
                <w:szCs w:val="20"/>
                <w:color w:val="auto"/>
              </w:rPr>
            </w:pPr>
            <w:r>
              <w:rPr>
                <w:rFonts w:ascii="Arial" w:cs="Arial" w:eastAsia="Arial" w:hAnsi="Arial"/>
                <w:sz w:val="16"/>
                <w:szCs w:val="16"/>
                <w:color w:val="auto"/>
                <w:w w:val="98"/>
              </w:rPr>
              <w:t>$750,000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8"/>
              </w:rPr>
              <w:t>$920,000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95"/>
        </w:trPr>
        <w:tc>
          <w:tcPr>
            <w:tcW w:w="5100" w:type="dxa"/>
            <w:vAlign w:val="bottom"/>
          </w:tcPr>
          <w:p>
            <w:pPr>
              <w:ind w:left="20"/>
              <w:spacing w:after="0"/>
              <w:rPr>
                <w:sz w:val="20"/>
                <w:szCs w:val="20"/>
                <w:color w:val="auto"/>
              </w:rPr>
            </w:pPr>
            <w:r>
              <w:rPr>
                <w:rFonts w:ascii="Arial" w:cs="Arial" w:eastAsia="Arial" w:hAnsi="Arial"/>
                <w:sz w:val="16"/>
                <w:szCs w:val="16"/>
                <w:color w:val="auto"/>
              </w:rPr>
              <w:t>Benjamin R. Wheeler</w:t>
            </w:r>
          </w:p>
        </w:tc>
        <w:tc>
          <w:tcPr>
            <w:tcW w:w="2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003595"/>
            </w:tcBorders>
          </w:tcPr>
          <w:p>
            <w:pPr>
              <w:ind w:left="180"/>
              <w:spacing w:after="0"/>
              <w:rPr>
                <w:sz w:val="20"/>
                <w:szCs w:val="20"/>
                <w:color w:val="auto"/>
              </w:rPr>
            </w:pPr>
            <w:r>
              <w:rPr>
                <w:rFonts w:ascii="Arial" w:cs="Arial" w:eastAsia="Arial" w:hAnsi="Arial"/>
                <w:sz w:val="16"/>
                <w:szCs w:val="16"/>
                <w:color w:val="auto"/>
              </w:rPr>
              <w:t xml:space="preserve">Chief Financial Officer </w:t>
            </w:r>
            <w:r>
              <w:rPr>
                <w:rFonts w:ascii="Arial" w:cs="Arial" w:eastAsia="Arial" w:hAnsi="Arial"/>
                <w:sz w:val="21"/>
                <w:szCs w:val="21"/>
                <w:color w:val="auto"/>
                <w:vertAlign w:val="superscript"/>
              </w:rPr>
              <w:t>(2)</w:t>
            </w:r>
          </w:p>
        </w:tc>
        <w:tc>
          <w:tcPr>
            <w:tcW w:w="2980" w:type="dxa"/>
            <w:vAlign w:val="bottom"/>
            <w:tcBorders>
              <w:bottom w:val="single" w:sz="8" w:color="003595"/>
            </w:tcBorders>
          </w:tcPr>
          <w:p>
            <w:pPr>
              <w:jc w:val="center"/>
              <w:ind w:left="1320"/>
              <w:spacing w:after="0"/>
              <w:rPr>
                <w:sz w:val="20"/>
                <w:szCs w:val="20"/>
                <w:color w:val="auto"/>
              </w:rPr>
            </w:pPr>
            <w:r>
              <w:rPr>
                <w:rFonts w:ascii="Arial" w:cs="Arial" w:eastAsia="Arial" w:hAnsi="Arial"/>
                <w:sz w:val="16"/>
                <w:szCs w:val="16"/>
                <w:color w:val="auto"/>
                <w:w w:val="97"/>
              </w:rPr>
              <w:t>N/A</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8"/>
              </w:rPr>
              <w:t>$490,000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5"/>
        </w:trPr>
        <w:tc>
          <w:tcPr>
            <w:tcW w:w="5100" w:type="dxa"/>
            <w:vAlign w:val="bottom"/>
          </w:tcPr>
          <w:p>
            <w:pPr>
              <w:ind w:left="20"/>
              <w:spacing w:after="0"/>
              <w:rPr>
                <w:sz w:val="20"/>
                <w:szCs w:val="20"/>
                <w:color w:val="auto"/>
              </w:rPr>
            </w:pPr>
            <w:r>
              <w:rPr>
                <w:rFonts w:ascii="Arial" w:cs="Arial" w:eastAsia="Arial" w:hAnsi="Arial"/>
                <w:sz w:val="16"/>
                <w:szCs w:val="16"/>
                <w:color w:val="auto"/>
              </w:rPr>
              <w:t>Mark S. Verratti</w:t>
            </w:r>
          </w:p>
        </w:tc>
        <w:tc>
          <w:tcPr>
            <w:tcW w:w="2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003595"/>
            </w:tcBorders>
          </w:tcPr>
          <w:p>
            <w:pPr>
              <w:ind w:left="180"/>
              <w:spacing w:after="0"/>
              <w:rPr>
                <w:sz w:val="20"/>
                <w:szCs w:val="20"/>
                <w:color w:val="auto"/>
              </w:rPr>
            </w:pPr>
            <w:r>
              <w:rPr>
                <w:rFonts w:ascii="Arial" w:cs="Arial" w:eastAsia="Arial" w:hAnsi="Arial"/>
                <w:sz w:val="16"/>
                <w:szCs w:val="16"/>
                <w:color w:val="auto"/>
              </w:rPr>
              <w:t xml:space="preserve">Chief Operating Officer </w:t>
            </w:r>
            <w:r>
              <w:rPr>
                <w:rFonts w:ascii="Arial" w:cs="Arial" w:eastAsia="Arial" w:hAnsi="Arial"/>
                <w:sz w:val="21"/>
                <w:szCs w:val="21"/>
                <w:color w:val="auto"/>
                <w:vertAlign w:val="superscript"/>
              </w:rPr>
              <w:t>(3)</w:t>
            </w:r>
          </w:p>
        </w:tc>
        <w:tc>
          <w:tcPr>
            <w:tcW w:w="2980" w:type="dxa"/>
            <w:vAlign w:val="bottom"/>
            <w:tcBorders>
              <w:bottom w:val="single" w:sz="8" w:color="003595"/>
            </w:tcBorders>
          </w:tcPr>
          <w:p>
            <w:pPr>
              <w:jc w:val="center"/>
              <w:ind w:left="1320"/>
              <w:spacing w:after="0"/>
              <w:rPr>
                <w:sz w:val="20"/>
                <w:szCs w:val="20"/>
                <w:color w:val="auto"/>
              </w:rPr>
            </w:pPr>
            <w:r>
              <w:rPr>
                <w:rFonts w:ascii="Arial" w:cs="Arial" w:eastAsia="Arial" w:hAnsi="Arial"/>
                <w:sz w:val="16"/>
                <w:szCs w:val="16"/>
                <w:color w:val="auto"/>
                <w:w w:val="98"/>
              </w:rPr>
              <w:t>$560,000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8"/>
              </w:rPr>
              <w:t>$660,000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82"/>
        </w:trPr>
        <w:tc>
          <w:tcPr>
            <w:tcW w:w="5100" w:type="dxa"/>
            <w:vAlign w:val="bottom"/>
          </w:tcPr>
          <w:p>
            <w:pPr>
              <w:ind w:left="20"/>
              <w:spacing w:after="0" w:line="182" w:lineRule="exact"/>
              <w:rPr>
                <w:sz w:val="20"/>
                <w:szCs w:val="20"/>
                <w:color w:val="auto"/>
              </w:rPr>
            </w:pPr>
            <w:r>
              <w:rPr>
                <w:rFonts w:ascii="Arial" w:cs="Arial" w:eastAsia="Arial" w:hAnsi="Arial"/>
                <w:sz w:val="16"/>
                <w:szCs w:val="16"/>
                <w:color w:val="auto"/>
              </w:rPr>
              <w:t>Brian J. Donnelly</w:t>
            </w:r>
          </w:p>
        </w:tc>
        <w:tc>
          <w:tcPr>
            <w:tcW w:w="2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003595"/>
            </w:tcBorders>
          </w:tcPr>
          <w:p>
            <w:pPr>
              <w:ind w:left="200"/>
              <w:spacing w:after="0"/>
              <w:rPr>
                <w:sz w:val="20"/>
                <w:szCs w:val="20"/>
                <w:color w:val="auto"/>
              </w:rPr>
            </w:pPr>
            <w:r>
              <w:rPr>
                <w:rFonts w:ascii="Arial" w:cs="Arial" w:eastAsia="Arial" w:hAnsi="Arial"/>
                <w:sz w:val="16"/>
                <w:szCs w:val="16"/>
                <w:color w:val="auto"/>
              </w:rPr>
              <w:t xml:space="preserve">Chief Commercial Officer </w:t>
            </w:r>
            <w:r>
              <w:rPr>
                <w:rFonts w:ascii="Arial" w:cs="Arial" w:eastAsia="Arial" w:hAnsi="Arial"/>
                <w:sz w:val="21"/>
                <w:szCs w:val="21"/>
                <w:color w:val="auto"/>
                <w:vertAlign w:val="superscript"/>
              </w:rPr>
              <w:t>(4)</w:t>
            </w:r>
          </w:p>
        </w:tc>
        <w:tc>
          <w:tcPr>
            <w:tcW w:w="2980" w:type="dxa"/>
            <w:vAlign w:val="bottom"/>
            <w:tcBorders>
              <w:bottom w:val="single" w:sz="8" w:color="003595"/>
            </w:tcBorders>
          </w:tcPr>
          <w:p>
            <w:pPr>
              <w:jc w:val="center"/>
              <w:ind w:left="1320"/>
              <w:spacing w:after="0"/>
              <w:rPr>
                <w:sz w:val="20"/>
                <w:szCs w:val="20"/>
                <w:color w:val="auto"/>
              </w:rPr>
            </w:pPr>
            <w:r>
              <w:rPr>
                <w:rFonts w:ascii="Arial" w:cs="Arial" w:eastAsia="Arial" w:hAnsi="Arial"/>
                <w:sz w:val="16"/>
                <w:szCs w:val="16"/>
                <w:color w:val="auto"/>
                <w:w w:val="97"/>
              </w:rPr>
              <w:t>N/A</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8"/>
              </w:rPr>
              <w:t>$560,000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5"/>
        </w:trPr>
        <w:tc>
          <w:tcPr>
            <w:tcW w:w="5100" w:type="dxa"/>
            <w:vAlign w:val="bottom"/>
          </w:tcPr>
          <w:p>
            <w:pPr>
              <w:ind w:left="20"/>
              <w:spacing w:after="0"/>
              <w:rPr>
                <w:sz w:val="20"/>
                <w:szCs w:val="20"/>
                <w:color w:val="auto"/>
              </w:rPr>
            </w:pPr>
            <w:r>
              <w:rPr>
                <w:rFonts w:ascii="Arial" w:cs="Arial" w:eastAsia="Arial" w:hAnsi="Arial"/>
                <w:sz w:val="16"/>
                <w:szCs w:val="16"/>
                <w:color w:val="auto"/>
              </w:rPr>
              <w:t>Dale Muzzey, Ph.D.</w:t>
            </w:r>
          </w:p>
        </w:tc>
        <w:tc>
          <w:tcPr>
            <w:tcW w:w="2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003595"/>
            </w:tcBorders>
          </w:tcPr>
          <w:p>
            <w:pPr>
              <w:ind w:left="260"/>
              <w:spacing w:after="0"/>
              <w:rPr>
                <w:sz w:val="20"/>
                <w:szCs w:val="20"/>
                <w:color w:val="auto"/>
              </w:rPr>
            </w:pPr>
            <w:r>
              <w:rPr>
                <w:rFonts w:ascii="Arial" w:cs="Arial" w:eastAsia="Arial" w:hAnsi="Arial"/>
                <w:sz w:val="16"/>
                <w:szCs w:val="16"/>
                <w:color w:val="auto"/>
              </w:rPr>
              <w:t>Chief Scientific Officer</w:t>
            </w:r>
          </w:p>
        </w:tc>
        <w:tc>
          <w:tcPr>
            <w:tcW w:w="2980" w:type="dxa"/>
            <w:vAlign w:val="bottom"/>
            <w:tcBorders>
              <w:bottom w:val="single" w:sz="8" w:color="003595"/>
            </w:tcBorders>
          </w:tcPr>
          <w:p>
            <w:pPr>
              <w:jc w:val="center"/>
              <w:ind w:left="1320"/>
              <w:spacing w:after="0"/>
              <w:rPr>
                <w:sz w:val="20"/>
                <w:szCs w:val="20"/>
                <w:color w:val="auto"/>
              </w:rPr>
            </w:pPr>
            <w:r>
              <w:rPr>
                <w:rFonts w:ascii="Arial" w:cs="Arial" w:eastAsia="Arial" w:hAnsi="Arial"/>
                <w:sz w:val="16"/>
                <w:szCs w:val="16"/>
                <w:color w:val="auto"/>
                <w:w w:val="98"/>
              </w:rPr>
              <w:t>$506,400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8"/>
              </w:rPr>
              <w:t>$506,400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2"/>
        </w:trPr>
        <w:tc>
          <w:tcPr>
            <w:tcW w:w="5100" w:type="dxa"/>
            <w:vAlign w:val="bottom"/>
          </w:tcPr>
          <w:p>
            <w:pPr>
              <w:ind w:left="20"/>
              <w:spacing w:after="0"/>
              <w:rPr>
                <w:sz w:val="20"/>
                <w:szCs w:val="20"/>
                <w:color w:val="auto"/>
              </w:rPr>
            </w:pPr>
            <w:r>
              <w:rPr>
                <w:rFonts w:ascii="Arial" w:cs="Arial" w:eastAsia="Arial" w:hAnsi="Arial"/>
                <w:sz w:val="16"/>
                <w:szCs w:val="16"/>
                <w:color w:val="auto"/>
              </w:rPr>
              <w:t>Paul J. Diaz</w:t>
            </w:r>
          </w:p>
        </w:tc>
        <w:tc>
          <w:tcPr>
            <w:tcW w:w="2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003595"/>
            </w:tcBorders>
          </w:tcPr>
          <w:p>
            <w:pPr>
              <w:ind w:left="180"/>
              <w:spacing w:after="0"/>
              <w:rPr>
                <w:sz w:val="20"/>
                <w:szCs w:val="20"/>
                <w:color w:val="auto"/>
              </w:rPr>
            </w:pPr>
            <w:r>
              <w:rPr>
                <w:rFonts w:ascii="Arial" w:cs="Arial" w:eastAsia="Arial" w:hAnsi="Arial"/>
                <w:sz w:val="16"/>
                <w:szCs w:val="16"/>
                <w:color w:val="auto"/>
              </w:rPr>
              <w:t xml:space="preserve">Former President and Chief Executive Officer </w:t>
            </w:r>
            <w:r>
              <w:rPr>
                <w:rFonts w:ascii="Arial" w:cs="Arial" w:eastAsia="Arial" w:hAnsi="Arial"/>
                <w:sz w:val="21"/>
                <w:szCs w:val="21"/>
                <w:color w:val="auto"/>
                <w:vertAlign w:val="superscript"/>
              </w:rPr>
              <w:t>(5)</w:t>
            </w:r>
          </w:p>
        </w:tc>
        <w:tc>
          <w:tcPr>
            <w:tcW w:w="2980" w:type="dxa"/>
            <w:vAlign w:val="bottom"/>
            <w:tcBorders>
              <w:bottom w:val="single" w:sz="8" w:color="003595"/>
            </w:tcBorders>
          </w:tcPr>
          <w:p>
            <w:pPr>
              <w:jc w:val="center"/>
              <w:ind w:left="1320"/>
              <w:spacing w:after="0"/>
              <w:rPr>
                <w:sz w:val="20"/>
                <w:szCs w:val="20"/>
                <w:color w:val="auto"/>
              </w:rPr>
            </w:pPr>
            <w:r>
              <w:rPr>
                <w:rFonts w:ascii="Arial" w:cs="Arial" w:eastAsia="Arial" w:hAnsi="Arial"/>
                <w:sz w:val="16"/>
                <w:szCs w:val="16"/>
                <w:color w:val="auto"/>
              </w:rPr>
              <w:t>$1,125,000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$1,125,000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5"/>
        </w:trPr>
        <w:tc>
          <w:tcPr>
            <w:tcW w:w="5100" w:type="dxa"/>
            <w:vAlign w:val="bottom"/>
          </w:tcPr>
          <w:p>
            <w:pPr>
              <w:ind w:left="20"/>
              <w:spacing w:after="0"/>
              <w:rPr>
                <w:sz w:val="20"/>
                <w:szCs w:val="20"/>
                <w:color w:val="auto"/>
              </w:rPr>
            </w:pPr>
            <w:r>
              <w:rPr>
                <w:rFonts w:ascii="Arial" w:cs="Arial" w:eastAsia="Arial" w:hAnsi="Arial"/>
                <w:sz w:val="16"/>
                <w:szCs w:val="16"/>
                <w:color w:val="auto"/>
              </w:rPr>
              <w:t>Scott J. Leffler</w:t>
            </w:r>
          </w:p>
        </w:tc>
        <w:tc>
          <w:tcPr>
            <w:tcW w:w="2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003595"/>
            </w:tcBorders>
          </w:tcPr>
          <w:p>
            <w:pPr>
              <w:ind w:left="180"/>
              <w:spacing w:after="0"/>
              <w:rPr>
                <w:sz w:val="20"/>
                <w:szCs w:val="20"/>
                <w:color w:val="auto"/>
              </w:rPr>
            </w:pPr>
            <w:r>
              <w:rPr>
                <w:rFonts w:ascii="Arial" w:cs="Arial" w:eastAsia="Arial" w:hAnsi="Arial"/>
                <w:sz w:val="16"/>
                <w:szCs w:val="16"/>
                <w:color w:val="auto"/>
              </w:rPr>
              <w:t xml:space="preserve">Former Chief Financial Officer </w:t>
            </w:r>
            <w:r>
              <w:rPr>
                <w:rFonts w:ascii="Arial" w:cs="Arial" w:eastAsia="Arial" w:hAnsi="Arial"/>
                <w:sz w:val="21"/>
                <w:szCs w:val="21"/>
                <w:color w:val="auto"/>
                <w:vertAlign w:val="superscript"/>
              </w:rPr>
              <w:t>(6)</w:t>
            </w:r>
          </w:p>
        </w:tc>
        <w:tc>
          <w:tcPr>
            <w:tcW w:w="2980" w:type="dxa"/>
            <w:vAlign w:val="bottom"/>
            <w:tcBorders>
              <w:bottom w:val="single" w:sz="8" w:color="003595"/>
            </w:tcBorders>
          </w:tcPr>
          <w:p>
            <w:pPr>
              <w:jc w:val="center"/>
              <w:ind w:left="1320"/>
              <w:spacing w:after="0"/>
              <w:rPr>
                <w:sz w:val="20"/>
                <w:szCs w:val="20"/>
                <w:color w:val="auto"/>
              </w:rPr>
            </w:pPr>
            <w:r>
              <w:rPr>
                <w:rFonts w:ascii="Arial" w:cs="Arial" w:eastAsia="Arial" w:hAnsi="Arial"/>
                <w:sz w:val="16"/>
                <w:szCs w:val="16"/>
                <w:color w:val="auto"/>
                <w:w w:val="98"/>
              </w:rPr>
              <w:t>$550,000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8"/>
              </w:rPr>
              <w:t>$550,000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5"/>
        </w:trPr>
        <w:tc>
          <w:tcPr>
            <w:tcW w:w="5100" w:type="dxa"/>
            <w:vAlign w:val="bottom"/>
          </w:tcPr>
          <w:p>
            <w:pPr>
              <w:ind w:left="20"/>
              <w:spacing w:after="0"/>
              <w:rPr>
                <w:sz w:val="20"/>
                <w:szCs w:val="20"/>
                <w:color w:val="auto"/>
              </w:rPr>
            </w:pPr>
            <w:r>
              <w:rPr>
                <w:rFonts w:ascii="Arial" w:cs="Arial" w:eastAsia="Arial" w:hAnsi="Arial"/>
                <w:sz w:val="16"/>
                <w:szCs w:val="16"/>
                <w:color w:val="auto"/>
              </w:rPr>
              <w:t>Margaret Ancona</w:t>
            </w:r>
          </w:p>
        </w:tc>
        <w:tc>
          <w:tcPr>
            <w:tcW w:w="2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003595"/>
            </w:tcBorders>
          </w:tcPr>
          <w:p>
            <w:pPr>
              <w:ind w:left="260"/>
              <w:spacing w:after="0"/>
              <w:rPr>
                <w:sz w:val="20"/>
                <w:szCs w:val="20"/>
                <w:color w:val="auto"/>
              </w:rPr>
            </w:pPr>
            <w:r>
              <w:rPr>
                <w:rFonts w:ascii="Arial" w:cs="Arial" w:eastAsia="Arial" w:hAnsi="Arial"/>
                <w:sz w:val="16"/>
                <w:szCs w:val="16"/>
                <w:color w:val="auto"/>
              </w:rPr>
              <w:t xml:space="preserve">Former EVP Strategy and Transformation </w:t>
            </w:r>
            <w:r>
              <w:rPr>
                <w:rFonts w:ascii="Arial" w:cs="Arial" w:eastAsia="Arial" w:hAnsi="Arial"/>
                <w:sz w:val="21"/>
                <w:szCs w:val="21"/>
                <w:color w:val="auto"/>
                <w:vertAlign w:val="superscript"/>
              </w:rPr>
              <w:t>(7)</w:t>
            </w:r>
          </w:p>
        </w:tc>
        <w:tc>
          <w:tcPr>
            <w:tcW w:w="2980" w:type="dxa"/>
            <w:vAlign w:val="bottom"/>
            <w:tcBorders>
              <w:bottom w:val="single" w:sz="8" w:color="003595"/>
            </w:tcBorders>
          </w:tcPr>
          <w:p>
            <w:pPr>
              <w:jc w:val="center"/>
              <w:ind w:left="1320"/>
              <w:spacing w:after="0"/>
              <w:rPr>
                <w:sz w:val="20"/>
                <w:szCs w:val="20"/>
                <w:color w:val="auto"/>
              </w:rPr>
            </w:pPr>
            <w:r>
              <w:rPr>
                <w:rFonts w:ascii="Arial" w:cs="Arial" w:eastAsia="Arial" w:hAnsi="Arial"/>
                <w:sz w:val="16"/>
                <w:szCs w:val="16"/>
                <w:color w:val="auto"/>
                <w:w w:val="97"/>
              </w:rPr>
              <w:t>N/A</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8"/>
              </w:rPr>
              <w:t>$385,000</w:t>
            </w:r>
          </w:p>
        </w:tc>
        <w:tc>
          <w:tcPr>
            <w:tcW w:w="15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Mr. Raha was appointed President and Chief Executive Officer effective April 30, 2025.</w:t>
      </w:r>
    </w:p>
    <w:p>
      <w:pPr>
        <w:spacing w:after="0" w:line="11" w:lineRule="exact"/>
        <w:rPr>
          <w:rFonts w:ascii="Arial" w:cs="Arial" w:eastAsia="Arial" w:hAnsi="Arial"/>
          <w:sz w:val="13"/>
          <w:szCs w:val="13"/>
          <w:color w:val="auto"/>
        </w:rPr>
      </w:pPr>
    </w:p>
    <w:p>
      <w:pPr>
        <w:ind w:left="200" w:hanging="192"/>
        <w:spacing w:after="0"/>
        <w:tabs>
          <w:tab w:leader="none" w:pos="2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Mr. Wheeler was appointed as Chief Financial Officer effective August 16, 2025.</w:t>
      </w:r>
    </w:p>
    <w:p>
      <w:pPr>
        <w:ind w:left="200" w:hanging="192"/>
        <w:spacing w:after="0"/>
        <w:tabs>
          <w:tab w:leader="none" w:pos="2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Mr. Verratti was appointed as Chief Operating Officer effective April 30, 2025.</w:t>
      </w:r>
    </w:p>
    <w:p>
      <w:pPr>
        <w:ind w:left="200" w:hanging="192"/>
        <w:spacing w:after="0"/>
        <w:tabs>
          <w:tab w:leader="none" w:pos="2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Mr. Donnelly was appointed Chief Commercial Officer effective May 1, 2025.</w:t>
      </w:r>
    </w:p>
    <w:p>
      <w:pPr>
        <w:ind w:left="200" w:hanging="192"/>
        <w:spacing w:after="0"/>
        <w:tabs>
          <w:tab w:leader="none" w:pos="2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Mr. Diaz resigned from his position as President and Chief Executive Officer effective April 30, 2025.</w:t>
      </w:r>
    </w:p>
    <w:p>
      <w:pPr>
        <w:spacing w:after="0" w:line="4" w:lineRule="exact"/>
        <w:rPr>
          <w:rFonts w:ascii="Arial" w:cs="Arial" w:eastAsia="Arial" w:hAnsi="Arial"/>
          <w:sz w:val="13"/>
          <w:szCs w:val="13"/>
          <w:color w:val="auto"/>
        </w:rPr>
      </w:pPr>
    </w:p>
    <w:p>
      <w:pPr>
        <w:ind w:left="200" w:hanging="192"/>
        <w:spacing w:after="0"/>
        <w:tabs>
          <w:tab w:leader="none" w:pos="2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Mr. Leffler departed from his position as Chief Financial Officer effective August 15, 2025.</w:t>
      </w:r>
    </w:p>
    <w:p>
      <w:pPr>
        <w:spacing w:after="0" w:line="7" w:lineRule="exact"/>
        <w:rPr>
          <w:rFonts w:ascii="Arial" w:cs="Arial" w:eastAsia="Arial" w:hAnsi="Arial"/>
          <w:sz w:val="13"/>
          <w:szCs w:val="13"/>
          <w:color w:val="auto"/>
        </w:rPr>
      </w:pPr>
    </w:p>
    <w:p>
      <w:pPr>
        <w:ind w:left="200" w:hanging="192"/>
        <w:spacing w:after="0"/>
        <w:tabs>
          <w:tab w:leader="none" w:pos="2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Ms. Ancona departed from her position as Executive Vice President, Strategy and Transformation, on November 3, 2025.</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Sign-On Bonus</w:t>
      </w:r>
    </w:p>
    <w:p>
      <w:pPr>
        <w:spacing w:after="0" w:line="2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Mr. Donnelly received a sign-on bonus of $450,000 in connection with the commencement of his employment with us on May 1, 2025. Mr. Donnelly's sign-on bonus or a portion thereof is subject to clawback if Mr. Donnelly voluntarily terminates his employment with us for any reason other than death, disability, or good reason or if we terminate his employment for cause before the first and second anniversaries of the commencement of Mr. Donnelly's employment with us.</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i w:val="1"/>
          <w:iCs w:val="1"/>
          <w:color w:val="0071CE"/>
        </w:rPr>
        <w:t>Retention Bonus</w:t>
      </w:r>
    </w:p>
    <w:p>
      <w:pPr>
        <w:spacing w:after="0" w:line="24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connection with Mr. Verratti's promotion to Chief Operating Officer effective April 30, 2025, Mr. Verratti received the right to a one-time retention bonus of $400,000 if he remains employed in good standing with us through July 1, 2027.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Short-Term Incentive Awards</w:t>
      </w:r>
    </w:p>
    <w:p>
      <w:pPr>
        <w:spacing w:after="0" w:line="24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short-term (annual) incentive program is established with the purpose of aligning performance objectives for our executive officers with the overall goals and objectives of the Company. For 2025, the CHCC used a formulaic approach to determine the short-term incentive awards for our executive officers. The formula was based on a target incentive bonus as a percentage of base salary, Company financial performance, engagement score, customer NPS, and the achievement of individual strategic goals. After the level of performance is determined by the CHCC, the payout percentage of each individual metric is added together to calculate the total payout percentage for each executive officer. The final payout percentage is then multiplied by the executive officer's base salary and by the executive officer's target incentive bonus opportunity (which is a percentage of the executive officer's base salary). The general formula for calculating incentive bonus amounts for 2025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153035</wp:posOffset>
            </wp:positionV>
            <wp:extent cx="6172200" cy="5060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7220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3595"/>
        </w:rPr>
        <w:t>Target Bonus Opportunity</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After considering the Company’s performance, the performance of the NEOs, the general industry and market conditions, and other factors, the CHCC generally determined that the target bonus opportunity for executive officers for 2025 short-term incentive award should remain unchanged from the targets established for 2024. However, the CHCC increased the target bonus opportunity for Mr. Raha from 75% to 100% in connection with his promotion to President and Chief Executive Officer. The CHCC also set the target bonus opportunity for Mr. Wheeler and Mr. Donnelly at 75% in connection with their respective appointments as Chief Financial Officer and Chief Commercial Officer, respectively. The CHCC did not consider a target bonus opportunity for Mr. Diaz due to his resignation.</w:t>
      </w: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5160" w:type="dxa"/>
            <w:vAlign w:val="bottom"/>
            <w:vMerge w:val="restart"/>
            <w:shd w:val="clear" w:color="auto" w:fill="003595"/>
          </w:tcPr>
          <w:p>
            <w:pPr>
              <w:ind w:left="20"/>
              <w:spacing w:after="0"/>
              <w:rPr>
                <w:sz w:val="20"/>
                <w:szCs w:val="20"/>
                <w:color w:val="auto"/>
              </w:rPr>
            </w:pPr>
            <w:r>
              <w:rPr>
                <w:rFonts w:ascii="Arial" w:cs="Arial" w:eastAsia="Arial" w:hAnsi="Arial"/>
                <w:sz w:val="16"/>
                <w:szCs w:val="16"/>
                <w:b w:val="1"/>
                <w:bCs w:val="1"/>
                <w:color w:val="FFFFFF"/>
              </w:rPr>
              <w:t>Named Executive Officer</w:t>
            </w:r>
          </w:p>
        </w:tc>
        <w:tc>
          <w:tcPr>
            <w:tcW w:w="3220" w:type="dxa"/>
            <w:vAlign w:val="bottom"/>
            <w:shd w:val="clear" w:color="auto" w:fill="003595"/>
          </w:tcPr>
          <w:p>
            <w:pPr>
              <w:jc w:val="center"/>
              <w:ind w:right="139"/>
              <w:spacing w:after="0"/>
              <w:rPr>
                <w:sz w:val="20"/>
                <w:szCs w:val="20"/>
                <w:color w:val="auto"/>
              </w:rPr>
            </w:pPr>
            <w:r>
              <w:rPr>
                <w:rFonts w:ascii="Arial" w:cs="Arial" w:eastAsia="Arial" w:hAnsi="Arial"/>
                <w:sz w:val="16"/>
                <w:szCs w:val="16"/>
                <w:b w:val="1"/>
                <w:bCs w:val="1"/>
                <w:color w:val="FFFFFF"/>
              </w:rPr>
              <w:t>2024 Target Bonus Opportunity</w:t>
            </w:r>
          </w:p>
        </w:tc>
        <w:tc>
          <w:tcPr>
            <w:tcW w:w="2720" w:type="dxa"/>
            <w:vAlign w:val="bottom"/>
            <w:shd w:val="clear" w:color="auto" w:fill="003595"/>
          </w:tcPr>
          <w:p>
            <w:pPr>
              <w:jc w:val="center"/>
              <w:ind w:right="199"/>
              <w:spacing w:after="0"/>
              <w:rPr>
                <w:sz w:val="20"/>
                <w:szCs w:val="20"/>
                <w:color w:val="auto"/>
              </w:rPr>
            </w:pPr>
            <w:r>
              <w:rPr>
                <w:rFonts w:ascii="Arial" w:cs="Arial" w:eastAsia="Arial" w:hAnsi="Arial"/>
                <w:sz w:val="16"/>
                <w:szCs w:val="16"/>
                <w:b w:val="1"/>
                <w:bCs w:val="1"/>
                <w:color w:val="FFFFFF"/>
              </w:rPr>
              <w:t>2025 Target Bonus</w:t>
            </w:r>
          </w:p>
        </w:tc>
        <w:tc>
          <w:tcPr>
            <w:tcW w:w="0" w:type="dxa"/>
            <w:vAlign w:val="bottom"/>
          </w:tcPr>
          <w:p>
            <w:pPr>
              <w:spacing w:after="0"/>
              <w:rPr>
                <w:sz w:val="1"/>
                <w:szCs w:val="1"/>
                <w:color w:val="auto"/>
              </w:rPr>
            </w:pPr>
          </w:p>
        </w:tc>
      </w:tr>
      <w:tr>
        <w:trPr>
          <w:trHeight w:val="189"/>
        </w:trPr>
        <w:tc>
          <w:tcPr>
            <w:tcW w:w="5160" w:type="dxa"/>
            <w:vAlign w:val="bottom"/>
            <w:vMerge w:val="continue"/>
            <w:shd w:val="clear" w:color="auto" w:fill="003595"/>
          </w:tcPr>
          <w:p>
            <w:pPr>
              <w:spacing w:after="0"/>
              <w:rPr>
                <w:sz w:val="16"/>
                <w:szCs w:val="16"/>
                <w:color w:val="auto"/>
              </w:rPr>
            </w:pPr>
          </w:p>
        </w:tc>
        <w:tc>
          <w:tcPr>
            <w:tcW w:w="3220" w:type="dxa"/>
            <w:vAlign w:val="bottom"/>
            <w:shd w:val="clear" w:color="auto" w:fill="003595"/>
          </w:tcPr>
          <w:p>
            <w:pPr>
              <w:jc w:val="center"/>
              <w:ind w:right="179"/>
              <w:spacing w:after="0"/>
              <w:rPr>
                <w:sz w:val="20"/>
                <w:szCs w:val="20"/>
                <w:color w:val="auto"/>
              </w:rPr>
            </w:pPr>
            <w:r>
              <w:rPr>
                <w:rFonts w:ascii="Arial" w:cs="Arial" w:eastAsia="Arial" w:hAnsi="Arial"/>
                <w:sz w:val="16"/>
                <w:szCs w:val="16"/>
                <w:b w:val="1"/>
                <w:bCs w:val="1"/>
                <w:color w:val="FFFFFF"/>
              </w:rPr>
              <w:t>(% of Base Salary)</w:t>
            </w:r>
          </w:p>
        </w:tc>
        <w:tc>
          <w:tcPr>
            <w:tcW w:w="2720" w:type="dxa"/>
            <w:vAlign w:val="bottom"/>
            <w:shd w:val="clear" w:color="auto" w:fill="003595"/>
          </w:tcPr>
          <w:p>
            <w:pPr>
              <w:jc w:val="center"/>
              <w:ind w:right="179"/>
              <w:spacing w:after="0"/>
              <w:rPr>
                <w:sz w:val="20"/>
                <w:szCs w:val="20"/>
                <w:color w:val="auto"/>
              </w:rPr>
            </w:pPr>
            <w:r>
              <w:rPr>
                <w:rFonts w:ascii="Arial" w:cs="Arial" w:eastAsia="Arial" w:hAnsi="Arial"/>
                <w:sz w:val="16"/>
                <w:szCs w:val="16"/>
                <w:b w:val="1"/>
                <w:bCs w:val="1"/>
                <w:color w:val="FFFFFF"/>
              </w:rPr>
              <w:t>Opportunity</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003595"/>
            </w:tcBorders>
            <w:shd w:val="clear" w:color="auto" w:fill="003595"/>
          </w:tcPr>
          <w:p>
            <w:pPr>
              <w:spacing w:after="0"/>
              <w:rPr>
                <w:sz w:val="19"/>
                <w:szCs w:val="19"/>
                <w:color w:val="auto"/>
              </w:rPr>
            </w:pPr>
          </w:p>
        </w:tc>
        <w:tc>
          <w:tcPr>
            <w:tcW w:w="3220" w:type="dxa"/>
            <w:vAlign w:val="bottom"/>
            <w:tcBorders>
              <w:bottom w:val="single" w:sz="8" w:color="003595"/>
            </w:tcBorders>
            <w:shd w:val="clear" w:color="auto" w:fill="003595"/>
          </w:tcPr>
          <w:p>
            <w:pPr>
              <w:spacing w:after="0"/>
              <w:rPr>
                <w:sz w:val="19"/>
                <w:szCs w:val="19"/>
                <w:color w:val="auto"/>
              </w:rPr>
            </w:pPr>
          </w:p>
        </w:tc>
        <w:tc>
          <w:tcPr>
            <w:tcW w:w="2720" w:type="dxa"/>
            <w:vAlign w:val="bottom"/>
            <w:tcBorders>
              <w:bottom w:val="single" w:sz="8" w:color="003595"/>
            </w:tcBorders>
            <w:shd w:val="clear" w:color="auto" w:fill="003595"/>
          </w:tcPr>
          <w:p>
            <w:pPr>
              <w:jc w:val="center"/>
              <w:ind w:right="179"/>
              <w:spacing w:after="0"/>
              <w:rPr>
                <w:sz w:val="20"/>
                <w:szCs w:val="20"/>
                <w:color w:val="auto"/>
              </w:rPr>
            </w:pPr>
            <w:r>
              <w:rPr>
                <w:rFonts w:ascii="Arial" w:cs="Arial" w:eastAsia="Arial" w:hAnsi="Arial"/>
                <w:sz w:val="16"/>
                <w:szCs w:val="16"/>
                <w:b w:val="1"/>
                <w:bCs w:val="1"/>
                <w:color w:val="FFFFFF"/>
              </w:rPr>
              <w:t>(% of Base Salary)</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Samraat S. Raha, President and Chief Executive Officer</w:t>
            </w:r>
          </w:p>
        </w:tc>
        <w:tc>
          <w:tcPr>
            <w:tcW w:w="3220" w:type="dxa"/>
            <w:vAlign w:val="bottom"/>
          </w:tcPr>
          <w:p>
            <w:pPr>
              <w:jc w:val="center"/>
              <w:ind w:right="179"/>
              <w:spacing w:after="0"/>
              <w:rPr>
                <w:sz w:val="20"/>
                <w:szCs w:val="20"/>
                <w:color w:val="auto"/>
              </w:rPr>
            </w:pPr>
            <w:r>
              <w:rPr>
                <w:rFonts w:ascii="Arial" w:cs="Arial" w:eastAsia="Arial" w:hAnsi="Arial"/>
                <w:sz w:val="16"/>
                <w:szCs w:val="16"/>
                <w:color w:val="auto"/>
                <w:w w:val="99"/>
              </w:rPr>
              <w:t>75%</w:t>
            </w:r>
          </w:p>
        </w:tc>
        <w:tc>
          <w:tcPr>
            <w:tcW w:w="2720" w:type="dxa"/>
            <w:vAlign w:val="bottom"/>
          </w:tcPr>
          <w:p>
            <w:pPr>
              <w:jc w:val="center"/>
              <w:ind w:right="1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8"/>
        </w:trPr>
        <w:tc>
          <w:tcPr>
            <w:tcW w:w="5160" w:type="dxa"/>
            <w:vAlign w:val="bottom"/>
            <w:tcBorders>
              <w:bottom w:val="single" w:sz="8" w:color="003595"/>
            </w:tcBorders>
          </w:tcPr>
          <w:p>
            <w:pPr>
              <w:spacing w:after="0"/>
              <w:rPr>
                <w:sz w:val="2"/>
                <w:szCs w:val="2"/>
                <w:color w:val="auto"/>
              </w:rPr>
            </w:pPr>
          </w:p>
        </w:tc>
        <w:tc>
          <w:tcPr>
            <w:tcW w:w="3220" w:type="dxa"/>
            <w:vAlign w:val="bottom"/>
            <w:tcBorders>
              <w:bottom w:val="single" w:sz="8" w:color="003595"/>
            </w:tcBorders>
          </w:tcPr>
          <w:p>
            <w:pPr>
              <w:spacing w:after="0"/>
              <w:rPr>
                <w:sz w:val="2"/>
                <w:szCs w:val="2"/>
                <w:color w:val="auto"/>
              </w:rPr>
            </w:pPr>
          </w:p>
        </w:tc>
        <w:tc>
          <w:tcPr>
            <w:tcW w:w="27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6"/>
                <w:szCs w:val="16"/>
                <w:color w:val="auto"/>
              </w:rPr>
              <w:t>Benjamin R. Wheeler, Chief Financial Officer</w:t>
            </w:r>
          </w:p>
        </w:tc>
        <w:tc>
          <w:tcPr>
            <w:tcW w:w="3220" w:type="dxa"/>
            <w:vAlign w:val="bottom"/>
          </w:tcPr>
          <w:p>
            <w:pPr>
              <w:jc w:val="center"/>
              <w:ind w:right="179"/>
              <w:spacing w:after="0"/>
              <w:rPr>
                <w:sz w:val="20"/>
                <w:szCs w:val="20"/>
                <w:color w:val="auto"/>
              </w:rPr>
            </w:pPr>
            <w:r>
              <w:rPr>
                <w:rFonts w:ascii="Arial" w:cs="Arial" w:eastAsia="Arial" w:hAnsi="Arial"/>
                <w:sz w:val="16"/>
                <w:szCs w:val="16"/>
                <w:color w:val="auto"/>
              </w:rPr>
              <w:t>N/A</w:t>
            </w:r>
          </w:p>
        </w:tc>
        <w:tc>
          <w:tcPr>
            <w:tcW w:w="2720" w:type="dxa"/>
            <w:vAlign w:val="bottom"/>
          </w:tcPr>
          <w:p>
            <w:pPr>
              <w:jc w:val="center"/>
              <w:ind w:right="199"/>
              <w:spacing w:after="0"/>
              <w:rPr>
                <w:sz w:val="20"/>
                <w:szCs w:val="20"/>
                <w:color w:val="auto"/>
              </w:rPr>
            </w:pPr>
            <w:r>
              <w:rPr>
                <w:rFonts w:ascii="Arial" w:cs="Arial" w:eastAsia="Arial" w:hAnsi="Arial"/>
                <w:sz w:val="16"/>
                <w:szCs w:val="16"/>
                <w:color w:val="auto"/>
                <w:w w:val="99"/>
              </w:rPr>
              <w:t>75%</w:t>
            </w:r>
          </w:p>
        </w:tc>
        <w:tc>
          <w:tcPr>
            <w:tcW w:w="0" w:type="dxa"/>
            <w:vAlign w:val="bottom"/>
          </w:tcPr>
          <w:p>
            <w:pPr>
              <w:spacing w:after="0"/>
              <w:rPr>
                <w:sz w:val="1"/>
                <w:szCs w:val="1"/>
                <w:color w:val="auto"/>
              </w:rPr>
            </w:pPr>
          </w:p>
        </w:tc>
      </w:tr>
      <w:tr>
        <w:trPr>
          <w:trHeight w:val="28"/>
        </w:trPr>
        <w:tc>
          <w:tcPr>
            <w:tcW w:w="5160" w:type="dxa"/>
            <w:vAlign w:val="bottom"/>
            <w:tcBorders>
              <w:bottom w:val="single" w:sz="8" w:color="003595"/>
            </w:tcBorders>
          </w:tcPr>
          <w:p>
            <w:pPr>
              <w:spacing w:after="0"/>
              <w:rPr>
                <w:sz w:val="2"/>
                <w:szCs w:val="2"/>
                <w:color w:val="auto"/>
              </w:rPr>
            </w:pPr>
          </w:p>
        </w:tc>
        <w:tc>
          <w:tcPr>
            <w:tcW w:w="3220" w:type="dxa"/>
            <w:vAlign w:val="bottom"/>
            <w:tcBorders>
              <w:bottom w:val="single" w:sz="8" w:color="003595"/>
            </w:tcBorders>
          </w:tcPr>
          <w:p>
            <w:pPr>
              <w:spacing w:after="0"/>
              <w:rPr>
                <w:sz w:val="2"/>
                <w:szCs w:val="2"/>
                <w:color w:val="auto"/>
              </w:rPr>
            </w:pPr>
          </w:p>
        </w:tc>
        <w:tc>
          <w:tcPr>
            <w:tcW w:w="27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6"/>
                <w:szCs w:val="16"/>
                <w:color w:val="auto"/>
              </w:rPr>
              <w:t>Mark S. Verratti, Chief Operating Officer</w:t>
            </w:r>
          </w:p>
        </w:tc>
        <w:tc>
          <w:tcPr>
            <w:tcW w:w="3220" w:type="dxa"/>
            <w:vAlign w:val="bottom"/>
          </w:tcPr>
          <w:p>
            <w:pPr>
              <w:jc w:val="center"/>
              <w:ind w:right="179"/>
              <w:spacing w:after="0"/>
              <w:rPr>
                <w:sz w:val="20"/>
                <w:szCs w:val="20"/>
                <w:color w:val="auto"/>
              </w:rPr>
            </w:pPr>
            <w:r>
              <w:rPr>
                <w:rFonts w:ascii="Arial" w:cs="Arial" w:eastAsia="Arial" w:hAnsi="Arial"/>
                <w:sz w:val="16"/>
                <w:szCs w:val="16"/>
                <w:color w:val="auto"/>
                <w:w w:val="99"/>
              </w:rPr>
              <w:t>75%</w:t>
            </w:r>
          </w:p>
        </w:tc>
        <w:tc>
          <w:tcPr>
            <w:tcW w:w="2720" w:type="dxa"/>
            <w:vAlign w:val="bottom"/>
          </w:tcPr>
          <w:p>
            <w:pPr>
              <w:jc w:val="center"/>
              <w:ind w:right="199"/>
              <w:spacing w:after="0"/>
              <w:rPr>
                <w:sz w:val="20"/>
                <w:szCs w:val="20"/>
                <w:color w:val="auto"/>
              </w:rPr>
            </w:pPr>
            <w:r>
              <w:rPr>
                <w:rFonts w:ascii="Arial" w:cs="Arial" w:eastAsia="Arial" w:hAnsi="Arial"/>
                <w:sz w:val="16"/>
                <w:szCs w:val="16"/>
                <w:color w:val="auto"/>
                <w:w w:val="99"/>
              </w:rPr>
              <w:t>75%</w:t>
            </w:r>
          </w:p>
        </w:tc>
        <w:tc>
          <w:tcPr>
            <w:tcW w:w="0" w:type="dxa"/>
            <w:vAlign w:val="bottom"/>
          </w:tcPr>
          <w:p>
            <w:pPr>
              <w:spacing w:after="0"/>
              <w:rPr>
                <w:sz w:val="1"/>
                <w:szCs w:val="1"/>
                <w:color w:val="auto"/>
              </w:rPr>
            </w:pPr>
          </w:p>
        </w:tc>
      </w:tr>
      <w:tr>
        <w:trPr>
          <w:trHeight w:val="28"/>
        </w:trPr>
        <w:tc>
          <w:tcPr>
            <w:tcW w:w="5160" w:type="dxa"/>
            <w:vAlign w:val="bottom"/>
            <w:tcBorders>
              <w:bottom w:val="single" w:sz="8" w:color="003595"/>
            </w:tcBorders>
          </w:tcPr>
          <w:p>
            <w:pPr>
              <w:spacing w:after="0"/>
              <w:rPr>
                <w:sz w:val="2"/>
                <w:szCs w:val="2"/>
                <w:color w:val="auto"/>
              </w:rPr>
            </w:pPr>
          </w:p>
        </w:tc>
        <w:tc>
          <w:tcPr>
            <w:tcW w:w="3220" w:type="dxa"/>
            <w:vAlign w:val="bottom"/>
            <w:tcBorders>
              <w:bottom w:val="single" w:sz="8" w:color="003595"/>
            </w:tcBorders>
          </w:tcPr>
          <w:p>
            <w:pPr>
              <w:spacing w:after="0"/>
              <w:rPr>
                <w:sz w:val="2"/>
                <w:szCs w:val="2"/>
                <w:color w:val="auto"/>
              </w:rPr>
            </w:pPr>
          </w:p>
        </w:tc>
        <w:tc>
          <w:tcPr>
            <w:tcW w:w="27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6"/>
                <w:szCs w:val="16"/>
                <w:color w:val="auto"/>
              </w:rPr>
              <w:t>Brian J. Donnelly, Chief Commercial Officer</w:t>
            </w:r>
          </w:p>
        </w:tc>
        <w:tc>
          <w:tcPr>
            <w:tcW w:w="3220" w:type="dxa"/>
            <w:vAlign w:val="bottom"/>
          </w:tcPr>
          <w:p>
            <w:pPr>
              <w:jc w:val="center"/>
              <w:ind w:right="179"/>
              <w:spacing w:after="0"/>
              <w:rPr>
                <w:sz w:val="20"/>
                <w:szCs w:val="20"/>
                <w:color w:val="auto"/>
              </w:rPr>
            </w:pPr>
            <w:r>
              <w:rPr>
                <w:rFonts w:ascii="Arial" w:cs="Arial" w:eastAsia="Arial" w:hAnsi="Arial"/>
                <w:sz w:val="16"/>
                <w:szCs w:val="16"/>
                <w:color w:val="auto"/>
              </w:rPr>
              <w:t>N/A</w:t>
            </w:r>
          </w:p>
        </w:tc>
        <w:tc>
          <w:tcPr>
            <w:tcW w:w="2720" w:type="dxa"/>
            <w:vAlign w:val="bottom"/>
          </w:tcPr>
          <w:p>
            <w:pPr>
              <w:jc w:val="center"/>
              <w:ind w:right="199"/>
              <w:spacing w:after="0"/>
              <w:rPr>
                <w:sz w:val="20"/>
                <w:szCs w:val="20"/>
                <w:color w:val="auto"/>
              </w:rPr>
            </w:pPr>
            <w:r>
              <w:rPr>
                <w:rFonts w:ascii="Arial" w:cs="Arial" w:eastAsia="Arial" w:hAnsi="Arial"/>
                <w:sz w:val="16"/>
                <w:szCs w:val="16"/>
                <w:color w:val="auto"/>
                <w:w w:val="99"/>
              </w:rPr>
              <w:t>75%</w:t>
            </w:r>
          </w:p>
        </w:tc>
        <w:tc>
          <w:tcPr>
            <w:tcW w:w="0" w:type="dxa"/>
            <w:vAlign w:val="bottom"/>
          </w:tcPr>
          <w:p>
            <w:pPr>
              <w:spacing w:after="0"/>
              <w:rPr>
                <w:sz w:val="1"/>
                <w:szCs w:val="1"/>
                <w:color w:val="auto"/>
              </w:rPr>
            </w:pPr>
          </w:p>
        </w:tc>
      </w:tr>
      <w:tr>
        <w:trPr>
          <w:trHeight w:val="28"/>
        </w:trPr>
        <w:tc>
          <w:tcPr>
            <w:tcW w:w="5160" w:type="dxa"/>
            <w:vAlign w:val="bottom"/>
            <w:tcBorders>
              <w:bottom w:val="single" w:sz="8" w:color="003595"/>
            </w:tcBorders>
          </w:tcPr>
          <w:p>
            <w:pPr>
              <w:spacing w:after="0"/>
              <w:rPr>
                <w:sz w:val="2"/>
                <w:szCs w:val="2"/>
                <w:color w:val="auto"/>
              </w:rPr>
            </w:pPr>
          </w:p>
        </w:tc>
        <w:tc>
          <w:tcPr>
            <w:tcW w:w="3220" w:type="dxa"/>
            <w:vAlign w:val="bottom"/>
            <w:tcBorders>
              <w:bottom w:val="single" w:sz="8" w:color="003595"/>
            </w:tcBorders>
          </w:tcPr>
          <w:p>
            <w:pPr>
              <w:spacing w:after="0"/>
              <w:rPr>
                <w:sz w:val="2"/>
                <w:szCs w:val="2"/>
                <w:color w:val="auto"/>
              </w:rPr>
            </w:pPr>
          </w:p>
        </w:tc>
        <w:tc>
          <w:tcPr>
            <w:tcW w:w="27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6"/>
                <w:szCs w:val="16"/>
                <w:color w:val="auto"/>
              </w:rPr>
              <w:t>Dale Muzzey, Chief Scientific Officer</w:t>
            </w:r>
          </w:p>
        </w:tc>
        <w:tc>
          <w:tcPr>
            <w:tcW w:w="3220" w:type="dxa"/>
            <w:vAlign w:val="bottom"/>
          </w:tcPr>
          <w:p>
            <w:pPr>
              <w:jc w:val="center"/>
              <w:ind w:right="179"/>
              <w:spacing w:after="0"/>
              <w:rPr>
                <w:sz w:val="20"/>
                <w:szCs w:val="20"/>
                <w:color w:val="auto"/>
              </w:rPr>
            </w:pPr>
            <w:r>
              <w:rPr>
                <w:rFonts w:ascii="Arial" w:cs="Arial" w:eastAsia="Arial" w:hAnsi="Arial"/>
                <w:sz w:val="16"/>
                <w:szCs w:val="16"/>
                <w:color w:val="auto"/>
                <w:w w:val="99"/>
              </w:rPr>
              <w:t>50%</w:t>
            </w:r>
          </w:p>
        </w:tc>
        <w:tc>
          <w:tcPr>
            <w:tcW w:w="2720" w:type="dxa"/>
            <w:vAlign w:val="bottom"/>
          </w:tcPr>
          <w:p>
            <w:pPr>
              <w:jc w:val="center"/>
              <w:ind w:right="199"/>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r>
        <w:trPr>
          <w:trHeight w:val="28"/>
        </w:trPr>
        <w:tc>
          <w:tcPr>
            <w:tcW w:w="5160" w:type="dxa"/>
            <w:vAlign w:val="bottom"/>
            <w:tcBorders>
              <w:bottom w:val="single" w:sz="8" w:color="003595"/>
            </w:tcBorders>
          </w:tcPr>
          <w:p>
            <w:pPr>
              <w:spacing w:after="0"/>
              <w:rPr>
                <w:sz w:val="2"/>
                <w:szCs w:val="2"/>
                <w:color w:val="auto"/>
              </w:rPr>
            </w:pPr>
          </w:p>
        </w:tc>
        <w:tc>
          <w:tcPr>
            <w:tcW w:w="3220" w:type="dxa"/>
            <w:vAlign w:val="bottom"/>
            <w:tcBorders>
              <w:bottom w:val="single" w:sz="8" w:color="003595"/>
            </w:tcBorders>
          </w:tcPr>
          <w:p>
            <w:pPr>
              <w:spacing w:after="0"/>
              <w:rPr>
                <w:sz w:val="2"/>
                <w:szCs w:val="2"/>
                <w:color w:val="auto"/>
              </w:rPr>
            </w:pPr>
          </w:p>
        </w:tc>
        <w:tc>
          <w:tcPr>
            <w:tcW w:w="27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6"/>
                <w:szCs w:val="16"/>
                <w:color w:val="auto"/>
              </w:rPr>
              <w:t>Scott J. Leffler, Former Chief Financial Officer</w:t>
            </w:r>
          </w:p>
        </w:tc>
        <w:tc>
          <w:tcPr>
            <w:tcW w:w="3220" w:type="dxa"/>
            <w:vAlign w:val="bottom"/>
          </w:tcPr>
          <w:p>
            <w:pPr>
              <w:jc w:val="center"/>
              <w:ind w:right="179"/>
              <w:spacing w:after="0"/>
              <w:rPr>
                <w:sz w:val="20"/>
                <w:szCs w:val="20"/>
                <w:color w:val="auto"/>
              </w:rPr>
            </w:pPr>
            <w:r>
              <w:rPr>
                <w:rFonts w:ascii="Arial" w:cs="Arial" w:eastAsia="Arial" w:hAnsi="Arial"/>
                <w:sz w:val="16"/>
                <w:szCs w:val="16"/>
                <w:color w:val="auto"/>
                <w:w w:val="99"/>
              </w:rPr>
              <w:t>75%</w:t>
            </w:r>
          </w:p>
        </w:tc>
        <w:tc>
          <w:tcPr>
            <w:tcW w:w="2720" w:type="dxa"/>
            <w:vAlign w:val="bottom"/>
          </w:tcPr>
          <w:p>
            <w:pPr>
              <w:jc w:val="center"/>
              <w:ind w:right="199"/>
              <w:spacing w:after="0"/>
              <w:rPr>
                <w:sz w:val="20"/>
                <w:szCs w:val="20"/>
                <w:color w:val="auto"/>
              </w:rPr>
            </w:pPr>
            <w:r>
              <w:rPr>
                <w:rFonts w:ascii="Arial" w:cs="Arial" w:eastAsia="Arial" w:hAnsi="Arial"/>
                <w:sz w:val="16"/>
                <w:szCs w:val="16"/>
                <w:color w:val="auto"/>
                <w:w w:val="99"/>
              </w:rPr>
              <w:t>75%</w:t>
            </w:r>
          </w:p>
        </w:tc>
        <w:tc>
          <w:tcPr>
            <w:tcW w:w="0" w:type="dxa"/>
            <w:vAlign w:val="bottom"/>
          </w:tcPr>
          <w:p>
            <w:pPr>
              <w:spacing w:after="0"/>
              <w:rPr>
                <w:sz w:val="1"/>
                <w:szCs w:val="1"/>
                <w:color w:val="auto"/>
              </w:rPr>
            </w:pPr>
          </w:p>
        </w:tc>
      </w:tr>
      <w:tr>
        <w:trPr>
          <w:trHeight w:val="28"/>
        </w:trPr>
        <w:tc>
          <w:tcPr>
            <w:tcW w:w="5160" w:type="dxa"/>
            <w:vAlign w:val="bottom"/>
            <w:tcBorders>
              <w:bottom w:val="single" w:sz="8" w:color="003595"/>
            </w:tcBorders>
          </w:tcPr>
          <w:p>
            <w:pPr>
              <w:spacing w:after="0"/>
              <w:rPr>
                <w:sz w:val="2"/>
                <w:szCs w:val="2"/>
                <w:color w:val="auto"/>
              </w:rPr>
            </w:pPr>
          </w:p>
        </w:tc>
        <w:tc>
          <w:tcPr>
            <w:tcW w:w="3220" w:type="dxa"/>
            <w:vAlign w:val="bottom"/>
            <w:tcBorders>
              <w:bottom w:val="single" w:sz="8" w:color="003595"/>
            </w:tcBorders>
          </w:tcPr>
          <w:p>
            <w:pPr>
              <w:spacing w:after="0"/>
              <w:rPr>
                <w:sz w:val="2"/>
                <w:szCs w:val="2"/>
                <w:color w:val="auto"/>
              </w:rPr>
            </w:pPr>
          </w:p>
        </w:tc>
        <w:tc>
          <w:tcPr>
            <w:tcW w:w="27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6"/>
                <w:szCs w:val="16"/>
                <w:color w:val="auto"/>
              </w:rPr>
              <w:t>Margaret Ancona, Former EVP Strategy and Transformation</w:t>
            </w:r>
          </w:p>
        </w:tc>
        <w:tc>
          <w:tcPr>
            <w:tcW w:w="3220" w:type="dxa"/>
            <w:vAlign w:val="bottom"/>
          </w:tcPr>
          <w:p>
            <w:pPr>
              <w:jc w:val="center"/>
              <w:ind w:right="179"/>
              <w:spacing w:after="0"/>
              <w:rPr>
                <w:sz w:val="20"/>
                <w:szCs w:val="20"/>
                <w:color w:val="auto"/>
              </w:rPr>
            </w:pPr>
            <w:r>
              <w:rPr>
                <w:rFonts w:ascii="Arial" w:cs="Arial" w:eastAsia="Arial" w:hAnsi="Arial"/>
                <w:sz w:val="16"/>
                <w:szCs w:val="16"/>
                <w:color w:val="auto"/>
                <w:w w:val="99"/>
              </w:rPr>
              <w:t>50%</w:t>
            </w:r>
          </w:p>
        </w:tc>
        <w:tc>
          <w:tcPr>
            <w:tcW w:w="2720" w:type="dxa"/>
            <w:vAlign w:val="bottom"/>
          </w:tcPr>
          <w:p>
            <w:pPr>
              <w:jc w:val="center"/>
              <w:ind w:right="199"/>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r>
        <w:trPr>
          <w:trHeight w:val="28"/>
        </w:trPr>
        <w:tc>
          <w:tcPr>
            <w:tcW w:w="5160" w:type="dxa"/>
            <w:vAlign w:val="bottom"/>
            <w:tcBorders>
              <w:bottom w:val="single" w:sz="8" w:color="003595"/>
            </w:tcBorders>
          </w:tcPr>
          <w:p>
            <w:pPr>
              <w:spacing w:after="0"/>
              <w:rPr>
                <w:sz w:val="2"/>
                <w:szCs w:val="2"/>
                <w:color w:val="auto"/>
              </w:rPr>
            </w:pPr>
          </w:p>
        </w:tc>
        <w:tc>
          <w:tcPr>
            <w:tcW w:w="3220" w:type="dxa"/>
            <w:vAlign w:val="bottom"/>
            <w:tcBorders>
              <w:bottom w:val="single" w:sz="8" w:color="003595"/>
            </w:tcBorders>
          </w:tcPr>
          <w:p>
            <w:pPr>
              <w:spacing w:after="0"/>
              <w:rPr>
                <w:sz w:val="2"/>
                <w:szCs w:val="2"/>
                <w:color w:val="auto"/>
              </w:rPr>
            </w:pPr>
          </w:p>
        </w:tc>
        <w:tc>
          <w:tcPr>
            <w:tcW w:w="27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3595"/>
        </w:rPr>
        <w:t>Weighting of Performance Metrics</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in March 2025, the CHCC determined that Company financial performance, engagement score, customer NPS, and individual strategic goals for each NEO should be weighted uniformly across our executive officers to ensure alignment with our 2025 objectives. Specifically, the annual incentive cash bonus for each of our NEOs, other than Mr. Diaz due to his resignation, was weighted as follows: 40% based on revenue, 30% based on adjusted operating income, 5% based on engagement score, 5% based on customer NPS, and 20% based on individual strategic goals. The financial metrics were generally weighted higher than individual strategic goals to incentivize our executive officers to execute upon our strategic growth plan and maintain adjusted profitability during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i w:val="1"/>
          <w:iCs w:val="1"/>
          <w:u w:val="single" w:color="auto"/>
          <w:color w:val="003595"/>
        </w:rPr>
        <w:t>Performance Metrics</w:t>
      </w:r>
    </w:p>
    <w:p>
      <w:pPr>
        <w:spacing w:after="0" w:line="24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Company financial performance is based on two weighted metrics: Company revenue and adjusted operating income, with adjusted operating income defined as total operating income excluding acquisition-related amortization of intangible assets, goodwill and long-lived asset impairment charges, equity compensation, real estate optimization, transformation initiatives, strategic realignments, legal settlements, and certain other one-time non-recurring expenses. These financial performance metrics were selected to support our strategic growth plan with the goals of increasing revenue and maintaining positive adjusted operating income. These metrics are measured on a Company-wide basis for all executive officers. In addition, the CHCC used engagement score and customer NPS as metrics in 2025 to support our efforts to retain employees, improve employee engagement, and enhance customer experiences. The employee engagement performance levels are based on the 2024 global average Great Place to Work score, while the customer NPS performance levels are derived from Medallia data and market research across comparable companies. The chart below summarizes the metrics and performance levels established by the CHCC for 2025. The target performance level for revenue was set at the high-end of our original 2025 guidance for revenue. Our 2025 adjusted operating income (loss) performance target was set at $13.2 million. Both of these target performance levels were set to be appropriately challenging in light of UnitedHealthcare's decision to no longer provide coverage of our GeneSight test under its commercial, individual exchange, and certain managed Medicaid benefit plans during 2025. We generated approximately $45 million of GeneSight current period revenue from UnitedHealthcare's commercial, individual exchange and select managed Medicaid populations in 2024. The achievement payout levels for threshold, target, and maximum performance levels were 50%, 100%, and 150%, respectively, of the target bonus amount.</w:t>
      </w: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shown below, in February 2026, the CHCC determined that the achievement level for the revenue metric and the adjusted operating income (loss) metric was 59% and 106%, respectively, of target performance level as of result of the Company achieving $824.5 million in revenue and $15.3 million in adjusted operating income during 2025. The CHCC also determined that our employee engagement score for 2025 was in the 84th percentile, which ranked slightly above the top quartile of companies for employee engagement, resulting in an achievement level of 125%. Finally, the CHCC determined that the Company had achieved a customer NPS score in the 72.5 percentile, which ranked above the top quartile of companies for customer NPS, resulting in an achievement level of 138%.</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CHCC then calculated the payout percentage for these quantitative performance metrics for each executive officer, by applying the actual results for each quantitative performance metric for 2025 to the targets approved by the CHCC during 2025 and the relative weighting of each metric for each executive officer. The following chart shows the CHCC’s determination with respect to the 2025 cash incentive performance measures.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1640" w:type="dxa"/>
            <w:vAlign w:val="bottom"/>
            <w:shd w:val="clear" w:color="auto" w:fill="003595"/>
          </w:tcPr>
          <w:p>
            <w:pPr>
              <w:ind w:left="540"/>
              <w:spacing w:after="0"/>
              <w:rPr>
                <w:sz w:val="20"/>
                <w:szCs w:val="20"/>
                <w:color w:val="auto"/>
              </w:rPr>
            </w:pPr>
            <w:r>
              <w:rPr>
                <w:rFonts w:ascii="Arial" w:cs="Arial" w:eastAsia="Arial" w:hAnsi="Arial"/>
                <w:sz w:val="16"/>
                <w:szCs w:val="16"/>
                <w:b w:val="1"/>
                <w:bCs w:val="1"/>
                <w:color w:val="FFFFFF"/>
              </w:rPr>
              <w:t>Metric</w:t>
            </w:r>
          </w:p>
        </w:tc>
        <w:tc>
          <w:tcPr>
            <w:tcW w:w="1060" w:type="dxa"/>
            <w:vAlign w:val="bottom"/>
            <w:shd w:val="clear" w:color="auto" w:fill="003595"/>
          </w:tcPr>
          <w:p>
            <w:pPr>
              <w:ind w:left="100"/>
              <w:spacing w:after="0"/>
              <w:rPr>
                <w:sz w:val="20"/>
                <w:szCs w:val="20"/>
                <w:color w:val="auto"/>
              </w:rPr>
            </w:pPr>
            <w:r>
              <w:rPr>
                <w:rFonts w:ascii="Arial" w:cs="Arial" w:eastAsia="Arial" w:hAnsi="Arial"/>
                <w:sz w:val="16"/>
                <w:szCs w:val="16"/>
                <w:b w:val="1"/>
                <w:bCs w:val="1"/>
                <w:color w:val="FFFFFF"/>
              </w:rPr>
              <w:t>Weighting</w:t>
            </w:r>
          </w:p>
        </w:tc>
        <w:tc>
          <w:tcPr>
            <w:tcW w:w="130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Threshold</w:t>
            </w:r>
          </w:p>
        </w:tc>
        <w:tc>
          <w:tcPr>
            <w:tcW w:w="150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38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Maximum</w:t>
            </w:r>
          </w:p>
        </w:tc>
        <w:tc>
          <w:tcPr>
            <w:tcW w:w="146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Actual Result</w:t>
            </w:r>
          </w:p>
        </w:tc>
        <w:tc>
          <w:tcPr>
            <w:tcW w:w="1560" w:type="dxa"/>
            <w:vAlign w:val="bottom"/>
            <w:shd w:val="clear" w:color="auto" w:fill="003595"/>
          </w:tcPr>
          <w:p>
            <w:pPr>
              <w:jc w:val="center"/>
              <w:ind w:right="19"/>
              <w:spacing w:after="0"/>
              <w:rPr>
                <w:sz w:val="20"/>
                <w:szCs w:val="20"/>
                <w:color w:val="auto"/>
              </w:rPr>
            </w:pPr>
            <w:r>
              <w:rPr>
                <w:rFonts w:ascii="Arial" w:cs="Arial" w:eastAsia="Arial" w:hAnsi="Arial"/>
                <w:sz w:val="16"/>
                <w:szCs w:val="16"/>
                <w:b w:val="1"/>
                <w:bCs w:val="1"/>
                <w:color w:val="FFFFFF"/>
              </w:rPr>
              <w:t>Achievement (%</w:t>
            </w:r>
          </w:p>
        </w:tc>
        <w:tc>
          <w:tcPr>
            <w:tcW w:w="1260" w:type="dxa"/>
            <w:vAlign w:val="bottom"/>
            <w:shd w:val="clear" w:color="auto" w:fill="003595"/>
          </w:tcPr>
          <w:p>
            <w:pPr>
              <w:ind w:left="200"/>
              <w:spacing w:after="0"/>
              <w:rPr>
                <w:sz w:val="20"/>
                <w:szCs w:val="20"/>
                <w:color w:val="auto"/>
              </w:rPr>
            </w:pPr>
            <w:r>
              <w:rPr>
                <w:rFonts w:ascii="Arial" w:cs="Arial" w:eastAsia="Arial" w:hAnsi="Arial"/>
                <w:sz w:val="16"/>
                <w:szCs w:val="16"/>
                <w:b w:val="1"/>
                <w:bCs w:val="1"/>
                <w:color w:val="FFFFFF"/>
              </w:rPr>
              <w:t>Payout %</w:t>
            </w:r>
          </w:p>
        </w:tc>
      </w:tr>
      <w:tr>
        <w:trPr>
          <w:trHeight w:val="224"/>
        </w:trPr>
        <w:tc>
          <w:tcPr>
            <w:tcW w:w="1640" w:type="dxa"/>
            <w:vAlign w:val="bottom"/>
            <w:tcBorders>
              <w:bottom w:val="single" w:sz="8" w:color="003595"/>
            </w:tcBorders>
            <w:shd w:val="clear" w:color="auto" w:fill="003595"/>
          </w:tcPr>
          <w:p>
            <w:pPr>
              <w:spacing w:after="0"/>
              <w:rPr>
                <w:sz w:val="19"/>
                <w:szCs w:val="19"/>
                <w:color w:val="auto"/>
              </w:rPr>
            </w:pPr>
          </w:p>
        </w:tc>
        <w:tc>
          <w:tcPr>
            <w:tcW w:w="1060" w:type="dxa"/>
            <w:vAlign w:val="bottom"/>
            <w:tcBorders>
              <w:bottom w:val="single" w:sz="8" w:color="003595"/>
            </w:tcBorders>
            <w:shd w:val="clear" w:color="auto" w:fill="003595"/>
          </w:tcPr>
          <w:p>
            <w:pPr>
              <w:spacing w:after="0"/>
              <w:rPr>
                <w:sz w:val="19"/>
                <w:szCs w:val="19"/>
                <w:color w:val="auto"/>
              </w:rPr>
            </w:pPr>
          </w:p>
        </w:tc>
        <w:tc>
          <w:tcPr>
            <w:tcW w:w="1300" w:type="dxa"/>
            <w:vAlign w:val="bottom"/>
            <w:tcBorders>
              <w:bottom w:val="single" w:sz="8" w:color="003595"/>
            </w:tcBorders>
            <w:shd w:val="clear" w:color="auto" w:fill="003595"/>
          </w:tcPr>
          <w:p>
            <w:pPr>
              <w:spacing w:after="0"/>
              <w:rPr>
                <w:sz w:val="19"/>
                <w:szCs w:val="19"/>
                <w:color w:val="auto"/>
              </w:rPr>
            </w:pPr>
          </w:p>
        </w:tc>
        <w:tc>
          <w:tcPr>
            <w:tcW w:w="1500" w:type="dxa"/>
            <w:vAlign w:val="bottom"/>
            <w:tcBorders>
              <w:bottom w:val="single" w:sz="8" w:color="003595"/>
            </w:tcBorders>
            <w:shd w:val="clear" w:color="auto" w:fill="003595"/>
          </w:tcPr>
          <w:p>
            <w:pPr>
              <w:spacing w:after="0"/>
              <w:rPr>
                <w:sz w:val="19"/>
                <w:szCs w:val="19"/>
                <w:color w:val="auto"/>
              </w:rPr>
            </w:pPr>
          </w:p>
        </w:tc>
        <w:tc>
          <w:tcPr>
            <w:tcW w:w="1380" w:type="dxa"/>
            <w:vAlign w:val="bottom"/>
            <w:tcBorders>
              <w:bottom w:val="single" w:sz="8" w:color="003595"/>
            </w:tcBorders>
            <w:shd w:val="clear" w:color="auto" w:fill="003595"/>
          </w:tcPr>
          <w:p>
            <w:pPr>
              <w:spacing w:after="0"/>
              <w:rPr>
                <w:sz w:val="19"/>
                <w:szCs w:val="19"/>
                <w:color w:val="auto"/>
              </w:rPr>
            </w:pPr>
          </w:p>
        </w:tc>
        <w:tc>
          <w:tcPr>
            <w:tcW w:w="1460" w:type="dxa"/>
            <w:vAlign w:val="bottom"/>
            <w:tcBorders>
              <w:bottom w:val="single" w:sz="8" w:color="003595"/>
            </w:tcBorders>
            <w:shd w:val="clear" w:color="auto" w:fill="003595"/>
          </w:tcPr>
          <w:p>
            <w:pPr>
              <w:spacing w:after="0"/>
              <w:rPr>
                <w:sz w:val="19"/>
                <w:szCs w:val="19"/>
                <w:color w:val="auto"/>
              </w:rPr>
            </w:pPr>
          </w:p>
        </w:tc>
        <w:tc>
          <w:tcPr>
            <w:tcW w:w="1560" w:type="dxa"/>
            <w:vAlign w:val="bottom"/>
            <w:tcBorders>
              <w:bottom w:val="single" w:sz="8" w:color="003595"/>
            </w:tcBorders>
            <w:shd w:val="clear" w:color="auto" w:fill="003595"/>
          </w:tcPr>
          <w:p>
            <w:pPr>
              <w:jc w:val="center"/>
              <w:ind w:right="19"/>
              <w:spacing w:after="0"/>
              <w:rPr>
                <w:sz w:val="20"/>
                <w:szCs w:val="20"/>
                <w:color w:val="auto"/>
              </w:rPr>
            </w:pPr>
            <w:r>
              <w:rPr>
                <w:rFonts w:ascii="Arial" w:cs="Arial" w:eastAsia="Arial" w:hAnsi="Arial"/>
                <w:sz w:val="16"/>
                <w:szCs w:val="16"/>
                <w:b w:val="1"/>
                <w:bCs w:val="1"/>
                <w:color w:val="FFFFFF"/>
              </w:rPr>
              <w:t>of Target)</w:t>
            </w:r>
          </w:p>
        </w:tc>
        <w:tc>
          <w:tcPr>
            <w:tcW w:w="1260" w:type="dxa"/>
            <w:vAlign w:val="bottom"/>
            <w:tcBorders>
              <w:bottom w:val="single" w:sz="8" w:color="003595"/>
            </w:tcBorders>
            <w:shd w:val="clear" w:color="auto" w:fill="003595"/>
          </w:tcPr>
          <w:p>
            <w:pPr>
              <w:spacing w:after="0"/>
              <w:rPr>
                <w:sz w:val="19"/>
                <w:szCs w:val="19"/>
                <w:color w:val="auto"/>
              </w:rPr>
            </w:pPr>
          </w:p>
        </w:tc>
      </w:tr>
      <w:tr>
        <w:trPr>
          <w:trHeight w:val="237"/>
        </w:trPr>
        <w:tc>
          <w:tcPr>
            <w:tcW w:w="164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Revenue</w:t>
            </w:r>
          </w:p>
        </w:tc>
        <w:tc>
          <w:tcPr>
            <w:tcW w:w="1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9"/>
              </w:rPr>
              <w:t>40%</w:t>
            </w:r>
          </w:p>
        </w:tc>
        <w:tc>
          <w:tcPr>
            <w:tcW w:w="13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$817.0 million</w:t>
            </w:r>
          </w:p>
        </w:tc>
        <w:tc>
          <w:tcPr>
            <w:tcW w:w="15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$860.0 million</w:t>
            </w:r>
          </w:p>
        </w:tc>
        <w:tc>
          <w:tcPr>
            <w:tcW w:w="1380" w:type="dxa"/>
            <w:vAlign w:val="bottom"/>
            <w:tcBorders>
              <w:bottom w:val="single" w:sz="8" w:color="003595"/>
            </w:tcBorders>
          </w:tcPr>
          <w:p>
            <w:pPr>
              <w:jc w:val="center"/>
              <w:ind w:right="19"/>
              <w:spacing w:after="0"/>
              <w:rPr>
                <w:sz w:val="20"/>
                <w:szCs w:val="20"/>
                <w:color w:val="auto"/>
              </w:rPr>
            </w:pPr>
            <w:r>
              <w:rPr>
                <w:rFonts w:ascii="Arial" w:cs="Arial" w:eastAsia="Arial" w:hAnsi="Arial"/>
                <w:sz w:val="16"/>
                <w:szCs w:val="16"/>
                <w:color w:val="auto"/>
              </w:rPr>
              <w:t>$903.0 million</w:t>
            </w:r>
          </w:p>
        </w:tc>
        <w:tc>
          <w:tcPr>
            <w:tcW w:w="14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$824.5 million</w:t>
            </w:r>
          </w:p>
        </w:tc>
        <w:tc>
          <w:tcPr>
            <w:tcW w:w="15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9"/>
              </w:rPr>
              <w:t>59%</w:t>
            </w:r>
          </w:p>
        </w:tc>
        <w:tc>
          <w:tcPr>
            <w:tcW w:w="1260" w:type="dxa"/>
            <w:vAlign w:val="bottom"/>
            <w:tcBorders>
              <w:bottom w:val="single" w:sz="8" w:color="003595"/>
            </w:tcBorders>
          </w:tcPr>
          <w:p>
            <w:pPr>
              <w:jc w:val="center"/>
              <w:ind w:right="39"/>
              <w:spacing w:after="0"/>
              <w:rPr>
                <w:sz w:val="20"/>
                <w:szCs w:val="20"/>
                <w:color w:val="auto"/>
              </w:rPr>
            </w:pPr>
            <w:r>
              <w:rPr>
                <w:rFonts w:ascii="Arial" w:cs="Arial" w:eastAsia="Arial" w:hAnsi="Arial"/>
                <w:sz w:val="16"/>
                <w:szCs w:val="16"/>
                <w:color w:val="auto"/>
              </w:rPr>
              <w:t>23.5%</w:t>
            </w:r>
          </w:p>
        </w:tc>
      </w:tr>
      <w:tr>
        <w:trPr>
          <w:trHeight w:val="188"/>
        </w:trPr>
        <w:tc>
          <w:tcPr>
            <w:tcW w:w="1640" w:type="dxa"/>
            <w:vAlign w:val="bottom"/>
          </w:tcPr>
          <w:p>
            <w:pPr>
              <w:ind w:left="20"/>
              <w:spacing w:after="0"/>
              <w:rPr>
                <w:sz w:val="20"/>
                <w:szCs w:val="20"/>
                <w:color w:val="auto"/>
              </w:rPr>
            </w:pPr>
            <w:r>
              <w:rPr>
                <w:rFonts w:ascii="Arial" w:cs="Arial" w:eastAsia="Arial" w:hAnsi="Arial"/>
                <w:sz w:val="16"/>
                <w:szCs w:val="16"/>
                <w:color w:val="auto"/>
              </w:rPr>
              <w:t>Adjusted  Operating</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30%</w:t>
            </w:r>
          </w:p>
        </w:tc>
        <w:tc>
          <w:tcPr>
            <w:tcW w:w="1300" w:type="dxa"/>
            <w:vAlign w:val="bottom"/>
          </w:tcPr>
          <w:p>
            <w:pPr>
              <w:jc w:val="center"/>
              <w:spacing w:after="0"/>
              <w:rPr>
                <w:sz w:val="20"/>
                <w:szCs w:val="20"/>
                <w:color w:val="auto"/>
              </w:rPr>
            </w:pPr>
            <w:r>
              <w:rPr>
                <w:rFonts w:ascii="Arial" w:cs="Arial" w:eastAsia="Arial" w:hAnsi="Arial"/>
                <w:sz w:val="16"/>
                <w:szCs w:val="16"/>
                <w:color w:val="auto"/>
              </w:rPr>
              <w:t>$2.6 million</w:t>
            </w:r>
          </w:p>
        </w:tc>
        <w:tc>
          <w:tcPr>
            <w:tcW w:w="1500" w:type="dxa"/>
            <w:vAlign w:val="bottom"/>
          </w:tcPr>
          <w:p>
            <w:pPr>
              <w:jc w:val="center"/>
              <w:spacing w:after="0"/>
              <w:rPr>
                <w:sz w:val="20"/>
                <w:szCs w:val="20"/>
                <w:color w:val="auto"/>
              </w:rPr>
            </w:pPr>
            <w:r>
              <w:rPr>
                <w:rFonts w:ascii="Arial" w:cs="Arial" w:eastAsia="Arial" w:hAnsi="Arial"/>
                <w:sz w:val="16"/>
                <w:szCs w:val="16"/>
                <w:color w:val="auto"/>
              </w:rPr>
              <w:t>$13.2 million</w:t>
            </w:r>
          </w:p>
        </w:tc>
        <w:tc>
          <w:tcPr>
            <w:tcW w:w="1380" w:type="dxa"/>
            <w:vAlign w:val="bottom"/>
          </w:tcPr>
          <w:p>
            <w:pPr>
              <w:jc w:val="center"/>
              <w:spacing w:after="0"/>
              <w:rPr>
                <w:sz w:val="20"/>
                <w:szCs w:val="20"/>
                <w:color w:val="auto"/>
              </w:rPr>
            </w:pPr>
            <w:r>
              <w:rPr>
                <w:rFonts w:ascii="Arial" w:cs="Arial" w:eastAsia="Arial" w:hAnsi="Arial"/>
                <w:sz w:val="16"/>
                <w:szCs w:val="16"/>
                <w:color w:val="auto"/>
              </w:rPr>
              <w:t>$30.1 million</w:t>
            </w:r>
          </w:p>
        </w:tc>
        <w:tc>
          <w:tcPr>
            <w:tcW w:w="1460" w:type="dxa"/>
            <w:vAlign w:val="bottom"/>
          </w:tcPr>
          <w:p>
            <w:pPr>
              <w:jc w:val="center"/>
              <w:spacing w:after="0"/>
              <w:rPr>
                <w:sz w:val="20"/>
                <w:szCs w:val="20"/>
                <w:color w:val="auto"/>
              </w:rPr>
            </w:pPr>
            <w:r>
              <w:rPr>
                <w:rFonts w:ascii="Arial" w:cs="Arial" w:eastAsia="Arial" w:hAnsi="Arial"/>
                <w:sz w:val="16"/>
                <w:szCs w:val="16"/>
                <w:color w:val="auto"/>
              </w:rPr>
              <w:t>$15.3 million</w:t>
            </w:r>
          </w:p>
        </w:tc>
        <w:tc>
          <w:tcPr>
            <w:tcW w:w="1560" w:type="dxa"/>
            <w:vAlign w:val="bottom"/>
          </w:tcPr>
          <w:p>
            <w:pPr>
              <w:jc w:val="center"/>
              <w:ind w:right="19"/>
              <w:spacing w:after="0"/>
              <w:rPr>
                <w:sz w:val="20"/>
                <w:szCs w:val="20"/>
                <w:color w:val="auto"/>
              </w:rPr>
            </w:pPr>
            <w:r>
              <w:rPr>
                <w:rFonts w:ascii="Arial" w:cs="Arial" w:eastAsia="Arial" w:hAnsi="Arial"/>
                <w:sz w:val="16"/>
                <w:szCs w:val="16"/>
                <w:color w:val="auto"/>
              </w:rPr>
              <w:t>106%</w:t>
            </w:r>
          </w:p>
        </w:tc>
        <w:tc>
          <w:tcPr>
            <w:tcW w:w="1260" w:type="dxa"/>
            <w:vAlign w:val="bottom"/>
          </w:tcPr>
          <w:p>
            <w:pPr>
              <w:jc w:val="center"/>
              <w:ind w:right="39"/>
              <w:spacing w:after="0"/>
              <w:rPr>
                <w:sz w:val="20"/>
                <w:szCs w:val="20"/>
                <w:color w:val="auto"/>
              </w:rPr>
            </w:pPr>
            <w:r>
              <w:rPr>
                <w:rFonts w:ascii="Arial" w:cs="Arial" w:eastAsia="Arial" w:hAnsi="Arial"/>
                <w:sz w:val="16"/>
                <w:szCs w:val="16"/>
                <w:color w:val="auto"/>
              </w:rPr>
              <w:t>31.9%</w:t>
            </w:r>
          </w:p>
        </w:tc>
      </w:tr>
      <w:tr>
        <w:trPr>
          <w:trHeight w:val="215"/>
        </w:trPr>
        <w:tc>
          <w:tcPr>
            <w:tcW w:w="1640" w:type="dxa"/>
            <w:vAlign w:val="bottom"/>
          </w:tcPr>
          <w:p>
            <w:pPr>
              <w:ind w:left="20"/>
              <w:spacing w:after="0"/>
              <w:rPr>
                <w:sz w:val="20"/>
                <w:szCs w:val="20"/>
                <w:color w:val="auto"/>
              </w:rPr>
            </w:pPr>
            <w:r>
              <w:rPr>
                <w:rFonts w:ascii="Arial" w:cs="Arial" w:eastAsia="Arial" w:hAnsi="Arial"/>
                <w:sz w:val="16"/>
                <w:szCs w:val="16"/>
                <w:color w:val="auto"/>
              </w:rPr>
              <w:t>Income</w:t>
            </w: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9"/>
        </w:trPr>
        <w:tc>
          <w:tcPr>
            <w:tcW w:w="1640" w:type="dxa"/>
            <w:vAlign w:val="bottom"/>
            <w:tcBorders>
              <w:bottom w:val="single" w:sz="8" w:color="003595"/>
            </w:tcBorders>
          </w:tcPr>
          <w:p>
            <w:pPr>
              <w:spacing w:after="0"/>
              <w:rPr>
                <w:sz w:val="2"/>
                <w:szCs w:val="2"/>
                <w:color w:val="auto"/>
              </w:rPr>
            </w:pPr>
          </w:p>
        </w:tc>
        <w:tc>
          <w:tcPr>
            <w:tcW w:w="1060" w:type="dxa"/>
            <w:vAlign w:val="bottom"/>
            <w:tcBorders>
              <w:bottom w:val="single" w:sz="8" w:color="003595"/>
            </w:tcBorders>
          </w:tcPr>
          <w:p>
            <w:pPr>
              <w:spacing w:after="0"/>
              <w:rPr>
                <w:sz w:val="2"/>
                <w:szCs w:val="2"/>
                <w:color w:val="auto"/>
              </w:rPr>
            </w:pPr>
          </w:p>
        </w:tc>
        <w:tc>
          <w:tcPr>
            <w:tcW w:w="1300" w:type="dxa"/>
            <w:vAlign w:val="bottom"/>
            <w:tcBorders>
              <w:bottom w:val="single" w:sz="8" w:color="003595"/>
            </w:tcBorders>
          </w:tcPr>
          <w:p>
            <w:pPr>
              <w:spacing w:after="0"/>
              <w:rPr>
                <w:sz w:val="2"/>
                <w:szCs w:val="2"/>
                <w:color w:val="auto"/>
              </w:rPr>
            </w:pPr>
          </w:p>
        </w:tc>
        <w:tc>
          <w:tcPr>
            <w:tcW w:w="1500" w:type="dxa"/>
            <w:vAlign w:val="bottom"/>
            <w:tcBorders>
              <w:bottom w:val="single" w:sz="8" w:color="003595"/>
            </w:tcBorders>
          </w:tcPr>
          <w:p>
            <w:pPr>
              <w:spacing w:after="0"/>
              <w:rPr>
                <w:sz w:val="2"/>
                <w:szCs w:val="2"/>
                <w:color w:val="auto"/>
              </w:rPr>
            </w:pPr>
          </w:p>
        </w:tc>
        <w:tc>
          <w:tcPr>
            <w:tcW w:w="1380" w:type="dxa"/>
            <w:vAlign w:val="bottom"/>
            <w:tcBorders>
              <w:bottom w:val="single" w:sz="8" w:color="003595"/>
            </w:tcBorders>
          </w:tcPr>
          <w:p>
            <w:pPr>
              <w:spacing w:after="0"/>
              <w:rPr>
                <w:sz w:val="2"/>
                <w:szCs w:val="2"/>
                <w:color w:val="auto"/>
              </w:rPr>
            </w:pPr>
          </w:p>
        </w:tc>
        <w:tc>
          <w:tcPr>
            <w:tcW w:w="1460" w:type="dxa"/>
            <w:vAlign w:val="bottom"/>
            <w:tcBorders>
              <w:bottom w:val="single" w:sz="8" w:color="003595"/>
            </w:tcBorders>
          </w:tcPr>
          <w:p>
            <w:pPr>
              <w:spacing w:after="0"/>
              <w:rPr>
                <w:sz w:val="2"/>
                <w:szCs w:val="2"/>
                <w:color w:val="auto"/>
              </w:rPr>
            </w:pPr>
          </w:p>
        </w:tc>
        <w:tc>
          <w:tcPr>
            <w:tcW w:w="1560" w:type="dxa"/>
            <w:vAlign w:val="bottom"/>
            <w:tcBorders>
              <w:bottom w:val="single" w:sz="8" w:color="003595"/>
            </w:tcBorders>
          </w:tcPr>
          <w:p>
            <w:pPr>
              <w:spacing w:after="0"/>
              <w:rPr>
                <w:sz w:val="2"/>
                <w:szCs w:val="2"/>
                <w:color w:val="auto"/>
              </w:rPr>
            </w:pPr>
          </w:p>
        </w:tc>
        <w:tc>
          <w:tcPr>
            <w:tcW w:w="1260" w:type="dxa"/>
            <w:vAlign w:val="bottom"/>
            <w:tcBorders>
              <w:bottom w:val="single" w:sz="8" w:color="003595"/>
            </w:tcBorders>
          </w:tcPr>
          <w:p>
            <w:pPr>
              <w:spacing w:after="0"/>
              <w:rPr>
                <w:sz w:val="2"/>
                <w:szCs w:val="2"/>
                <w:color w:val="auto"/>
              </w:rPr>
            </w:pPr>
          </w:p>
        </w:tc>
      </w:tr>
      <w:tr>
        <w:trPr>
          <w:trHeight w:val="182"/>
        </w:trPr>
        <w:tc>
          <w:tcPr>
            <w:tcW w:w="1640" w:type="dxa"/>
            <w:vAlign w:val="bottom"/>
          </w:tcPr>
          <w:p>
            <w:pPr>
              <w:ind w:left="20"/>
              <w:spacing w:after="0" w:line="182" w:lineRule="exact"/>
              <w:rPr>
                <w:sz w:val="20"/>
                <w:szCs w:val="20"/>
                <w:color w:val="auto"/>
              </w:rPr>
            </w:pPr>
            <w:r>
              <w:rPr>
                <w:rFonts w:ascii="Arial" w:cs="Arial" w:eastAsia="Arial" w:hAnsi="Arial"/>
                <w:sz w:val="16"/>
                <w:szCs w:val="16"/>
                <w:color w:val="auto"/>
              </w:rPr>
              <w:t>Employee</w:t>
            </w:r>
          </w:p>
        </w:tc>
        <w:tc>
          <w:tcPr>
            <w:tcW w:w="1060" w:type="dxa"/>
            <w:vAlign w:val="bottom"/>
          </w:tcPr>
          <w:p>
            <w:pPr>
              <w:jc w:val="center"/>
              <w:spacing w:after="0" w:line="182" w:lineRule="exact"/>
              <w:rPr>
                <w:sz w:val="20"/>
                <w:szCs w:val="20"/>
                <w:color w:val="auto"/>
              </w:rPr>
            </w:pPr>
            <w:r>
              <w:rPr>
                <w:rFonts w:ascii="Arial" w:cs="Arial" w:eastAsia="Arial" w:hAnsi="Arial"/>
                <w:sz w:val="16"/>
                <w:szCs w:val="16"/>
                <w:color w:val="auto"/>
              </w:rPr>
              <w:t>5%</w:t>
            </w:r>
          </w:p>
        </w:tc>
        <w:tc>
          <w:tcPr>
            <w:tcW w:w="1300" w:type="dxa"/>
            <w:vAlign w:val="bottom"/>
          </w:tcPr>
          <w:p>
            <w:pPr>
              <w:jc w:val="center"/>
              <w:spacing w:after="0" w:line="182" w:lineRule="exact"/>
              <w:rPr>
                <w:sz w:val="20"/>
                <w:szCs w:val="20"/>
                <w:color w:val="auto"/>
              </w:rPr>
            </w:pPr>
            <w:r>
              <w:rPr>
                <w:rFonts w:ascii="Arial" w:cs="Arial" w:eastAsia="Arial" w:hAnsi="Arial"/>
                <w:sz w:val="16"/>
                <w:szCs w:val="16"/>
                <w:color w:val="auto"/>
              </w:rPr>
              <w:t>Median: 54th</w:t>
            </w:r>
          </w:p>
        </w:tc>
        <w:tc>
          <w:tcPr>
            <w:tcW w:w="1500" w:type="dxa"/>
            <w:vAlign w:val="bottom"/>
          </w:tcPr>
          <w:p>
            <w:pPr>
              <w:jc w:val="center"/>
              <w:spacing w:after="0" w:line="182" w:lineRule="exact"/>
              <w:rPr>
                <w:sz w:val="20"/>
                <w:szCs w:val="20"/>
                <w:color w:val="auto"/>
              </w:rPr>
            </w:pPr>
            <w:r>
              <w:rPr>
                <w:rFonts w:ascii="Arial" w:cs="Arial" w:eastAsia="Arial" w:hAnsi="Arial"/>
                <w:sz w:val="16"/>
                <w:szCs w:val="16"/>
                <w:color w:val="auto"/>
                <w:w w:val="99"/>
              </w:rPr>
              <w:t>Top Quartile: 77th</w:t>
            </w:r>
          </w:p>
        </w:tc>
        <w:tc>
          <w:tcPr>
            <w:tcW w:w="1380" w:type="dxa"/>
            <w:vAlign w:val="bottom"/>
          </w:tcPr>
          <w:p>
            <w:pPr>
              <w:jc w:val="center"/>
              <w:spacing w:after="0" w:line="182" w:lineRule="exact"/>
              <w:rPr>
                <w:sz w:val="20"/>
                <w:szCs w:val="20"/>
                <w:color w:val="auto"/>
              </w:rPr>
            </w:pPr>
            <w:r>
              <w:rPr>
                <w:rFonts w:ascii="Arial" w:cs="Arial" w:eastAsia="Arial" w:hAnsi="Arial"/>
                <w:sz w:val="16"/>
                <w:szCs w:val="16"/>
                <w:color w:val="auto"/>
              </w:rPr>
              <w:t>Top Decile: 91st</w:t>
            </w:r>
          </w:p>
        </w:tc>
        <w:tc>
          <w:tcPr>
            <w:tcW w:w="1460" w:type="dxa"/>
            <w:vAlign w:val="bottom"/>
          </w:tcPr>
          <w:p>
            <w:pPr>
              <w:jc w:val="center"/>
              <w:spacing w:after="0" w:line="182" w:lineRule="exact"/>
              <w:rPr>
                <w:sz w:val="20"/>
                <w:szCs w:val="20"/>
                <w:color w:val="auto"/>
              </w:rPr>
            </w:pPr>
            <w:r>
              <w:rPr>
                <w:rFonts w:ascii="Arial" w:cs="Arial" w:eastAsia="Arial" w:hAnsi="Arial"/>
                <w:sz w:val="16"/>
                <w:szCs w:val="16"/>
                <w:color w:val="auto"/>
              </w:rPr>
              <w:t>84th Percentile</w:t>
            </w:r>
          </w:p>
        </w:tc>
        <w:tc>
          <w:tcPr>
            <w:tcW w:w="1560" w:type="dxa"/>
            <w:vAlign w:val="bottom"/>
          </w:tcPr>
          <w:p>
            <w:pPr>
              <w:jc w:val="center"/>
              <w:ind w:right="19"/>
              <w:spacing w:after="0" w:line="182" w:lineRule="exact"/>
              <w:rPr>
                <w:sz w:val="20"/>
                <w:szCs w:val="20"/>
                <w:color w:val="auto"/>
              </w:rPr>
            </w:pPr>
            <w:r>
              <w:rPr>
                <w:rFonts w:ascii="Arial" w:cs="Arial" w:eastAsia="Arial" w:hAnsi="Arial"/>
                <w:sz w:val="16"/>
                <w:szCs w:val="16"/>
                <w:color w:val="auto"/>
              </w:rPr>
              <w:t>125%</w:t>
            </w:r>
          </w:p>
        </w:tc>
        <w:tc>
          <w:tcPr>
            <w:tcW w:w="1260" w:type="dxa"/>
            <w:vAlign w:val="bottom"/>
          </w:tcPr>
          <w:p>
            <w:pPr>
              <w:jc w:val="center"/>
              <w:ind w:right="59"/>
              <w:spacing w:after="0" w:line="182" w:lineRule="exact"/>
              <w:rPr>
                <w:sz w:val="20"/>
                <w:szCs w:val="20"/>
                <w:color w:val="auto"/>
              </w:rPr>
            </w:pPr>
            <w:r>
              <w:rPr>
                <w:rFonts w:ascii="Arial" w:cs="Arial" w:eastAsia="Arial" w:hAnsi="Arial"/>
                <w:sz w:val="16"/>
                <w:szCs w:val="16"/>
                <w:color w:val="auto"/>
                <w:w w:val="98"/>
              </w:rPr>
              <w:t>6.3%</w:t>
            </w:r>
          </w:p>
        </w:tc>
      </w:tr>
      <w:tr>
        <w:trPr>
          <w:trHeight w:val="251"/>
        </w:trPr>
        <w:tc>
          <w:tcPr>
            <w:tcW w:w="164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Engagement</w:t>
            </w:r>
          </w:p>
        </w:tc>
        <w:tc>
          <w:tcPr>
            <w:tcW w:w="1060" w:type="dxa"/>
            <w:vAlign w:val="bottom"/>
            <w:tcBorders>
              <w:bottom w:val="single" w:sz="8" w:color="003595"/>
            </w:tcBorders>
          </w:tcPr>
          <w:p>
            <w:pPr>
              <w:spacing w:after="0"/>
              <w:rPr>
                <w:sz w:val="21"/>
                <w:szCs w:val="21"/>
                <w:color w:val="auto"/>
              </w:rPr>
            </w:pPr>
          </w:p>
        </w:tc>
        <w:tc>
          <w:tcPr>
            <w:tcW w:w="13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percentile</w:t>
            </w:r>
          </w:p>
        </w:tc>
        <w:tc>
          <w:tcPr>
            <w:tcW w:w="15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percentile</w:t>
            </w:r>
          </w:p>
        </w:tc>
        <w:tc>
          <w:tcPr>
            <w:tcW w:w="13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percentile</w:t>
            </w:r>
          </w:p>
        </w:tc>
        <w:tc>
          <w:tcPr>
            <w:tcW w:w="1460" w:type="dxa"/>
            <w:vAlign w:val="bottom"/>
            <w:tcBorders>
              <w:bottom w:val="single" w:sz="8" w:color="003595"/>
            </w:tcBorders>
          </w:tcPr>
          <w:p>
            <w:pPr>
              <w:spacing w:after="0"/>
              <w:rPr>
                <w:sz w:val="21"/>
                <w:szCs w:val="21"/>
                <w:color w:val="auto"/>
              </w:rPr>
            </w:pPr>
          </w:p>
        </w:tc>
        <w:tc>
          <w:tcPr>
            <w:tcW w:w="1560" w:type="dxa"/>
            <w:vAlign w:val="bottom"/>
            <w:tcBorders>
              <w:bottom w:val="single" w:sz="8" w:color="003595"/>
            </w:tcBorders>
          </w:tcPr>
          <w:p>
            <w:pPr>
              <w:spacing w:after="0"/>
              <w:rPr>
                <w:sz w:val="21"/>
                <w:szCs w:val="21"/>
                <w:color w:val="auto"/>
              </w:rPr>
            </w:pPr>
          </w:p>
        </w:tc>
        <w:tc>
          <w:tcPr>
            <w:tcW w:w="1260" w:type="dxa"/>
            <w:vAlign w:val="bottom"/>
            <w:tcBorders>
              <w:bottom w:val="single" w:sz="8" w:color="003595"/>
            </w:tcBorders>
          </w:tcPr>
          <w:p>
            <w:pPr>
              <w:spacing w:after="0"/>
              <w:rPr>
                <w:sz w:val="21"/>
                <w:szCs w:val="21"/>
                <w:color w:val="auto"/>
              </w:rPr>
            </w:pPr>
          </w:p>
        </w:tc>
      </w:tr>
      <w:tr>
        <w:trPr>
          <w:trHeight w:val="215"/>
        </w:trPr>
        <w:tc>
          <w:tcPr>
            <w:tcW w:w="1640" w:type="dxa"/>
            <w:vAlign w:val="bottom"/>
          </w:tcPr>
          <w:p>
            <w:pPr>
              <w:ind w:left="20"/>
              <w:spacing w:after="0"/>
              <w:rPr>
                <w:sz w:val="20"/>
                <w:szCs w:val="20"/>
                <w:color w:val="auto"/>
              </w:rPr>
            </w:pPr>
            <w:r>
              <w:rPr>
                <w:rFonts w:ascii="Arial" w:cs="Arial" w:eastAsia="Arial" w:hAnsi="Arial"/>
                <w:sz w:val="16"/>
                <w:szCs w:val="16"/>
                <w:color w:val="auto"/>
              </w:rPr>
              <w:t>Customer NPS</w:t>
            </w:r>
          </w:p>
        </w:tc>
        <w:tc>
          <w:tcPr>
            <w:tcW w:w="1060" w:type="dxa"/>
            <w:vAlign w:val="bottom"/>
          </w:tcPr>
          <w:p>
            <w:pPr>
              <w:jc w:val="center"/>
              <w:spacing w:after="0"/>
              <w:rPr>
                <w:sz w:val="20"/>
                <w:szCs w:val="20"/>
                <w:color w:val="auto"/>
              </w:rPr>
            </w:pPr>
            <w:r>
              <w:rPr>
                <w:rFonts w:ascii="Arial" w:cs="Arial" w:eastAsia="Arial" w:hAnsi="Arial"/>
                <w:sz w:val="16"/>
                <w:szCs w:val="16"/>
                <w:color w:val="auto"/>
              </w:rPr>
              <w:t>5%</w:t>
            </w:r>
          </w:p>
        </w:tc>
        <w:tc>
          <w:tcPr>
            <w:tcW w:w="1300" w:type="dxa"/>
            <w:vAlign w:val="bottom"/>
          </w:tcPr>
          <w:p>
            <w:pPr>
              <w:jc w:val="center"/>
              <w:spacing w:after="0"/>
              <w:rPr>
                <w:sz w:val="20"/>
                <w:szCs w:val="20"/>
                <w:color w:val="auto"/>
              </w:rPr>
            </w:pPr>
            <w:r>
              <w:rPr>
                <w:rFonts w:ascii="Arial" w:cs="Arial" w:eastAsia="Arial" w:hAnsi="Arial"/>
                <w:sz w:val="16"/>
                <w:szCs w:val="16"/>
                <w:color w:val="auto"/>
              </w:rPr>
              <w:t>Median: 60th</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Top Quartile: 65th</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Top Decile: 75th</w:t>
            </w:r>
          </w:p>
        </w:tc>
        <w:tc>
          <w:tcPr>
            <w:tcW w:w="1460" w:type="dxa"/>
            <w:vAlign w:val="bottom"/>
          </w:tcPr>
          <w:p>
            <w:pPr>
              <w:jc w:val="center"/>
              <w:spacing w:after="0"/>
              <w:rPr>
                <w:sz w:val="20"/>
                <w:szCs w:val="20"/>
                <w:color w:val="auto"/>
              </w:rPr>
            </w:pPr>
            <w:r>
              <w:rPr>
                <w:rFonts w:ascii="Arial" w:cs="Arial" w:eastAsia="Arial" w:hAnsi="Arial"/>
                <w:sz w:val="16"/>
                <w:szCs w:val="16"/>
                <w:color w:val="auto"/>
              </w:rPr>
              <w:t>72.5th Percentile</w:t>
            </w:r>
          </w:p>
        </w:tc>
        <w:tc>
          <w:tcPr>
            <w:tcW w:w="1560" w:type="dxa"/>
            <w:vAlign w:val="bottom"/>
          </w:tcPr>
          <w:p>
            <w:pPr>
              <w:jc w:val="center"/>
              <w:ind w:right="19"/>
              <w:spacing w:after="0"/>
              <w:rPr>
                <w:sz w:val="20"/>
                <w:szCs w:val="20"/>
                <w:color w:val="auto"/>
              </w:rPr>
            </w:pPr>
            <w:r>
              <w:rPr>
                <w:rFonts w:ascii="Arial" w:cs="Arial" w:eastAsia="Arial" w:hAnsi="Arial"/>
                <w:sz w:val="16"/>
                <w:szCs w:val="16"/>
                <w:color w:val="auto"/>
              </w:rPr>
              <w:t>138%</w:t>
            </w:r>
          </w:p>
        </w:tc>
        <w:tc>
          <w:tcPr>
            <w:tcW w:w="1260" w:type="dxa"/>
            <w:vAlign w:val="bottom"/>
          </w:tcPr>
          <w:p>
            <w:pPr>
              <w:jc w:val="center"/>
              <w:ind w:right="59"/>
              <w:spacing w:after="0"/>
              <w:rPr>
                <w:sz w:val="20"/>
                <w:szCs w:val="20"/>
                <w:color w:val="auto"/>
              </w:rPr>
            </w:pPr>
            <w:r>
              <w:rPr>
                <w:rFonts w:ascii="Arial" w:cs="Arial" w:eastAsia="Arial" w:hAnsi="Arial"/>
                <w:sz w:val="16"/>
                <w:szCs w:val="16"/>
                <w:color w:val="auto"/>
                <w:w w:val="98"/>
              </w:rPr>
              <w:t>6.9%</w:t>
            </w:r>
          </w:p>
        </w:tc>
      </w:tr>
      <w:tr>
        <w:trPr>
          <w:trHeight w:val="224"/>
        </w:trPr>
        <w:tc>
          <w:tcPr>
            <w:tcW w:w="1640" w:type="dxa"/>
            <w:vAlign w:val="bottom"/>
            <w:tcBorders>
              <w:bottom w:val="single" w:sz="8" w:color="003595"/>
            </w:tcBorders>
          </w:tcPr>
          <w:p>
            <w:pPr>
              <w:spacing w:after="0"/>
              <w:rPr>
                <w:sz w:val="19"/>
                <w:szCs w:val="19"/>
                <w:color w:val="auto"/>
              </w:rPr>
            </w:pPr>
          </w:p>
        </w:tc>
        <w:tc>
          <w:tcPr>
            <w:tcW w:w="1060" w:type="dxa"/>
            <w:vAlign w:val="bottom"/>
            <w:tcBorders>
              <w:bottom w:val="single" w:sz="8" w:color="003595"/>
            </w:tcBorders>
          </w:tcPr>
          <w:p>
            <w:pPr>
              <w:spacing w:after="0"/>
              <w:rPr>
                <w:sz w:val="19"/>
                <w:szCs w:val="19"/>
                <w:color w:val="auto"/>
              </w:rPr>
            </w:pPr>
          </w:p>
        </w:tc>
        <w:tc>
          <w:tcPr>
            <w:tcW w:w="13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percentile</w:t>
            </w:r>
          </w:p>
        </w:tc>
        <w:tc>
          <w:tcPr>
            <w:tcW w:w="15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percentile</w:t>
            </w:r>
          </w:p>
        </w:tc>
        <w:tc>
          <w:tcPr>
            <w:tcW w:w="13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percentile</w:t>
            </w:r>
          </w:p>
        </w:tc>
        <w:tc>
          <w:tcPr>
            <w:tcW w:w="1460" w:type="dxa"/>
            <w:vAlign w:val="bottom"/>
            <w:tcBorders>
              <w:bottom w:val="single" w:sz="8" w:color="003595"/>
            </w:tcBorders>
          </w:tcPr>
          <w:p>
            <w:pPr>
              <w:spacing w:after="0"/>
              <w:rPr>
                <w:sz w:val="19"/>
                <w:szCs w:val="19"/>
                <w:color w:val="auto"/>
              </w:rPr>
            </w:pPr>
          </w:p>
        </w:tc>
        <w:tc>
          <w:tcPr>
            <w:tcW w:w="1560" w:type="dxa"/>
            <w:vAlign w:val="bottom"/>
            <w:tcBorders>
              <w:bottom w:val="single" w:sz="8" w:color="003595"/>
            </w:tcBorders>
          </w:tcPr>
          <w:p>
            <w:pPr>
              <w:spacing w:after="0"/>
              <w:rPr>
                <w:sz w:val="19"/>
                <w:szCs w:val="19"/>
                <w:color w:val="auto"/>
              </w:rPr>
            </w:pPr>
          </w:p>
        </w:tc>
        <w:tc>
          <w:tcPr>
            <w:tcW w:w="1260" w:type="dxa"/>
            <w:vAlign w:val="bottom"/>
            <w:tcBorders>
              <w:bottom w:val="single" w:sz="8" w:color="003595"/>
            </w:tcBorders>
          </w:tcPr>
          <w:p>
            <w:pPr>
              <w:spacing w:after="0"/>
              <w:rPr>
                <w:sz w:val="19"/>
                <w:szCs w:val="19"/>
                <w:color w:val="auto"/>
              </w:rPr>
            </w:pPr>
          </w:p>
        </w:tc>
      </w:tr>
      <w:tr>
        <w:trPr>
          <w:trHeight w:val="237"/>
        </w:trPr>
        <w:tc>
          <w:tcPr>
            <w:tcW w:w="1640" w:type="dxa"/>
            <w:vAlign w:val="bottom"/>
            <w:tcBorders>
              <w:bottom w:val="single" w:sz="8" w:color="003595"/>
            </w:tcBorders>
          </w:tcPr>
          <w:p>
            <w:pPr>
              <w:ind w:left="62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003595"/>
            </w:tcBorders>
          </w:tcPr>
          <w:p>
            <w:pPr>
              <w:spacing w:after="0"/>
              <w:rPr>
                <w:sz w:val="20"/>
                <w:szCs w:val="20"/>
                <w:color w:val="auto"/>
              </w:rPr>
            </w:pPr>
          </w:p>
        </w:tc>
        <w:tc>
          <w:tcPr>
            <w:tcW w:w="1300" w:type="dxa"/>
            <w:vAlign w:val="bottom"/>
            <w:tcBorders>
              <w:bottom w:val="single" w:sz="8" w:color="003595"/>
            </w:tcBorders>
          </w:tcPr>
          <w:p>
            <w:pPr>
              <w:spacing w:after="0"/>
              <w:rPr>
                <w:sz w:val="20"/>
                <w:szCs w:val="20"/>
                <w:color w:val="auto"/>
              </w:rPr>
            </w:pPr>
          </w:p>
        </w:tc>
        <w:tc>
          <w:tcPr>
            <w:tcW w:w="1500" w:type="dxa"/>
            <w:vAlign w:val="bottom"/>
            <w:tcBorders>
              <w:bottom w:val="single" w:sz="8" w:color="003595"/>
            </w:tcBorders>
          </w:tcPr>
          <w:p>
            <w:pPr>
              <w:spacing w:after="0"/>
              <w:rPr>
                <w:sz w:val="20"/>
                <w:szCs w:val="20"/>
                <w:color w:val="auto"/>
              </w:rPr>
            </w:pPr>
          </w:p>
        </w:tc>
        <w:tc>
          <w:tcPr>
            <w:tcW w:w="1380" w:type="dxa"/>
            <w:vAlign w:val="bottom"/>
            <w:tcBorders>
              <w:bottom w:val="single" w:sz="8" w:color="003595"/>
            </w:tcBorders>
          </w:tcPr>
          <w:p>
            <w:pPr>
              <w:spacing w:after="0"/>
              <w:rPr>
                <w:sz w:val="20"/>
                <w:szCs w:val="20"/>
                <w:color w:val="auto"/>
              </w:rPr>
            </w:pPr>
          </w:p>
        </w:tc>
        <w:tc>
          <w:tcPr>
            <w:tcW w:w="1460" w:type="dxa"/>
            <w:vAlign w:val="bottom"/>
            <w:tcBorders>
              <w:bottom w:val="single" w:sz="8" w:color="003595"/>
            </w:tcBorders>
          </w:tcPr>
          <w:p>
            <w:pPr>
              <w:spacing w:after="0"/>
              <w:rPr>
                <w:sz w:val="20"/>
                <w:szCs w:val="20"/>
                <w:color w:val="auto"/>
              </w:rPr>
            </w:pPr>
          </w:p>
        </w:tc>
        <w:tc>
          <w:tcPr>
            <w:tcW w:w="1560" w:type="dxa"/>
            <w:vAlign w:val="bottom"/>
            <w:tcBorders>
              <w:bottom w:val="single" w:sz="8" w:color="003595"/>
            </w:tcBorders>
          </w:tcPr>
          <w:p>
            <w:pPr>
              <w:spacing w:after="0"/>
              <w:rPr>
                <w:sz w:val="20"/>
                <w:szCs w:val="20"/>
                <w:color w:val="auto"/>
              </w:rPr>
            </w:pPr>
          </w:p>
        </w:tc>
        <w:tc>
          <w:tcPr>
            <w:tcW w:w="1260" w:type="dxa"/>
            <w:vAlign w:val="bottom"/>
            <w:tcBorders>
              <w:bottom w:val="single" w:sz="8" w:color="003595"/>
            </w:tcBorders>
          </w:tcPr>
          <w:p>
            <w:pPr>
              <w:jc w:val="center"/>
              <w:ind w:right="39"/>
              <w:spacing w:after="0"/>
              <w:rPr>
                <w:sz w:val="20"/>
                <w:szCs w:val="20"/>
                <w:color w:val="auto"/>
              </w:rPr>
            </w:pPr>
            <w:r>
              <w:rPr>
                <w:rFonts w:ascii="Arial" w:cs="Arial" w:eastAsia="Arial" w:hAnsi="Arial"/>
                <w:sz w:val="16"/>
                <w:szCs w:val="16"/>
                <w:color w:val="auto"/>
              </w:rPr>
              <w:t>68.5%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i w:val="1"/>
          <w:iCs w:val="1"/>
          <w:u w:val="single" w:color="auto"/>
          <w:color w:val="003595"/>
        </w:rPr>
        <w:t>Individual Strategic Goals</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individual strategic goals for each executive officer for 2025 consist of individual objectives tailored to each executive. The individual strategic goals for our NEOs who remain employed by us for 2025 and their achievement of those individual strategic goals during 2025 are summarized in the table below. The NEOs' performance on their individual strategic goals and associated payout percentages are also noted in the table below.</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261"/>
        </w:trPr>
        <w:tc>
          <w:tcPr>
            <w:tcW w:w="2340" w:type="dxa"/>
            <w:vAlign w:val="bottom"/>
            <w:tcBorders>
              <w:top w:val="single" w:sz="8" w:color="003595"/>
              <w:bottom w:val="single" w:sz="8" w:color="003595"/>
            </w:tcBorders>
            <w:shd w:val="clear" w:color="auto" w:fill="003595"/>
          </w:tcPr>
          <w:p>
            <w:pPr>
              <w:ind w:left="60"/>
              <w:spacing w:after="0"/>
              <w:rPr>
                <w:sz w:val="20"/>
                <w:szCs w:val="20"/>
                <w:color w:val="auto"/>
              </w:rPr>
            </w:pPr>
            <w:r>
              <w:rPr>
                <w:rFonts w:ascii="Arial" w:cs="Arial" w:eastAsia="Arial" w:hAnsi="Arial"/>
                <w:sz w:val="15"/>
                <w:szCs w:val="15"/>
                <w:b w:val="1"/>
                <w:bCs w:val="1"/>
                <w:color w:val="FFFFFF"/>
              </w:rPr>
              <w:t>Named Executive Officer</w:t>
            </w:r>
          </w:p>
        </w:tc>
        <w:tc>
          <w:tcPr>
            <w:tcW w:w="2660" w:type="dxa"/>
            <w:vAlign w:val="bottom"/>
            <w:tcBorders>
              <w:top w:val="single" w:sz="8" w:color="003595"/>
              <w:bottom w:val="single" w:sz="8" w:color="003595"/>
              <w:right w:val="single" w:sz="8" w:color="BBBBBC"/>
            </w:tcBorders>
            <w:shd w:val="clear" w:color="auto" w:fill="003595"/>
          </w:tcPr>
          <w:p>
            <w:pPr>
              <w:ind w:left="40"/>
              <w:spacing w:after="0"/>
              <w:rPr>
                <w:sz w:val="20"/>
                <w:szCs w:val="20"/>
                <w:color w:val="auto"/>
              </w:rPr>
            </w:pPr>
            <w:r>
              <w:rPr>
                <w:rFonts w:ascii="Arial" w:cs="Arial" w:eastAsia="Arial" w:hAnsi="Arial"/>
                <w:sz w:val="15"/>
                <w:szCs w:val="15"/>
                <w:b w:val="1"/>
                <w:bCs w:val="1"/>
                <w:color w:val="FFFFFF"/>
              </w:rPr>
              <w:t>Individual Strategic Goals For 2025</w:t>
            </w:r>
          </w:p>
        </w:tc>
        <w:tc>
          <w:tcPr>
            <w:tcW w:w="2660" w:type="dxa"/>
            <w:vAlign w:val="bottom"/>
            <w:tcBorders>
              <w:top w:val="single" w:sz="8" w:color="003595"/>
              <w:bottom w:val="single" w:sz="8" w:color="003595"/>
              <w:right w:val="single" w:sz="8" w:color="003595"/>
            </w:tcBorders>
            <w:shd w:val="clear" w:color="auto" w:fill="003595"/>
          </w:tcPr>
          <w:p>
            <w:pPr>
              <w:ind w:left="800"/>
              <w:spacing w:after="0"/>
              <w:rPr>
                <w:sz w:val="20"/>
                <w:szCs w:val="20"/>
                <w:color w:val="auto"/>
              </w:rPr>
            </w:pPr>
            <w:r>
              <w:rPr>
                <w:rFonts w:ascii="Arial" w:cs="Arial" w:eastAsia="Arial" w:hAnsi="Arial"/>
                <w:sz w:val="15"/>
                <w:szCs w:val="15"/>
                <w:b w:val="1"/>
                <w:bCs w:val="1"/>
                <w:color w:val="FFFFFF"/>
              </w:rPr>
              <w:t>Achievements</w:t>
            </w:r>
          </w:p>
        </w:tc>
        <w:tc>
          <w:tcPr>
            <w:tcW w:w="1320" w:type="dxa"/>
            <w:vAlign w:val="bottom"/>
            <w:tcBorders>
              <w:top w:val="single" w:sz="8" w:color="003595"/>
              <w:bottom w:val="single" w:sz="8" w:color="003595"/>
              <w:right w:val="single" w:sz="8" w:color="003595"/>
            </w:tcBorders>
            <w:shd w:val="clear" w:color="auto" w:fill="003595"/>
          </w:tcPr>
          <w:p>
            <w:pPr>
              <w:ind w:left="280"/>
              <w:spacing w:after="0"/>
              <w:rPr>
                <w:sz w:val="20"/>
                <w:szCs w:val="20"/>
                <w:color w:val="auto"/>
              </w:rPr>
            </w:pPr>
            <w:r>
              <w:rPr>
                <w:rFonts w:ascii="Arial" w:cs="Arial" w:eastAsia="Arial" w:hAnsi="Arial"/>
                <w:sz w:val="15"/>
                <w:szCs w:val="15"/>
                <w:b w:val="1"/>
                <w:bCs w:val="1"/>
                <w:color w:val="FFFFFF"/>
              </w:rPr>
              <w:t>Score (%)</w:t>
            </w:r>
          </w:p>
        </w:tc>
        <w:tc>
          <w:tcPr>
            <w:tcW w:w="1360" w:type="dxa"/>
            <w:vAlign w:val="bottom"/>
            <w:tcBorders>
              <w:top w:val="single" w:sz="8" w:color="003595"/>
              <w:bottom w:val="single" w:sz="8" w:color="003595"/>
            </w:tcBorders>
            <w:shd w:val="clear" w:color="auto" w:fill="003595"/>
          </w:tcPr>
          <w:p>
            <w:pPr>
              <w:jc w:val="center"/>
              <w:spacing w:after="0"/>
              <w:rPr>
                <w:sz w:val="20"/>
                <w:szCs w:val="20"/>
                <w:color w:val="auto"/>
              </w:rPr>
            </w:pPr>
            <w:r>
              <w:rPr>
                <w:rFonts w:ascii="Arial" w:cs="Arial" w:eastAsia="Arial" w:hAnsi="Arial"/>
                <w:sz w:val="15"/>
                <w:szCs w:val="15"/>
                <w:b w:val="1"/>
                <w:bCs w:val="1"/>
                <w:color w:val="FFFFFF"/>
              </w:rPr>
              <w:t>Payout %</w:t>
            </w:r>
          </w:p>
        </w:tc>
      </w:tr>
      <w:tr>
        <w:trPr>
          <w:trHeight w:val="187"/>
        </w:trPr>
        <w:tc>
          <w:tcPr>
            <w:tcW w:w="2340" w:type="dxa"/>
            <w:vAlign w:val="bottom"/>
            <w:tcBorders>
              <w:top w:val="single" w:sz="8" w:color="003595"/>
            </w:tcBorders>
          </w:tcPr>
          <w:p>
            <w:pPr>
              <w:ind w:left="20"/>
              <w:spacing w:after="0"/>
              <w:rPr>
                <w:sz w:val="20"/>
                <w:szCs w:val="20"/>
                <w:color w:val="auto"/>
              </w:rPr>
            </w:pPr>
            <w:r>
              <w:rPr>
                <w:rFonts w:ascii="Arial" w:cs="Arial" w:eastAsia="Arial" w:hAnsi="Arial"/>
                <w:sz w:val="16"/>
                <w:szCs w:val="16"/>
                <w:color w:val="auto"/>
              </w:rPr>
              <w:t>Samraat S. Raha</w:t>
            </w:r>
          </w:p>
        </w:tc>
        <w:tc>
          <w:tcPr>
            <w:tcW w:w="2660" w:type="dxa"/>
            <w:vAlign w:val="bottom"/>
            <w:tcBorders>
              <w:top w:val="single" w:sz="8" w:color="003595"/>
              <w:right w:val="single" w:sz="8" w:color="BBBBBC"/>
            </w:tcBorders>
          </w:tcPr>
          <w:p>
            <w:pPr>
              <w:ind w:left="20"/>
              <w:spacing w:after="0"/>
              <w:rPr>
                <w:sz w:val="20"/>
                <w:szCs w:val="20"/>
                <w:color w:val="auto"/>
              </w:rPr>
            </w:pPr>
            <w:r>
              <w:rPr>
                <w:rFonts w:ascii="Arial" w:cs="Arial" w:eastAsia="Arial" w:hAnsi="Arial"/>
                <w:sz w:val="14"/>
                <w:szCs w:val="14"/>
                <w:color w:val="auto"/>
              </w:rPr>
              <w:t>Included goals relating to refreshing the</w:t>
            </w:r>
          </w:p>
        </w:tc>
        <w:tc>
          <w:tcPr>
            <w:tcW w:w="2660" w:type="dxa"/>
            <w:vAlign w:val="bottom"/>
            <w:tcBorders>
              <w:top w:val="single" w:sz="8" w:color="003595"/>
              <w:right w:val="single" w:sz="8" w:color="BBBBBC"/>
            </w:tcBorders>
          </w:tcPr>
          <w:p>
            <w:pPr>
              <w:ind w:left="20"/>
              <w:spacing w:after="0"/>
              <w:rPr>
                <w:sz w:val="20"/>
                <w:szCs w:val="20"/>
                <w:color w:val="auto"/>
              </w:rPr>
            </w:pPr>
            <w:r>
              <w:rPr>
                <w:rFonts w:ascii="Arial" w:cs="Arial" w:eastAsia="Arial" w:hAnsi="Arial"/>
                <w:sz w:val="14"/>
                <w:szCs w:val="14"/>
                <w:color w:val="auto"/>
              </w:rPr>
              <w:t>The CHCC determined that Mr. Raha</w:t>
            </w:r>
          </w:p>
        </w:tc>
        <w:tc>
          <w:tcPr>
            <w:tcW w:w="1320" w:type="dxa"/>
            <w:vAlign w:val="bottom"/>
            <w:tcBorders>
              <w:top w:val="single" w:sz="8" w:color="0A2299"/>
              <w:right w:val="single" w:sz="8" w:color="DBDBDB"/>
            </w:tcBorders>
          </w:tcPr>
          <w:p>
            <w:pPr>
              <w:jc w:val="center"/>
              <w:spacing w:after="0"/>
              <w:rPr>
                <w:sz w:val="20"/>
                <w:szCs w:val="20"/>
                <w:color w:val="auto"/>
              </w:rPr>
            </w:pPr>
            <w:r>
              <w:rPr>
                <w:rFonts w:ascii="Arial" w:cs="Arial" w:eastAsia="Arial" w:hAnsi="Arial"/>
                <w:sz w:val="14"/>
                <w:szCs w:val="14"/>
                <w:color w:val="auto"/>
              </w:rPr>
              <w:t>100%</w:t>
            </w:r>
          </w:p>
        </w:tc>
        <w:tc>
          <w:tcPr>
            <w:tcW w:w="1360" w:type="dxa"/>
            <w:vAlign w:val="bottom"/>
            <w:tcBorders>
              <w:top w:val="single" w:sz="8" w:color="0A2299"/>
            </w:tcBorders>
          </w:tcPr>
          <w:p>
            <w:pPr>
              <w:jc w:val="center"/>
              <w:spacing w:after="0"/>
              <w:rPr>
                <w:sz w:val="20"/>
                <w:szCs w:val="20"/>
                <w:color w:val="auto"/>
              </w:rPr>
            </w:pPr>
            <w:r>
              <w:rPr>
                <w:rFonts w:ascii="Arial" w:cs="Arial" w:eastAsia="Arial" w:hAnsi="Arial"/>
                <w:sz w:val="14"/>
                <w:szCs w:val="14"/>
                <w:color w:val="auto"/>
              </w:rPr>
              <w:t>20%</w:t>
            </w:r>
          </w:p>
        </w:tc>
      </w:tr>
      <w:tr>
        <w:trPr>
          <w:trHeight w:val="185"/>
        </w:trPr>
        <w:tc>
          <w:tcPr>
            <w:tcW w:w="2340" w:type="dxa"/>
            <w:vAlign w:val="bottom"/>
          </w:tcPr>
          <w:p>
            <w:pPr>
              <w:ind w:left="180"/>
              <w:spacing w:after="0"/>
              <w:rPr>
                <w:sz w:val="20"/>
                <w:szCs w:val="20"/>
                <w:color w:val="auto"/>
              </w:rPr>
            </w:pPr>
            <w:r>
              <w:rPr>
                <w:rFonts w:ascii="Arial" w:cs="Arial" w:eastAsia="Arial" w:hAnsi="Arial"/>
                <w:sz w:val="16"/>
                <w:szCs w:val="16"/>
                <w:color w:val="auto"/>
              </w:rPr>
              <w:t>President and Chief</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Company's strategy to sharpen priorities</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achieved his 2025 strategic goals.</w:t>
            </w:r>
          </w:p>
        </w:tc>
        <w:tc>
          <w:tcPr>
            <w:tcW w:w="1320" w:type="dxa"/>
            <w:vAlign w:val="bottom"/>
            <w:tcBorders>
              <w:right w:val="single" w:sz="8" w:color="DBDBDB"/>
            </w:tcBorders>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2340" w:type="dxa"/>
            <w:vAlign w:val="bottom"/>
          </w:tcPr>
          <w:p>
            <w:pPr>
              <w:ind w:left="180"/>
              <w:spacing w:after="0"/>
              <w:rPr>
                <w:sz w:val="20"/>
                <w:szCs w:val="20"/>
                <w:color w:val="auto"/>
              </w:rPr>
            </w:pPr>
            <w:r>
              <w:rPr>
                <w:rFonts w:ascii="Arial" w:cs="Arial" w:eastAsia="Arial" w:hAnsi="Arial"/>
                <w:sz w:val="16"/>
                <w:szCs w:val="16"/>
                <w:color w:val="auto"/>
              </w:rPr>
              <w:t>Executive Officer</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and resource allocation, strengthening</w:t>
            </w:r>
          </w:p>
        </w:tc>
        <w:tc>
          <w:tcPr>
            <w:tcW w:w="2660" w:type="dxa"/>
            <w:vAlign w:val="bottom"/>
            <w:tcBorders>
              <w:right w:val="single" w:sz="8" w:color="BBBBBC"/>
            </w:tcBorders>
          </w:tcPr>
          <w:p>
            <w:pPr>
              <w:spacing w:after="0"/>
              <w:rPr>
                <w:sz w:val="16"/>
                <w:szCs w:val="16"/>
                <w:color w:val="auto"/>
              </w:rPr>
            </w:pPr>
          </w:p>
        </w:tc>
        <w:tc>
          <w:tcPr>
            <w:tcW w:w="1320" w:type="dxa"/>
            <w:vAlign w:val="bottom"/>
            <w:tcBorders>
              <w:right w:val="single" w:sz="8" w:color="DBDBDB"/>
            </w:tcBorders>
          </w:tcPr>
          <w:p>
            <w:pPr>
              <w:spacing w:after="0"/>
              <w:rPr>
                <w:sz w:val="16"/>
                <w:szCs w:val="16"/>
                <w:color w:val="auto"/>
              </w:rPr>
            </w:pPr>
          </w:p>
        </w:tc>
        <w:tc>
          <w:tcPr>
            <w:tcW w:w="1360" w:type="dxa"/>
            <w:vAlign w:val="bottom"/>
          </w:tcPr>
          <w:p>
            <w:pPr>
              <w:spacing w:after="0"/>
              <w:rPr>
                <w:sz w:val="16"/>
                <w:szCs w:val="16"/>
                <w:color w:val="auto"/>
              </w:rPr>
            </w:pPr>
          </w:p>
        </w:tc>
      </w:tr>
      <w:tr>
        <w:trPr>
          <w:trHeight w:val="139"/>
        </w:trPr>
        <w:tc>
          <w:tcPr>
            <w:tcW w:w="2340" w:type="dxa"/>
            <w:vAlign w:val="bottom"/>
          </w:tcPr>
          <w:p>
            <w:pPr>
              <w:spacing w:after="0"/>
              <w:rPr>
                <w:sz w:val="12"/>
                <w:szCs w:val="12"/>
                <w:color w:val="auto"/>
              </w:rPr>
            </w:pPr>
          </w:p>
        </w:tc>
        <w:tc>
          <w:tcPr>
            <w:tcW w:w="2660" w:type="dxa"/>
            <w:vAlign w:val="bottom"/>
            <w:tcBorders>
              <w:right w:val="single" w:sz="8" w:color="BBBBBC"/>
            </w:tcBorders>
          </w:tcPr>
          <w:p>
            <w:pPr>
              <w:ind w:left="20"/>
              <w:spacing w:after="0" w:line="139" w:lineRule="exact"/>
              <w:rPr>
                <w:sz w:val="20"/>
                <w:szCs w:val="20"/>
                <w:color w:val="auto"/>
              </w:rPr>
            </w:pPr>
            <w:r>
              <w:rPr>
                <w:rFonts w:ascii="Arial" w:cs="Arial" w:eastAsia="Arial" w:hAnsi="Arial"/>
                <w:sz w:val="14"/>
                <w:szCs w:val="14"/>
                <w:color w:val="auto"/>
              </w:rPr>
              <w:t>product development execution,</w:t>
            </w:r>
          </w:p>
        </w:tc>
        <w:tc>
          <w:tcPr>
            <w:tcW w:w="2660" w:type="dxa"/>
            <w:vAlign w:val="bottom"/>
            <w:tcBorders>
              <w:right w:val="single" w:sz="8" w:color="BBBBBC"/>
            </w:tcBorders>
          </w:tcPr>
          <w:p>
            <w:pPr>
              <w:spacing w:after="0"/>
              <w:rPr>
                <w:sz w:val="12"/>
                <w:szCs w:val="12"/>
                <w:color w:val="auto"/>
              </w:rPr>
            </w:pPr>
          </w:p>
        </w:tc>
        <w:tc>
          <w:tcPr>
            <w:tcW w:w="1320" w:type="dxa"/>
            <w:vAlign w:val="bottom"/>
            <w:tcBorders>
              <w:right w:val="single" w:sz="8" w:color="DBDBDB"/>
            </w:tcBorders>
          </w:tcPr>
          <w:p>
            <w:pPr>
              <w:spacing w:after="0"/>
              <w:rPr>
                <w:sz w:val="12"/>
                <w:szCs w:val="12"/>
                <w:color w:val="auto"/>
              </w:rPr>
            </w:pPr>
          </w:p>
        </w:tc>
        <w:tc>
          <w:tcPr>
            <w:tcW w:w="1360" w:type="dxa"/>
            <w:vAlign w:val="bottom"/>
          </w:tcPr>
          <w:p>
            <w:pPr>
              <w:spacing w:after="0"/>
              <w:rPr>
                <w:sz w:val="12"/>
                <w:szCs w:val="12"/>
                <w:color w:val="auto"/>
              </w:rPr>
            </w:pPr>
          </w:p>
        </w:tc>
      </w:tr>
      <w:tr>
        <w:trPr>
          <w:trHeight w:val="175"/>
        </w:trPr>
        <w:tc>
          <w:tcPr>
            <w:tcW w:w="2340" w:type="dxa"/>
            <w:vAlign w:val="bottom"/>
          </w:tcPr>
          <w:p>
            <w:pPr>
              <w:spacing w:after="0"/>
              <w:rPr>
                <w:sz w:val="15"/>
                <w:szCs w:val="15"/>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advancing key new product launches,</w:t>
            </w:r>
          </w:p>
        </w:tc>
        <w:tc>
          <w:tcPr>
            <w:tcW w:w="2660" w:type="dxa"/>
            <w:vAlign w:val="bottom"/>
            <w:tcBorders>
              <w:right w:val="single" w:sz="8" w:color="BBBBBC"/>
            </w:tcBorders>
          </w:tcPr>
          <w:p>
            <w:pPr>
              <w:spacing w:after="0"/>
              <w:rPr>
                <w:sz w:val="15"/>
                <w:szCs w:val="15"/>
                <w:color w:val="auto"/>
              </w:rPr>
            </w:pP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and reinforcing a performance-oriented</w:t>
            </w:r>
          </w:p>
        </w:tc>
        <w:tc>
          <w:tcPr>
            <w:tcW w:w="2660" w:type="dxa"/>
            <w:vAlign w:val="bottom"/>
            <w:tcBorders>
              <w:right w:val="single" w:sz="8" w:color="BBBBBC"/>
            </w:tcBorders>
          </w:tcPr>
          <w:p>
            <w:pPr>
              <w:spacing w:after="0"/>
              <w:rPr>
                <w:sz w:val="15"/>
                <w:szCs w:val="15"/>
                <w:color w:val="auto"/>
              </w:rPr>
            </w:pP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90"/>
        </w:trPr>
        <w:tc>
          <w:tcPr>
            <w:tcW w:w="2340" w:type="dxa"/>
            <w:vAlign w:val="bottom"/>
          </w:tcPr>
          <w:p>
            <w:pPr>
              <w:spacing w:after="0"/>
              <w:rPr>
                <w:sz w:val="16"/>
                <w:szCs w:val="16"/>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culture.</w:t>
            </w:r>
          </w:p>
        </w:tc>
        <w:tc>
          <w:tcPr>
            <w:tcW w:w="2660" w:type="dxa"/>
            <w:vAlign w:val="bottom"/>
            <w:tcBorders>
              <w:right w:val="single" w:sz="8" w:color="BBBBBC"/>
            </w:tcBorders>
          </w:tcPr>
          <w:p>
            <w:pPr>
              <w:spacing w:after="0"/>
              <w:rPr>
                <w:sz w:val="16"/>
                <w:szCs w:val="16"/>
                <w:color w:val="auto"/>
              </w:rPr>
            </w:pPr>
          </w:p>
        </w:tc>
        <w:tc>
          <w:tcPr>
            <w:tcW w:w="1320" w:type="dxa"/>
            <w:vAlign w:val="bottom"/>
            <w:tcBorders>
              <w:right w:val="single" w:sz="8" w:color="DBDBDB"/>
            </w:tcBorders>
          </w:tcPr>
          <w:p>
            <w:pPr>
              <w:spacing w:after="0"/>
              <w:rPr>
                <w:sz w:val="16"/>
                <w:szCs w:val="16"/>
                <w:color w:val="auto"/>
              </w:rPr>
            </w:pPr>
          </w:p>
        </w:tc>
        <w:tc>
          <w:tcPr>
            <w:tcW w:w="1360" w:type="dxa"/>
            <w:vAlign w:val="bottom"/>
          </w:tcPr>
          <w:p>
            <w:pPr>
              <w:spacing w:after="0"/>
              <w:rPr>
                <w:sz w:val="16"/>
                <w:szCs w:val="16"/>
                <w:color w:val="auto"/>
              </w:rPr>
            </w:pPr>
          </w:p>
        </w:tc>
      </w:tr>
      <w:tr>
        <w:trPr>
          <w:trHeight w:val="22"/>
        </w:trPr>
        <w:tc>
          <w:tcPr>
            <w:tcW w:w="2340" w:type="dxa"/>
            <w:vAlign w:val="bottom"/>
            <w:tcBorders>
              <w:bottom w:val="single" w:sz="8" w:color="003595"/>
            </w:tcBorders>
          </w:tcPr>
          <w:p>
            <w:pPr>
              <w:spacing w:after="0" w:line="20" w:lineRule="exact"/>
              <w:rPr>
                <w:sz w:val="1"/>
                <w:szCs w:val="1"/>
                <w:color w:val="auto"/>
              </w:rPr>
            </w:pPr>
          </w:p>
        </w:tc>
        <w:tc>
          <w:tcPr>
            <w:tcW w:w="2660" w:type="dxa"/>
            <w:vAlign w:val="bottom"/>
            <w:tcBorders>
              <w:bottom w:val="single" w:sz="8" w:color="003595"/>
              <w:right w:val="single" w:sz="8" w:color="BBBBBC"/>
            </w:tcBorders>
          </w:tcPr>
          <w:p>
            <w:pPr>
              <w:spacing w:after="0" w:line="20" w:lineRule="exact"/>
              <w:rPr>
                <w:sz w:val="1"/>
                <w:szCs w:val="1"/>
                <w:color w:val="auto"/>
              </w:rPr>
            </w:pPr>
          </w:p>
        </w:tc>
        <w:tc>
          <w:tcPr>
            <w:tcW w:w="2660" w:type="dxa"/>
            <w:vAlign w:val="bottom"/>
            <w:tcBorders>
              <w:bottom w:val="single" w:sz="8" w:color="003595"/>
              <w:right w:val="single" w:sz="8" w:color="BBBBBC"/>
            </w:tcBorders>
          </w:tcPr>
          <w:p>
            <w:pPr>
              <w:spacing w:after="0" w:line="20" w:lineRule="exact"/>
              <w:rPr>
                <w:sz w:val="1"/>
                <w:szCs w:val="1"/>
                <w:color w:val="auto"/>
              </w:rPr>
            </w:pPr>
          </w:p>
        </w:tc>
        <w:tc>
          <w:tcPr>
            <w:tcW w:w="1320" w:type="dxa"/>
            <w:vAlign w:val="bottom"/>
            <w:tcBorders>
              <w:bottom w:val="single" w:sz="8" w:color="0A2299"/>
              <w:right w:val="single" w:sz="8" w:color="DBDBDB"/>
            </w:tcBorders>
          </w:tcPr>
          <w:p>
            <w:pPr>
              <w:spacing w:after="0" w:line="20" w:lineRule="exact"/>
              <w:rPr>
                <w:sz w:val="1"/>
                <w:szCs w:val="1"/>
                <w:color w:val="auto"/>
              </w:rPr>
            </w:pPr>
          </w:p>
        </w:tc>
        <w:tc>
          <w:tcPr>
            <w:tcW w:w="1360" w:type="dxa"/>
            <w:vAlign w:val="bottom"/>
            <w:tcBorders>
              <w:bottom w:val="single" w:sz="8" w:color="0A2299"/>
            </w:tcBorders>
          </w:tcPr>
          <w:p>
            <w:pPr>
              <w:spacing w:after="0" w:line="20" w:lineRule="exact"/>
              <w:rPr>
                <w:sz w:val="1"/>
                <w:szCs w:val="1"/>
                <w:color w:val="auto"/>
              </w:rPr>
            </w:pPr>
          </w:p>
        </w:tc>
      </w:tr>
      <w:tr>
        <w:trPr>
          <w:trHeight w:val="187"/>
        </w:trPr>
        <w:tc>
          <w:tcPr>
            <w:tcW w:w="2340" w:type="dxa"/>
            <w:vAlign w:val="bottom"/>
          </w:tcPr>
          <w:p>
            <w:pPr>
              <w:ind w:left="20"/>
              <w:spacing w:after="0"/>
              <w:rPr>
                <w:sz w:val="20"/>
                <w:szCs w:val="20"/>
                <w:color w:val="auto"/>
              </w:rPr>
            </w:pPr>
            <w:r>
              <w:rPr>
                <w:rFonts w:ascii="Arial" w:cs="Arial" w:eastAsia="Arial" w:hAnsi="Arial"/>
                <w:sz w:val="16"/>
                <w:szCs w:val="16"/>
                <w:color w:val="auto"/>
              </w:rPr>
              <w:t>Benjamin R. Wheeler</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Included goals relating to operating</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The CHCC determined that Mr. Wheeler</w:t>
            </w:r>
          </w:p>
        </w:tc>
        <w:tc>
          <w:tcPr>
            <w:tcW w:w="132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100%</w:t>
            </w:r>
          </w:p>
        </w:tc>
        <w:tc>
          <w:tcPr>
            <w:tcW w:w="1360" w:type="dxa"/>
            <w:vAlign w:val="bottom"/>
          </w:tcPr>
          <w:p>
            <w:pPr>
              <w:jc w:val="center"/>
              <w:spacing w:after="0"/>
              <w:rPr>
                <w:sz w:val="20"/>
                <w:szCs w:val="20"/>
                <w:color w:val="auto"/>
              </w:rPr>
            </w:pPr>
            <w:r>
              <w:rPr>
                <w:rFonts w:ascii="Arial" w:cs="Arial" w:eastAsia="Arial" w:hAnsi="Arial"/>
                <w:sz w:val="14"/>
                <w:szCs w:val="14"/>
                <w:color w:val="auto"/>
              </w:rPr>
              <w:t>20%</w:t>
            </w:r>
          </w:p>
        </w:tc>
      </w:tr>
      <w:tr>
        <w:trPr>
          <w:trHeight w:val="185"/>
        </w:trPr>
        <w:tc>
          <w:tcPr>
            <w:tcW w:w="2340" w:type="dxa"/>
            <w:vAlign w:val="bottom"/>
          </w:tcPr>
          <w:p>
            <w:pPr>
              <w:ind w:left="180"/>
              <w:spacing w:after="0"/>
              <w:rPr>
                <w:sz w:val="20"/>
                <w:szCs w:val="20"/>
                <w:color w:val="auto"/>
              </w:rPr>
            </w:pPr>
            <w:r>
              <w:rPr>
                <w:rFonts w:ascii="Arial" w:cs="Arial" w:eastAsia="Arial" w:hAnsi="Arial"/>
                <w:sz w:val="16"/>
                <w:szCs w:val="16"/>
                <w:color w:val="auto"/>
              </w:rPr>
              <w:t>Chief Financial Officer</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budget execution, revenue cycle</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achieved his 2025 strategic goals.</w:t>
            </w:r>
          </w:p>
        </w:tc>
        <w:tc>
          <w:tcPr>
            <w:tcW w:w="1320" w:type="dxa"/>
            <w:vAlign w:val="bottom"/>
            <w:tcBorders>
              <w:right w:val="single" w:sz="8" w:color="DBDBDB"/>
            </w:tcBorders>
          </w:tcPr>
          <w:p>
            <w:pPr>
              <w:spacing w:after="0"/>
              <w:rPr>
                <w:sz w:val="16"/>
                <w:szCs w:val="16"/>
                <w:color w:val="auto"/>
              </w:rPr>
            </w:pPr>
          </w:p>
        </w:tc>
        <w:tc>
          <w:tcPr>
            <w:tcW w:w="1360" w:type="dxa"/>
            <w:vAlign w:val="bottom"/>
          </w:tcPr>
          <w:p>
            <w:pPr>
              <w:spacing w:after="0"/>
              <w:rPr>
                <w:sz w:val="16"/>
                <w:szCs w:val="16"/>
                <w:color w:val="auto"/>
              </w:rPr>
            </w:pPr>
          </w:p>
        </w:tc>
      </w:tr>
      <w:tr>
        <w:trPr>
          <w:trHeight w:val="166"/>
        </w:trPr>
        <w:tc>
          <w:tcPr>
            <w:tcW w:w="2340" w:type="dxa"/>
            <w:vAlign w:val="bottom"/>
          </w:tcPr>
          <w:p>
            <w:pPr>
              <w:spacing w:after="0"/>
              <w:rPr>
                <w:sz w:val="14"/>
                <w:szCs w:val="14"/>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optimization, and average selling price,</w:t>
            </w:r>
          </w:p>
        </w:tc>
        <w:tc>
          <w:tcPr>
            <w:tcW w:w="2660" w:type="dxa"/>
            <w:vAlign w:val="bottom"/>
            <w:tcBorders>
              <w:right w:val="single" w:sz="8" w:color="BBBBBC"/>
            </w:tcBorders>
          </w:tcPr>
          <w:p>
            <w:pPr>
              <w:spacing w:after="0"/>
              <w:rPr>
                <w:sz w:val="14"/>
                <w:szCs w:val="14"/>
                <w:color w:val="auto"/>
              </w:rPr>
            </w:pPr>
          </w:p>
        </w:tc>
        <w:tc>
          <w:tcPr>
            <w:tcW w:w="1320" w:type="dxa"/>
            <w:vAlign w:val="bottom"/>
            <w:tcBorders>
              <w:right w:val="single" w:sz="8" w:color="DBDBDB"/>
            </w:tcBorders>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while advancing investor engagement</w:t>
            </w:r>
          </w:p>
        </w:tc>
        <w:tc>
          <w:tcPr>
            <w:tcW w:w="2660" w:type="dxa"/>
            <w:vAlign w:val="bottom"/>
            <w:tcBorders>
              <w:right w:val="single" w:sz="8" w:color="BBBBBC"/>
            </w:tcBorders>
          </w:tcPr>
          <w:p>
            <w:pPr>
              <w:spacing w:after="0"/>
              <w:rPr>
                <w:sz w:val="14"/>
                <w:szCs w:val="14"/>
                <w:color w:val="auto"/>
              </w:rPr>
            </w:pPr>
          </w:p>
        </w:tc>
        <w:tc>
          <w:tcPr>
            <w:tcW w:w="1320" w:type="dxa"/>
            <w:vAlign w:val="bottom"/>
            <w:tcBorders>
              <w:right w:val="single" w:sz="8" w:color="DBDBDB"/>
            </w:tcBorders>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2340" w:type="dxa"/>
            <w:vAlign w:val="bottom"/>
          </w:tcPr>
          <w:p>
            <w:pPr>
              <w:spacing w:after="0"/>
              <w:rPr>
                <w:sz w:val="15"/>
                <w:szCs w:val="15"/>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strategies and organizational stability</w:t>
            </w:r>
          </w:p>
        </w:tc>
        <w:tc>
          <w:tcPr>
            <w:tcW w:w="2660" w:type="dxa"/>
            <w:vAlign w:val="bottom"/>
            <w:tcBorders>
              <w:right w:val="single" w:sz="8" w:color="BBBBBC"/>
            </w:tcBorders>
          </w:tcPr>
          <w:p>
            <w:pPr>
              <w:spacing w:after="0"/>
              <w:rPr>
                <w:sz w:val="15"/>
                <w:szCs w:val="15"/>
                <w:color w:val="auto"/>
              </w:rPr>
            </w:pP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within the finance and revenue cycle</w:t>
            </w:r>
          </w:p>
        </w:tc>
        <w:tc>
          <w:tcPr>
            <w:tcW w:w="2660" w:type="dxa"/>
            <w:vAlign w:val="bottom"/>
            <w:tcBorders>
              <w:right w:val="single" w:sz="8" w:color="BBBBBC"/>
            </w:tcBorders>
          </w:tcPr>
          <w:p>
            <w:pPr>
              <w:spacing w:after="0"/>
              <w:rPr>
                <w:sz w:val="15"/>
                <w:szCs w:val="15"/>
                <w:color w:val="auto"/>
              </w:rPr>
            </w:pP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90"/>
        </w:trPr>
        <w:tc>
          <w:tcPr>
            <w:tcW w:w="2340" w:type="dxa"/>
            <w:vAlign w:val="bottom"/>
          </w:tcPr>
          <w:p>
            <w:pPr>
              <w:spacing w:after="0"/>
              <w:rPr>
                <w:sz w:val="16"/>
                <w:szCs w:val="16"/>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teams.</w:t>
            </w:r>
          </w:p>
        </w:tc>
        <w:tc>
          <w:tcPr>
            <w:tcW w:w="2660" w:type="dxa"/>
            <w:vAlign w:val="bottom"/>
            <w:tcBorders>
              <w:right w:val="single" w:sz="8" w:color="BBBBBC"/>
            </w:tcBorders>
          </w:tcPr>
          <w:p>
            <w:pPr>
              <w:spacing w:after="0"/>
              <w:rPr>
                <w:sz w:val="16"/>
                <w:szCs w:val="16"/>
                <w:color w:val="auto"/>
              </w:rPr>
            </w:pPr>
          </w:p>
        </w:tc>
        <w:tc>
          <w:tcPr>
            <w:tcW w:w="1320" w:type="dxa"/>
            <w:vAlign w:val="bottom"/>
            <w:tcBorders>
              <w:right w:val="single" w:sz="8" w:color="DBDBDB"/>
            </w:tcBorders>
          </w:tcPr>
          <w:p>
            <w:pPr>
              <w:spacing w:after="0"/>
              <w:rPr>
                <w:sz w:val="16"/>
                <w:szCs w:val="16"/>
                <w:color w:val="auto"/>
              </w:rPr>
            </w:pPr>
          </w:p>
        </w:tc>
        <w:tc>
          <w:tcPr>
            <w:tcW w:w="1360" w:type="dxa"/>
            <w:vAlign w:val="bottom"/>
          </w:tcPr>
          <w:p>
            <w:pPr>
              <w:spacing w:after="0"/>
              <w:rPr>
                <w:sz w:val="16"/>
                <w:szCs w:val="16"/>
                <w:color w:val="auto"/>
              </w:rPr>
            </w:pPr>
          </w:p>
        </w:tc>
      </w:tr>
      <w:tr>
        <w:trPr>
          <w:trHeight w:val="22"/>
        </w:trPr>
        <w:tc>
          <w:tcPr>
            <w:tcW w:w="2340" w:type="dxa"/>
            <w:vAlign w:val="bottom"/>
            <w:tcBorders>
              <w:bottom w:val="single" w:sz="8" w:color="003595"/>
            </w:tcBorders>
          </w:tcPr>
          <w:p>
            <w:pPr>
              <w:spacing w:after="0" w:line="20" w:lineRule="exact"/>
              <w:rPr>
                <w:sz w:val="1"/>
                <w:szCs w:val="1"/>
                <w:color w:val="auto"/>
              </w:rPr>
            </w:pPr>
          </w:p>
        </w:tc>
        <w:tc>
          <w:tcPr>
            <w:tcW w:w="2660" w:type="dxa"/>
            <w:vAlign w:val="bottom"/>
            <w:tcBorders>
              <w:bottom w:val="single" w:sz="8" w:color="003595"/>
              <w:right w:val="single" w:sz="8" w:color="BBBBBC"/>
            </w:tcBorders>
          </w:tcPr>
          <w:p>
            <w:pPr>
              <w:spacing w:after="0" w:line="20" w:lineRule="exact"/>
              <w:rPr>
                <w:sz w:val="1"/>
                <w:szCs w:val="1"/>
                <w:color w:val="auto"/>
              </w:rPr>
            </w:pPr>
          </w:p>
        </w:tc>
        <w:tc>
          <w:tcPr>
            <w:tcW w:w="2660" w:type="dxa"/>
            <w:vAlign w:val="bottom"/>
            <w:tcBorders>
              <w:bottom w:val="single" w:sz="8" w:color="003595"/>
              <w:right w:val="single" w:sz="8" w:color="BBBBBC"/>
            </w:tcBorders>
          </w:tcPr>
          <w:p>
            <w:pPr>
              <w:spacing w:after="0" w:line="20" w:lineRule="exact"/>
              <w:rPr>
                <w:sz w:val="1"/>
                <w:szCs w:val="1"/>
                <w:color w:val="auto"/>
              </w:rPr>
            </w:pPr>
          </w:p>
        </w:tc>
        <w:tc>
          <w:tcPr>
            <w:tcW w:w="1320" w:type="dxa"/>
            <w:vAlign w:val="bottom"/>
            <w:tcBorders>
              <w:bottom w:val="single" w:sz="8" w:color="0A2299"/>
              <w:right w:val="single" w:sz="8" w:color="DBDBDB"/>
            </w:tcBorders>
          </w:tcPr>
          <w:p>
            <w:pPr>
              <w:spacing w:after="0" w:line="20" w:lineRule="exact"/>
              <w:rPr>
                <w:sz w:val="1"/>
                <w:szCs w:val="1"/>
                <w:color w:val="auto"/>
              </w:rPr>
            </w:pPr>
          </w:p>
        </w:tc>
        <w:tc>
          <w:tcPr>
            <w:tcW w:w="1360" w:type="dxa"/>
            <w:vAlign w:val="bottom"/>
            <w:tcBorders>
              <w:bottom w:val="single" w:sz="8" w:color="0A2299"/>
            </w:tcBorders>
          </w:tcPr>
          <w:p>
            <w:pPr>
              <w:spacing w:after="0" w:line="20" w:lineRule="exact"/>
              <w:rPr>
                <w:sz w:val="1"/>
                <w:szCs w:val="1"/>
                <w:color w:val="auto"/>
              </w:rPr>
            </w:pPr>
          </w:p>
        </w:tc>
      </w:tr>
      <w:tr>
        <w:trPr>
          <w:trHeight w:val="187"/>
        </w:trPr>
        <w:tc>
          <w:tcPr>
            <w:tcW w:w="2340" w:type="dxa"/>
            <w:vAlign w:val="bottom"/>
          </w:tcPr>
          <w:p>
            <w:pPr>
              <w:ind w:left="20"/>
              <w:spacing w:after="0"/>
              <w:rPr>
                <w:sz w:val="20"/>
                <w:szCs w:val="20"/>
                <w:color w:val="auto"/>
              </w:rPr>
            </w:pPr>
            <w:r>
              <w:rPr>
                <w:rFonts w:ascii="Arial" w:cs="Arial" w:eastAsia="Arial" w:hAnsi="Arial"/>
                <w:sz w:val="16"/>
                <w:szCs w:val="16"/>
                <w:color w:val="auto"/>
              </w:rPr>
              <w:t>Mark S. Verratti</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Included goals relating to large</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The CHCC determined that Mr. Verratti</w:t>
            </w:r>
          </w:p>
        </w:tc>
        <w:tc>
          <w:tcPr>
            <w:tcW w:w="132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100%</w:t>
            </w:r>
          </w:p>
        </w:tc>
        <w:tc>
          <w:tcPr>
            <w:tcW w:w="1360" w:type="dxa"/>
            <w:vAlign w:val="bottom"/>
          </w:tcPr>
          <w:p>
            <w:pPr>
              <w:jc w:val="center"/>
              <w:spacing w:after="0"/>
              <w:rPr>
                <w:sz w:val="20"/>
                <w:szCs w:val="20"/>
                <w:color w:val="auto"/>
              </w:rPr>
            </w:pPr>
            <w:r>
              <w:rPr>
                <w:rFonts w:ascii="Arial" w:cs="Arial" w:eastAsia="Arial" w:hAnsi="Arial"/>
                <w:sz w:val="14"/>
                <w:szCs w:val="14"/>
                <w:color w:val="auto"/>
              </w:rPr>
              <w:t>20%</w:t>
            </w:r>
          </w:p>
        </w:tc>
      </w:tr>
      <w:tr>
        <w:trPr>
          <w:trHeight w:val="175"/>
        </w:trPr>
        <w:tc>
          <w:tcPr>
            <w:tcW w:w="2340" w:type="dxa"/>
            <w:vAlign w:val="bottom"/>
          </w:tcPr>
          <w:p>
            <w:pPr>
              <w:ind w:left="180"/>
              <w:spacing w:after="0" w:line="175" w:lineRule="exact"/>
              <w:rPr>
                <w:sz w:val="20"/>
                <w:szCs w:val="20"/>
                <w:color w:val="auto"/>
              </w:rPr>
            </w:pPr>
            <w:r>
              <w:rPr>
                <w:rFonts w:ascii="Arial" w:cs="Arial" w:eastAsia="Arial" w:hAnsi="Arial"/>
                <w:sz w:val="16"/>
                <w:szCs w:val="16"/>
                <w:color w:val="auto"/>
              </w:rPr>
              <w:t>Chief Operating Officer</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enterprise account enablement to drive</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achieved his 2025 strategic goals.</w:t>
            </w: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volume growth, meeting sample</w:t>
            </w:r>
          </w:p>
        </w:tc>
        <w:tc>
          <w:tcPr>
            <w:tcW w:w="2660" w:type="dxa"/>
            <w:vAlign w:val="bottom"/>
            <w:tcBorders>
              <w:right w:val="single" w:sz="8" w:color="BBBBBC"/>
            </w:tcBorders>
          </w:tcPr>
          <w:p>
            <w:pPr>
              <w:spacing w:after="0"/>
              <w:rPr>
                <w:sz w:val="15"/>
                <w:szCs w:val="15"/>
                <w:color w:val="auto"/>
              </w:rPr>
            </w:pP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62"/>
        </w:trPr>
        <w:tc>
          <w:tcPr>
            <w:tcW w:w="2340" w:type="dxa"/>
            <w:vAlign w:val="bottom"/>
          </w:tcPr>
          <w:p>
            <w:pPr>
              <w:spacing w:after="0"/>
              <w:rPr>
                <w:sz w:val="14"/>
                <w:szCs w:val="14"/>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processing and turnaround time targets,</w:t>
            </w:r>
          </w:p>
        </w:tc>
        <w:tc>
          <w:tcPr>
            <w:tcW w:w="2660" w:type="dxa"/>
            <w:vAlign w:val="bottom"/>
            <w:tcBorders>
              <w:right w:val="single" w:sz="8" w:color="BBBBBC"/>
            </w:tcBorders>
          </w:tcPr>
          <w:p>
            <w:pPr>
              <w:spacing w:after="0"/>
              <w:rPr>
                <w:sz w:val="14"/>
                <w:szCs w:val="14"/>
                <w:color w:val="auto"/>
              </w:rPr>
            </w:pPr>
          </w:p>
        </w:tc>
        <w:tc>
          <w:tcPr>
            <w:tcW w:w="1320" w:type="dxa"/>
            <w:vAlign w:val="bottom"/>
            <w:tcBorders>
              <w:right w:val="single" w:sz="8" w:color="DBDBDB"/>
            </w:tcBorders>
          </w:tcPr>
          <w:p>
            <w:pPr>
              <w:spacing w:after="0"/>
              <w:rPr>
                <w:sz w:val="14"/>
                <w:szCs w:val="14"/>
                <w:color w:val="auto"/>
              </w:rPr>
            </w:pPr>
          </w:p>
        </w:tc>
        <w:tc>
          <w:tcPr>
            <w:tcW w:w="1360" w:type="dxa"/>
            <w:vAlign w:val="bottom"/>
          </w:tcPr>
          <w:p>
            <w:pPr>
              <w:spacing w:after="0"/>
              <w:rPr>
                <w:sz w:val="14"/>
                <w:szCs w:val="14"/>
                <w:color w:val="auto"/>
              </w:rPr>
            </w:pPr>
          </w:p>
        </w:tc>
      </w:tr>
      <w:tr>
        <w:trPr>
          <w:trHeight w:val="176"/>
        </w:trPr>
        <w:tc>
          <w:tcPr>
            <w:tcW w:w="2340" w:type="dxa"/>
            <w:vAlign w:val="bottom"/>
          </w:tcPr>
          <w:p>
            <w:pPr>
              <w:spacing w:after="0"/>
              <w:rPr>
                <w:sz w:val="15"/>
                <w:szCs w:val="15"/>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improving laboratory productivity, and</w:t>
            </w:r>
          </w:p>
        </w:tc>
        <w:tc>
          <w:tcPr>
            <w:tcW w:w="2660" w:type="dxa"/>
            <w:vAlign w:val="bottom"/>
            <w:tcBorders>
              <w:right w:val="single" w:sz="8" w:color="BBBBBC"/>
            </w:tcBorders>
          </w:tcPr>
          <w:p>
            <w:pPr>
              <w:spacing w:after="0"/>
              <w:rPr>
                <w:sz w:val="15"/>
                <w:szCs w:val="15"/>
                <w:color w:val="auto"/>
              </w:rPr>
            </w:pP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advancing the customer experience</w:t>
            </w:r>
          </w:p>
        </w:tc>
        <w:tc>
          <w:tcPr>
            <w:tcW w:w="2660" w:type="dxa"/>
            <w:vAlign w:val="bottom"/>
            <w:tcBorders>
              <w:right w:val="single" w:sz="8" w:color="BBBBBC"/>
            </w:tcBorders>
          </w:tcPr>
          <w:p>
            <w:pPr>
              <w:spacing w:after="0"/>
              <w:rPr>
                <w:sz w:val="15"/>
                <w:szCs w:val="15"/>
                <w:color w:val="auto"/>
              </w:rPr>
            </w:pP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90"/>
        </w:trPr>
        <w:tc>
          <w:tcPr>
            <w:tcW w:w="2340" w:type="dxa"/>
            <w:vAlign w:val="bottom"/>
          </w:tcPr>
          <w:p>
            <w:pPr>
              <w:spacing w:after="0"/>
              <w:rPr>
                <w:sz w:val="16"/>
                <w:szCs w:val="16"/>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roadmap and new product integrations.</w:t>
            </w:r>
          </w:p>
        </w:tc>
        <w:tc>
          <w:tcPr>
            <w:tcW w:w="2660" w:type="dxa"/>
            <w:vAlign w:val="bottom"/>
            <w:tcBorders>
              <w:right w:val="single" w:sz="8" w:color="BBBBBC"/>
            </w:tcBorders>
          </w:tcPr>
          <w:p>
            <w:pPr>
              <w:spacing w:after="0"/>
              <w:rPr>
                <w:sz w:val="16"/>
                <w:szCs w:val="16"/>
                <w:color w:val="auto"/>
              </w:rPr>
            </w:pPr>
          </w:p>
        </w:tc>
        <w:tc>
          <w:tcPr>
            <w:tcW w:w="1320" w:type="dxa"/>
            <w:vAlign w:val="bottom"/>
            <w:tcBorders>
              <w:right w:val="single" w:sz="8" w:color="DBDBDB"/>
            </w:tcBorders>
          </w:tcPr>
          <w:p>
            <w:pPr>
              <w:spacing w:after="0"/>
              <w:rPr>
                <w:sz w:val="16"/>
                <w:szCs w:val="16"/>
                <w:color w:val="auto"/>
              </w:rPr>
            </w:pPr>
          </w:p>
        </w:tc>
        <w:tc>
          <w:tcPr>
            <w:tcW w:w="1360" w:type="dxa"/>
            <w:vAlign w:val="bottom"/>
          </w:tcPr>
          <w:p>
            <w:pPr>
              <w:spacing w:after="0"/>
              <w:rPr>
                <w:sz w:val="16"/>
                <w:szCs w:val="16"/>
                <w:color w:val="auto"/>
              </w:rPr>
            </w:pPr>
          </w:p>
        </w:tc>
      </w:tr>
      <w:tr>
        <w:trPr>
          <w:trHeight w:val="22"/>
        </w:trPr>
        <w:tc>
          <w:tcPr>
            <w:tcW w:w="2340" w:type="dxa"/>
            <w:vAlign w:val="bottom"/>
            <w:tcBorders>
              <w:bottom w:val="single" w:sz="8" w:color="003595"/>
            </w:tcBorders>
          </w:tcPr>
          <w:p>
            <w:pPr>
              <w:spacing w:after="0" w:line="20" w:lineRule="exact"/>
              <w:rPr>
                <w:sz w:val="1"/>
                <w:szCs w:val="1"/>
                <w:color w:val="auto"/>
              </w:rPr>
            </w:pPr>
          </w:p>
        </w:tc>
        <w:tc>
          <w:tcPr>
            <w:tcW w:w="2660" w:type="dxa"/>
            <w:vAlign w:val="bottom"/>
            <w:tcBorders>
              <w:bottom w:val="single" w:sz="8" w:color="003595"/>
              <w:right w:val="single" w:sz="8" w:color="BBBBBC"/>
            </w:tcBorders>
          </w:tcPr>
          <w:p>
            <w:pPr>
              <w:spacing w:after="0" w:line="20" w:lineRule="exact"/>
              <w:rPr>
                <w:sz w:val="1"/>
                <w:szCs w:val="1"/>
                <w:color w:val="auto"/>
              </w:rPr>
            </w:pPr>
          </w:p>
        </w:tc>
        <w:tc>
          <w:tcPr>
            <w:tcW w:w="2660" w:type="dxa"/>
            <w:vAlign w:val="bottom"/>
            <w:tcBorders>
              <w:bottom w:val="single" w:sz="8" w:color="003595"/>
              <w:right w:val="single" w:sz="8" w:color="BBBBBC"/>
            </w:tcBorders>
          </w:tcPr>
          <w:p>
            <w:pPr>
              <w:spacing w:after="0" w:line="20" w:lineRule="exact"/>
              <w:rPr>
                <w:sz w:val="1"/>
                <w:szCs w:val="1"/>
                <w:color w:val="auto"/>
              </w:rPr>
            </w:pPr>
          </w:p>
        </w:tc>
        <w:tc>
          <w:tcPr>
            <w:tcW w:w="1320" w:type="dxa"/>
            <w:vAlign w:val="bottom"/>
            <w:tcBorders>
              <w:bottom w:val="single" w:sz="8" w:color="0A2299"/>
              <w:right w:val="single" w:sz="8" w:color="DBDBDB"/>
            </w:tcBorders>
          </w:tcPr>
          <w:p>
            <w:pPr>
              <w:spacing w:after="0" w:line="20" w:lineRule="exact"/>
              <w:rPr>
                <w:sz w:val="1"/>
                <w:szCs w:val="1"/>
                <w:color w:val="auto"/>
              </w:rPr>
            </w:pPr>
          </w:p>
        </w:tc>
        <w:tc>
          <w:tcPr>
            <w:tcW w:w="1360" w:type="dxa"/>
            <w:vAlign w:val="bottom"/>
            <w:tcBorders>
              <w:bottom w:val="single" w:sz="8" w:color="0A2299"/>
            </w:tcBorders>
          </w:tcPr>
          <w:p>
            <w:pPr>
              <w:spacing w:after="0" w:line="20" w:lineRule="exact"/>
              <w:rPr>
                <w:sz w:val="1"/>
                <w:szCs w:val="1"/>
                <w:color w:val="auto"/>
              </w:rPr>
            </w:pPr>
          </w:p>
        </w:tc>
      </w:tr>
      <w:tr>
        <w:trPr>
          <w:trHeight w:val="187"/>
        </w:trPr>
        <w:tc>
          <w:tcPr>
            <w:tcW w:w="2340" w:type="dxa"/>
            <w:vAlign w:val="bottom"/>
          </w:tcPr>
          <w:p>
            <w:pPr>
              <w:ind w:left="20"/>
              <w:spacing w:after="0"/>
              <w:rPr>
                <w:sz w:val="20"/>
                <w:szCs w:val="20"/>
                <w:color w:val="auto"/>
              </w:rPr>
            </w:pPr>
            <w:r>
              <w:rPr>
                <w:rFonts w:ascii="Arial" w:cs="Arial" w:eastAsia="Arial" w:hAnsi="Arial"/>
                <w:sz w:val="16"/>
                <w:szCs w:val="16"/>
                <w:color w:val="auto"/>
              </w:rPr>
              <w:t>Brian J. Donnelly</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Included goals relating to exceeding</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The CHCC determined that Mr. Donnelly</w:t>
            </w:r>
          </w:p>
        </w:tc>
        <w:tc>
          <w:tcPr>
            <w:tcW w:w="132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100%</w:t>
            </w:r>
          </w:p>
        </w:tc>
        <w:tc>
          <w:tcPr>
            <w:tcW w:w="1360" w:type="dxa"/>
            <w:vAlign w:val="bottom"/>
          </w:tcPr>
          <w:p>
            <w:pPr>
              <w:jc w:val="center"/>
              <w:spacing w:after="0"/>
              <w:rPr>
                <w:sz w:val="20"/>
                <w:szCs w:val="20"/>
                <w:color w:val="auto"/>
              </w:rPr>
            </w:pPr>
            <w:r>
              <w:rPr>
                <w:rFonts w:ascii="Arial" w:cs="Arial" w:eastAsia="Arial" w:hAnsi="Arial"/>
                <w:sz w:val="14"/>
                <w:szCs w:val="14"/>
                <w:color w:val="auto"/>
              </w:rPr>
              <w:t>20%</w:t>
            </w:r>
          </w:p>
        </w:tc>
      </w:tr>
      <w:tr>
        <w:trPr>
          <w:trHeight w:val="175"/>
        </w:trPr>
        <w:tc>
          <w:tcPr>
            <w:tcW w:w="2340" w:type="dxa"/>
            <w:vAlign w:val="bottom"/>
          </w:tcPr>
          <w:p>
            <w:pPr>
              <w:ind w:left="180"/>
              <w:spacing w:after="0" w:line="175" w:lineRule="exact"/>
              <w:rPr>
                <w:sz w:val="20"/>
                <w:szCs w:val="20"/>
                <w:color w:val="auto"/>
              </w:rPr>
            </w:pPr>
            <w:r>
              <w:rPr>
                <w:rFonts w:ascii="Arial" w:cs="Arial" w:eastAsia="Arial" w:hAnsi="Arial"/>
                <w:sz w:val="16"/>
                <w:szCs w:val="16"/>
                <w:color w:val="auto"/>
              </w:rPr>
              <w:t>Chief Commercial Officer</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commercial forecasts, developing a</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achieved his 2025 strategic goals.</w:t>
            </w: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multi-year growth strategy, and</w:t>
            </w:r>
          </w:p>
        </w:tc>
        <w:tc>
          <w:tcPr>
            <w:tcW w:w="2660" w:type="dxa"/>
            <w:vAlign w:val="bottom"/>
            <w:tcBorders>
              <w:right w:val="single" w:sz="8" w:color="BBBBBC"/>
            </w:tcBorders>
          </w:tcPr>
          <w:p>
            <w:pPr>
              <w:spacing w:after="0"/>
              <w:rPr>
                <w:sz w:val="15"/>
                <w:szCs w:val="15"/>
                <w:color w:val="auto"/>
              </w:rPr>
            </w:pP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62"/>
        </w:trPr>
        <w:tc>
          <w:tcPr>
            <w:tcW w:w="2340" w:type="dxa"/>
            <w:vAlign w:val="bottom"/>
          </w:tcPr>
          <w:p>
            <w:pPr>
              <w:spacing w:after="0"/>
              <w:rPr>
                <w:sz w:val="14"/>
                <w:szCs w:val="14"/>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optimizing organizational structure</w:t>
            </w:r>
          </w:p>
        </w:tc>
        <w:tc>
          <w:tcPr>
            <w:tcW w:w="2660" w:type="dxa"/>
            <w:vAlign w:val="bottom"/>
            <w:tcBorders>
              <w:right w:val="single" w:sz="8" w:color="BBBBBC"/>
            </w:tcBorders>
          </w:tcPr>
          <w:p>
            <w:pPr>
              <w:spacing w:after="0"/>
              <w:rPr>
                <w:sz w:val="14"/>
                <w:szCs w:val="14"/>
                <w:color w:val="auto"/>
              </w:rPr>
            </w:pPr>
          </w:p>
        </w:tc>
        <w:tc>
          <w:tcPr>
            <w:tcW w:w="1320" w:type="dxa"/>
            <w:vAlign w:val="bottom"/>
            <w:tcBorders>
              <w:right w:val="single" w:sz="8" w:color="DBDBDB"/>
            </w:tcBorders>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2340" w:type="dxa"/>
            <w:vAlign w:val="bottom"/>
          </w:tcPr>
          <w:p>
            <w:pPr>
              <w:spacing w:after="0"/>
              <w:rPr>
                <w:sz w:val="15"/>
                <w:szCs w:val="15"/>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through key leadership hires and a new</w:t>
            </w:r>
          </w:p>
        </w:tc>
        <w:tc>
          <w:tcPr>
            <w:tcW w:w="2660" w:type="dxa"/>
            <w:vAlign w:val="bottom"/>
            <w:tcBorders>
              <w:right w:val="single" w:sz="8" w:color="BBBBBC"/>
            </w:tcBorders>
          </w:tcPr>
          <w:p>
            <w:pPr>
              <w:spacing w:after="0"/>
              <w:rPr>
                <w:sz w:val="15"/>
                <w:szCs w:val="15"/>
                <w:color w:val="auto"/>
              </w:rPr>
            </w:pP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90"/>
        </w:trPr>
        <w:tc>
          <w:tcPr>
            <w:tcW w:w="2340" w:type="dxa"/>
            <w:vAlign w:val="bottom"/>
          </w:tcPr>
          <w:p>
            <w:pPr>
              <w:spacing w:after="0"/>
              <w:rPr>
                <w:sz w:val="16"/>
                <w:szCs w:val="16"/>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commercial operations function.</w:t>
            </w:r>
          </w:p>
        </w:tc>
        <w:tc>
          <w:tcPr>
            <w:tcW w:w="2660" w:type="dxa"/>
            <w:vAlign w:val="bottom"/>
            <w:tcBorders>
              <w:right w:val="single" w:sz="8" w:color="BBBBBC"/>
            </w:tcBorders>
          </w:tcPr>
          <w:p>
            <w:pPr>
              <w:spacing w:after="0"/>
              <w:rPr>
                <w:sz w:val="16"/>
                <w:szCs w:val="16"/>
                <w:color w:val="auto"/>
              </w:rPr>
            </w:pPr>
          </w:p>
        </w:tc>
        <w:tc>
          <w:tcPr>
            <w:tcW w:w="1320" w:type="dxa"/>
            <w:vAlign w:val="bottom"/>
            <w:tcBorders>
              <w:right w:val="single" w:sz="8" w:color="DBDBDB"/>
            </w:tcBorders>
          </w:tcPr>
          <w:p>
            <w:pPr>
              <w:spacing w:after="0"/>
              <w:rPr>
                <w:sz w:val="16"/>
                <w:szCs w:val="16"/>
                <w:color w:val="auto"/>
              </w:rPr>
            </w:pPr>
          </w:p>
        </w:tc>
        <w:tc>
          <w:tcPr>
            <w:tcW w:w="1360" w:type="dxa"/>
            <w:vAlign w:val="bottom"/>
          </w:tcPr>
          <w:p>
            <w:pPr>
              <w:spacing w:after="0"/>
              <w:rPr>
                <w:sz w:val="16"/>
                <w:szCs w:val="16"/>
                <w:color w:val="auto"/>
              </w:rPr>
            </w:pPr>
          </w:p>
        </w:tc>
      </w:tr>
      <w:tr>
        <w:trPr>
          <w:trHeight w:val="22"/>
        </w:trPr>
        <w:tc>
          <w:tcPr>
            <w:tcW w:w="2340" w:type="dxa"/>
            <w:vAlign w:val="bottom"/>
            <w:tcBorders>
              <w:bottom w:val="single" w:sz="8" w:color="003595"/>
            </w:tcBorders>
          </w:tcPr>
          <w:p>
            <w:pPr>
              <w:spacing w:after="0" w:line="20" w:lineRule="exact"/>
              <w:rPr>
                <w:sz w:val="1"/>
                <w:szCs w:val="1"/>
                <w:color w:val="auto"/>
              </w:rPr>
            </w:pPr>
          </w:p>
        </w:tc>
        <w:tc>
          <w:tcPr>
            <w:tcW w:w="2660" w:type="dxa"/>
            <w:vAlign w:val="bottom"/>
            <w:tcBorders>
              <w:bottom w:val="single" w:sz="8" w:color="003595"/>
              <w:right w:val="single" w:sz="8" w:color="BBBBBC"/>
            </w:tcBorders>
          </w:tcPr>
          <w:p>
            <w:pPr>
              <w:spacing w:after="0" w:line="20" w:lineRule="exact"/>
              <w:rPr>
                <w:sz w:val="1"/>
                <w:szCs w:val="1"/>
                <w:color w:val="auto"/>
              </w:rPr>
            </w:pPr>
          </w:p>
        </w:tc>
        <w:tc>
          <w:tcPr>
            <w:tcW w:w="2660" w:type="dxa"/>
            <w:vAlign w:val="bottom"/>
            <w:tcBorders>
              <w:bottom w:val="single" w:sz="8" w:color="003595"/>
              <w:right w:val="single" w:sz="8" w:color="BBBBBC"/>
            </w:tcBorders>
          </w:tcPr>
          <w:p>
            <w:pPr>
              <w:spacing w:after="0" w:line="20" w:lineRule="exact"/>
              <w:rPr>
                <w:sz w:val="1"/>
                <w:szCs w:val="1"/>
                <w:color w:val="auto"/>
              </w:rPr>
            </w:pPr>
          </w:p>
        </w:tc>
        <w:tc>
          <w:tcPr>
            <w:tcW w:w="1320" w:type="dxa"/>
            <w:vAlign w:val="bottom"/>
            <w:tcBorders>
              <w:bottom w:val="single" w:sz="8" w:color="0A2299"/>
              <w:right w:val="single" w:sz="8" w:color="DBDBDB"/>
            </w:tcBorders>
          </w:tcPr>
          <w:p>
            <w:pPr>
              <w:spacing w:after="0" w:line="20" w:lineRule="exact"/>
              <w:rPr>
                <w:sz w:val="1"/>
                <w:szCs w:val="1"/>
                <w:color w:val="auto"/>
              </w:rPr>
            </w:pPr>
          </w:p>
        </w:tc>
        <w:tc>
          <w:tcPr>
            <w:tcW w:w="1360" w:type="dxa"/>
            <w:vAlign w:val="bottom"/>
            <w:tcBorders>
              <w:bottom w:val="single" w:sz="8" w:color="0A2299"/>
            </w:tcBorders>
          </w:tcPr>
          <w:p>
            <w:pPr>
              <w:spacing w:after="0" w:line="20" w:lineRule="exact"/>
              <w:rPr>
                <w:sz w:val="1"/>
                <w:szCs w:val="1"/>
                <w:color w:val="auto"/>
              </w:rPr>
            </w:pPr>
          </w:p>
        </w:tc>
      </w:tr>
      <w:tr>
        <w:trPr>
          <w:trHeight w:val="187"/>
        </w:trPr>
        <w:tc>
          <w:tcPr>
            <w:tcW w:w="2340" w:type="dxa"/>
            <w:vAlign w:val="bottom"/>
          </w:tcPr>
          <w:p>
            <w:pPr>
              <w:ind w:left="20"/>
              <w:spacing w:after="0"/>
              <w:rPr>
                <w:sz w:val="20"/>
                <w:szCs w:val="20"/>
                <w:color w:val="auto"/>
              </w:rPr>
            </w:pPr>
            <w:r>
              <w:rPr>
                <w:rFonts w:ascii="Arial" w:cs="Arial" w:eastAsia="Arial" w:hAnsi="Arial"/>
                <w:sz w:val="16"/>
                <w:szCs w:val="16"/>
                <w:color w:val="auto"/>
              </w:rPr>
              <w:t>Dale Muzzey, Ph.D.</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Included goals relating to advancing the</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The CHCC determined that Dr. Muzzey</w:t>
            </w:r>
          </w:p>
        </w:tc>
        <w:tc>
          <w:tcPr>
            <w:tcW w:w="132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w w:val="99"/>
              </w:rPr>
              <w:t>95%</w:t>
            </w:r>
          </w:p>
        </w:tc>
        <w:tc>
          <w:tcPr>
            <w:tcW w:w="1360" w:type="dxa"/>
            <w:vAlign w:val="bottom"/>
          </w:tcPr>
          <w:p>
            <w:pPr>
              <w:jc w:val="center"/>
              <w:spacing w:after="0"/>
              <w:rPr>
                <w:sz w:val="20"/>
                <w:szCs w:val="20"/>
                <w:color w:val="auto"/>
              </w:rPr>
            </w:pPr>
            <w:r>
              <w:rPr>
                <w:rFonts w:ascii="Arial" w:cs="Arial" w:eastAsia="Arial" w:hAnsi="Arial"/>
                <w:sz w:val="14"/>
                <w:szCs w:val="14"/>
                <w:color w:val="auto"/>
              </w:rPr>
              <w:t>19%</w:t>
            </w:r>
          </w:p>
        </w:tc>
      </w:tr>
      <w:tr>
        <w:trPr>
          <w:trHeight w:val="185"/>
        </w:trPr>
        <w:tc>
          <w:tcPr>
            <w:tcW w:w="2340" w:type="dxa"/>
            <w:vAlign w:val="bottom"/>
          </w:tcPr>
          <w:p>
            <w:pPr>
              <w:ind w:left="240"/>
              <w:spacing w:after="0"/>
              <w:rPr>
                <w:sz w:val="20"/>
                <w:szCs w:val="20"/>
                <w:color w:val="auto"/>
              </w:rPr>
            </w:pPr>
            <w:r>
              <w:rPr>
                <w:rFonts w:ascii="Arial" w:cs="Arial" w:eastAsia="Arial" w:hAnsi="Arial"/>
                <w:sz w:val="16"/>
                <w:szCs w:val="16"/>
                <w:color w:val="auto"/>
              </w:rPr>
              <w:t>Chief Scientific Officer</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clinical product pipeline through new</w:t>
            </w: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achieved his 2025 strategic goals.</w:t>
            </w:r>
          </w:p>
        </w:tc>
        <w:tc>
          <w:tcPr>
            <w:tcW w:w="1320" w:type="dxa"/>
            <w:vAlign w:val="bottom"/>
            <w:tcBorders>
              <w:right w:val="single" w:sz="8" w:color="DBDBDB"/>
            </w:tcBorders>
          </w:tcPr>
          <w:p>
            <w:pPr>
              <w:spacing w:after="0"/>
              <w:rPr>
                <w:sz w:val="16"/>
                <w:szCs w:val="16"/>
                <w:color w:val="auto"/>
              </w:rPr>
            </w:pPr>
          </w:p>
        </w:tc>
        <w:tc>
          <w:tcPr>
            <w:tcW w:w="1360" w:type="dxa"/>
            <w:vAlign w:val="bottom"/>
          </w:tcPr>
          <w:p>
            <w:pPr>
              <w:spacing w:after="0"/>
              <w:rPr>
                <w:sz w:val="16"/>
                <w:szCs w:val="16"/>
                <w:color w:val="auto"/>
              </w:rPr>
            </w:pPr>
          </w:p>
        </w:tc>
      </w:tr>
      <w:tr>
        <w:trPr>
          <w:trHeight w:val="166"/>
        </w:trPr>
        <w:tc>
          <w:tcPr>
            <w:tcW w:w="2340" w:type="dxa"/>
            <w:vAlign w:val="bottom"/>
          </w:tcPr>
          <w:p>
            <w:pPr>
              <w:spacing w:after="0"/>
              <w:rPr>
                <w:sz w:val="14"/>
                <w:szCs w:val="14"/>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launches and panel expansions,</w:t>
            </w:r>
          </w:p>
        </w:tc>
        <w:tc>
          <w:tcPr>
            <w:tcW w:w="2660" w:type="dxa"/>
            <w:vAlign w:val="bottom"/>
            <w:tcBorders>
              <w:right w:val="single" w:sz="8" w:color="BBBBBC"/>
            </w:tcBorders>
          </w:tcPr>
          <w:p>
            <w:pPr>
              <w:spacing w:after="0"/>
              <w:rPr>
                <w:sz w:val="14"/>
                <w:szCs w:val="14"/>
                <w:color w:val="auto"/>
              </w:rPr>
            </w:pPr>
          </w:p>
        </w:tc>
        <w:tc>
          <w:tcPr>
            <w:tcW w:w="1320" w:type="dxa"/>
            <w:vAlign w:val="bottom"/>
            <w:tcBorders>
              <w:right w:val="single" w:sz="8" w:color="DBDBDB"/>
            </w:tcBorders>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achieving key regulatory and publication</w:t>
            </w:r>
          </w:p>
        </w:tc>
        <w:tc>
          <w:tcPr>
            <w:tcW w:w="2660" w:type="dxa"/>
            <w:vAlign w:val="bottom"/>
            <w:tcBorders>
              <w:right w:val="single" w:sz="8" w:color="BBBBBC"/>
            </w:tcBorders>
          </w:tcPr>
          <w:p>
            <w:pPr>
              <w:spacing w:after="0"/>
              <w:rPr>
                <w:sz w:val="14"/>
                <w:szCs w:val="14"/>
                <w:color w:val="auto"/>
              </w:rPr>
            </w:pPr>
          </w:p>
        </w:tc>
        <w:tc>
          <w:tcPr>
            <w:tcW w:w="1320" w:type="dxa"/>
            <w:vAlign w:val="bottom"/>
            <w:tcBorders>
              <w:right w:val="single" w:sz="8" w:color="DBDBDB"/>
            </w:tcBorders>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2340" w:type="dxa"/>
            <w:vAlign w:val="bottom"/>
          </w:tcPr>
          <w:p>
            <w:pPr>
              <w:spacing w:after="0"/>
              <w:rPr>
                <w:sz w:val="15"/>
                <w:szCs w:val="15"/>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milestones, and scaling laboratory</w:t>
            </w:r>
          </w:p>
        </w:tc>
        <w:tc>
          <w:tcPr>
            <w:tcW w:w="2660" w:type="dxa"/>
            <w:vAlign w:val="bottom"/>
            <w:tcBorders>
              <w:right w:val="single" w:sz="8" w:color="BBBBBC"/>
            </w:tcBorders>
          </w:tcPr>
          <w:p>
            <w:pPr>
              <w:spacing w:after="0"/>
              <w:rPr>
                <w:sz w:val="15"/>
                <w:szCs w:val="15"/>
                <w:color w:val="auto"/>
              </w:rPr>
            </w:pP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operations while integrating next-</w:t>
            </w:r>
          </w:p>
        </w:tc>
        <w:tc>
          <w:tcPr>
            <w:tcW w:w="2660" w:type="dxa"/>
            <w:vAlign w:val="bottom"/>
            <w:tcBorders>
              <w:right w:val="single" w:sz="8" w:color="BBBBBC"/>
            </w:tcBorders>
          </w:tcPr>
          <w:p>
            <w:pPr>
              <w:spacing w:after="0"/>
              <w:rPr>
                <w:sz w:val="15"/>
                <w:szCs w:val="15"/>
                <w:color w:val="auto"/>
              </w:rPr>
            </w:pP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2340" w:type="dxa"/>
            <w:vAlign w:val="bottom"/>
          </w:tcPr>
          <w:p>
            <w:pPr>
              <w:spacing w:after="0"/>
              <w:rPr>
                <w:sz w:val="15"/>
                <w:szCs w:val="15"/>
                <w:color w:val="auto"/>
              </w:rPr>
            </w:pPr>
          </w:p>
        </w:tc>
        <w:tc>
          <w:tcPr>
            <w:tcW w:w="2660" w:type="dxa"/>
            <w:vAlign w:val="bottom"/>
            <w:tcBorders>
              <w:right w:val="single" w:sz="8" w:color="BBBBBC"/>
            </w:tcBorders>
          </w:tcPr>
          <w:p>
            <w:pPr>
              <w:ind w:left="20"/>
              <w:spacing w:after="0"/>
              <w:rPr>
                <w:sz w:val="20"/>
                <w:szCs w:val="20"/>
                <w:color w:val="auto"/>
              </w:rPr>
            </w:pPr>
            <w:r>
              <w:rPr>
                <w:rFonts w:ascii="Arial" w:cs="Arial" w:eastAsia="Arial" w:hAnsi="Arial"/>
                <w:sz w:val="14"/>
                <w:szCs w:val="14"/>
                <w:color w:val="auto"/>
              </w:rPr>
              <w:t>generation sequencing technologies into</w:t>
            </w:r>
          </w:p>
        </w:tc>
        <w:tc>
          <w:tcPr>
            <w:tcW w:w="2660" w:type="dxa"/>
            <w:vAlign w:val="bottom"/>
            <w:tcBorders>
              <w:right w:val="single" w:sz="8" w:color="BBBBBC"/>
            </w:tcBorders>
          </w:tcPr>
          <w:p>
            <w:pPr>
              <w:spacing w:after="0"/>
              <w:rPr>
                <w:sz w:val="15"/>
                <w:szCs w:val="15"/>
                <w:color w:val="auto"/>
              </w:rPr>
            </w:pPr>
          </w:p>
        </w:tc>
        <w:tc>
          <w:tcPr>
            <w:tcW w:w="1320" w:type="dxa"/>
            <w:vAlign w:val="bottom"/>
            <w:tcBorders>
              <w:right w:val="single" w:sz="8" w:color="DBDBDB"/>
            </w:tcBorders>
          </w:tcPr>
          <w:p>
            <w:pPr>
              <w:spacing w:after="0"/>
              <w:rPr>
                <w:sz w:val="15"/>
                <w:szCs w:val="15"/>
                <w:color w:val="auto"/>
              </w:rPr>
            </w:pPr>
          </w:p>
        </w:tc>
        <w:tc>
          <w:tcPr>
            <w:tcW w:w="1360" w:type="dxa"/>
            <w:vAlign w:val="bottom"/>
          </w:tcPr>
          <w:p>
            <w:pPr>
              <w:spacing w:after="0"/>
              <w:rPr>
                <w:sz w:val="15"/>
                <w:szCs w:val="15"/>
                <w:color w:val="auto"/>
              </w:rPr>
            </w:pPr>
          </w:p>
        </w:tc>
      </w:tr>
      <w:tr>
        <w:trPr>
          <w:trHeight w:val="194"/>
        </w:trPr>
        <w:tc>
          <w:tcPr>
            <w:tcW w:w="2340" w:type="dxa"/>
            <w:vAlign w:val="bottom"/>
            <w:tcBorders>
              <w:bottom w:val="single" w:sz="8" w:color="003595"/>
            </w:tcBorders>
          </w:tcPr>
          <w:p>
            <w:pPr>
              <w:spacing w:after="0"/>
              <w:rPr>
                <w:sz w:val="16"/>
                <w:szCs w:val="16"/>
                <w:color w:val="auto"/>
              </w:rPr>
            </w:pPr>
          </w:p>
        </w:tc>
        <w:tc>
          <w:tcPr>
            <w:tcW w:w="2660" w:type="dxa"/>
            <w:vAlign w:val="bottom"/>
            <w:tcBorders>
              <w:bottom w:val="single" w:sz="8" w:color="003595"/>
              <w:right w:val="single" w:sz="8" w:color="BBBBBC"/>
            </w:tcBorders>
          </w:tcPr>
          <w:p>
            <w:pPr>
              <w:ind w:left="20"/>
              <w:spacing w:after="0"/>
              <w:rPr>
                <w:sz w:val="20"/>
                <w:szCs w:val="20"/>
                <w:color w:val="auto"/>
              </w:rPr>
            </w:pPr>
            <w:r>
              <w:rPr>
                <w:rFonts w:ascii="Arial" w:cs="Arial" w:eastAsia="Arial" w:hAnsi="Arial"/>
                <w:sz w:val="14"/>
                <w:szCs w:val="14"/>
                <w:color w:val="auto"/>
              </w:rPr>
              <w:t>the long-term R&amp;D strategy.</w:t>
            </w:r>
          </w:p>
        </w:tc>
        <w:tc>
          <w:tcPr>
            <w:tcW w:w="2660" w:type="dxa"/>
            <w:vAlign w:val="bottom"/>
            <w:tcBorders>
              <w:bottom w:val="single" w:sz="8" w:color="003595"/>
              <w:right w:val="single" w:sz="8" w:color="BBBBBC"/>
            </w:tcBorders>
          </w:tcPr>
          <w:p>
            <w:pPr>
              <w:spacing w:after="0"/>
              <w:rPr>
                <w:sz w:val="16"/>
                <w:szCs w:val="16"/>
                <w:color w:val="auto"/>
              </w:rPr>
            </w:pPr>
          </w:p>
        </w:tc>
        <w:tc>
          <w:tcPr>
            <w:tcW w:w="1320" w:type="dxa"/>
            <w:vAlign w:val="bottom"/>
            <w:tcBorders>
              <w:bottom w:val="single" w:sz="8" w:color="0A2299"/>
              <w:right w:val="single" w:sz="8" w:color="DBDBDB"/>
            </w:tcBorders>
          </w:tcPr>
          <w:p>
            <w:pPr>
              <w:spacing w:after="0"/>
              <w:rPr>
                <w:sz w:val="16"/>
                <w:szCs w:val="16"/>
                <w:color w:val="auto"/>
              </w:rPr>
            </w:pPr>
          </w:p>
        </w:tc>
        <w:tc>
          <w:tcPr>
            <w:tcW w:w="1360" w:type="dxa"/>
            <w:vAlign w:val="bottom"/>
            <w:tcBorders>
              <w:bottom w:val="single" w:sz="8" w:color="0A2299"/>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sectPr>
      </w:pPr>
    </w:p>
    <w:bookmarkStart w:id="47" w:name="page48"/>
    <w:bookmarkEnd w:id="47"/>
    <w:p>
      <w:pPr>
        <w:spacing w:after="0" w:line="286" w:lineRule="auto"/>
        <w:rPr>
          <w:sz w:val="20"/>
          <w:szCs w:val="20"/>
          <w:color w:val="auto"/>
        </w:rPr>
      </w:pPr>
      <w:r>
        <w:rPr>
          <w:rFonts w:ascii="Arial" w:cs="Arial" w:eastAsia="Arial" w:hAnsi="Arial"/>
          <w:sz w:val="16"/>
          <w:szCs w:val="16"/>
          <w:color w:val="auto"/>
        </w:rPr>
        <w:t>In February 2026, the CHCC determined the payout percentage for each performance metric based on the actual level of performance achieved in 2025 for each of the performance metrics. The CHCC then determined the cash incentive bonuses for our NEOs for 2025 as set forth in the chart below.</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3540" w:type="dxa"/>
            <w:vAlign w:val="bottom"/>
            <w:vMerge w:val="restart"/>
            <w:shd w:val="clear" w:color="auto" w:fill="003595"/>
          </w:tcPr>
          <w:p>
            <w:pPr>
              <w:ind w:left="40"/>
              <w:spacing w:after="0"/>
              <w:rPr>
                <w:sz w:val="20"/>
                <w:szCs w:val="20"/>
                <w:color w:val="auto"/>
              </w:rPr>
            </w:pPr>
            <w:r>
              <w:rPr>
                <w:rFonts w:ascii="Arial" w:cs="Arial" w:eastAsia="Arial" w:hAnsi="Arial"/>
                <w:sz w:val="16"/>
                <w:szCs w:val="16"/>
                <w:b w:val="1"/>
                <w:bCs w:val="1"/>
                <w:color w:val="FFFFFF"/>
              </w:rPr>
              <w:t>Named Executive Officer</w:t>
            </w:r>
          </w:p>
        </w:tc>
        <w:tc>
          <w:tcPr>
            <w:tcW w:w="1700" w:type="dxa"/>
            <w:vAlign w:val="bottom"/>
            <w:vMerge w:val="restart"/>
            <w:shd w:val="clear" w:color="auto" w:fill="003595"/>
          </w:tcPr>
          <w:p>
            <w:pPr>
              <w:jc w:val="center"/>
              <w:ind w:left="139"/>
              <w:spacing w:after="0"/>
              <w:rPr>
                <w:sz w:val="20"/>
                <w:szCs w:val="20"/>
                <w:color w:val="auto"/>
              </w:rPr>
            </w:pPr>
            <w:r>
              <w:rPr>
                <w:rFonts w:ascii="Arial" w:cs="Arial" w:eastAsia="Arial" w:hAnsi="Arial"/>
                <w:sz w:val="16"/>
                <w:szCs w:val="16"/>
                <w:b w:val="1"/>
                <w:bCs w:val="1"/>
                <w:color w:val="FFFFFF"/>
              </w:rPr>
              <w:t>Base Salary</w:t>
            </w:r>
          </w:p>
        </w:tc>
        <w:tc>
          <w:tcPr>
            <w:tcW w:w="2280" w:type="dxa"/>
            <w:vAlign w:val="bottom"/>
            <w:shd w:val="clear" w:color="auto" w:fill="003595"/>
          </w:tcPr>
          <w:p>
            <w:pPr>
              <w:ind w:left="300"/>
              <w:spacing w:after="0"/>
              <w:rPr>
                <w:sz w:val="20"/>
                <w:szCs w:val="20"/>
                <w:color w:val="auto"/>
              </w:rPr>
            </w:pPr>
            <w:r>
              <w:rPr>
                <w:rFonts w:ascii="Arial" w:cs="Arial" w:eastAsia="Arial" w:hAnsi="Arial"/>
                <w:sz w:val="16"/>
                <w:szCs w:val="16"/>
                <w:b w:val="1"/>
                <w:bCs w:val="1"/>
                <w:color w:val="FFFFFF"/>
              </w:rPr>
              <w:t>Target Incentive Bonus</w:t>
            </w:r>
          </w:p>
        </w:tc>
        <w:tc>
          <w:tcPr>
            <w:tcW w:w="146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w w:val="99"/>
              </w:rPr>
              <w:t>Total Payout</w:t>
            </w:r>
          </w:p>
        </w:tc>
        <w:tc>
          <w:tcPr>
            <w:tcW w:w="2120" w:type="dxa"/>
            <w:vAlign w:val="bottom"/>
            <w:vMerge w:val="restart"/>
            <w:shd w:val="clear" w:color="auto" w:fill="003595"/>
          </w:tcPr>
          <w:p>
            <w:pPr>
              <w:jc w:val="center"/>
              <w:ind w:left="59"/>
              <w:spacing w:after="0"/>
              <w:rPr>
                <w:sz w:val="20"/>
                <w:szCs w:val="20"/>
                <w:color w:val="auto"/>
              </w:rPr>
            </w:pPr>
            <w:r>
              <w:rPr>
                <w:rFonts w:ascii="Arial" w:cs="Arial" w:eastAsia="Arial" w:hAnsi="Arial"/>
                <w:sz w:val="16"/>
                <w:szCs w:val="16"/>
                <w:b w:val="1"/>
                <w:bCs w:val="1"/>
                <w:color w:val="FFFFFF"/>
              </w:rPr>
              <w:t>2025 Bonus Payment ($)</w:t>
            </w:r>
          </w:p>
        </w:tc>
        <w:tc>
          <w:tcPr>
            <w:tcW w:w="0" w:type="dxa"/>
            <w:vAlign w:val="bottom"/>
          </w:tcPr>
          <w:p>
            <w:pPr>
              <w:spacing w:after="0"/>
              <w:rPr>
                <w:sz w:val="1"/>
                <w:szCs w:val="1"/>
                <w:color w:val="auto"/>
              </w:rPr>
            </w:pPr>
          </w:p>
        </w:tc>
      </w:tr>
      <w:tr>
        <w:trPr>
          <w:trHeight w:val="257"/>
        </w:trPr>
        <w:tc>
          <w:tcPr>
            <w:tcW w:w="3540" w:type="dxa"/>
            <w:vAlign w:val="bottom"/>
            <w:vMerge w:val="continue"/>
            <w:shd w:val="clear" w:color="auto" w:fill="003595"/>
          </w:tcPr>
          <w:p>
            <w:pPr>
              <w:spacing w:after="0"/>
              <w:rPr>
                <w:sz w:val="22"/>
                <w:szCs w:val="22"/>
                <w:color w:val="auto"/>
              </w:rPr>
            </w:pPr>
          </w:p>
        </w:tc>
        <w:tc>
          <w:tcPr>
            <w:tcW w:w="1700" w:type="dxa"/>
            <w:vAlign w:val="bottom"/>
            <w:vMerge w:val="continue"/>
            <w:shd w:val="clear" w:color="auto" w:fill="003595"/>
          </w:tcPr>
          <w:p>
            <w:pPr>
              <w:spacing w:after="0"/>
              <w:rPr>
                <w:sz w:val="22"/>
                <w:szCs w:val="22"/>
                <w:color w:val="auto"/>
              </w:rPr>
            </w:pPr>
          </w:p>
        </w:tc>
        <w:tc>
          <w:tcPr>
            <w:tcW w:w="2280" w:type="dxa"/>
            <w:vAlign w:val="bottom"/>
            <w:shd w:val="clear" w:color="auto" w:fill="003595"/>
          </w:tcPr>
          <w:p>
            <w:pPr>
              <w:ind w:left="300"/>
              <w:spacing w:after="0"/>
              <w:rPr>
                <w:sz w:val="20"/>
                <w:szCs w:val="20"/>
                <w:color w:val="auto"/>
              </w:rPr>
            </w:pPr>
            <w:r>
              <w:rPr>
                <w:rFonts w:ascii="Arial" w:cs="Arial" w:eastAsia="Arial" w:hAnsi="Arial"/>
                <w:sz w:val="16"/>
                <w:szCs w:val="16"/>
                <w:b w:val="1"/>
                <w:bCs w:val="1"/>
                <w:color w:val="FFFFFF"/>
              </w:rPr>
              <w:t>(as a % of Base Salary)</w:t>
            </w:r>
          </w:p>
        </w:tc>
        <w:tc>
          <w:tcPr>
            <w:tcW w:w="146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w w:val="98"/>
              </w:rPr>
              <w:t xml:space="preserve">Percentage </w:t>
            </w:r>
            <w:r>
              <w:rPr>
                <w:rFonts w:ascii="Arial" w:cs="Arial" w:eastAsia="Arial" w:hAnsi="Arial"/>
                <w:sz w:val="21"/>
                <w:szCs w:val="21"/>
                <w:b w:val="1"/>
                <w:bCs w:val="1"/>
                <w:color w:val="FFFFFF"/>
                <w:w w:val="98"/>
                <w:vertAlign w:val="superscript"/>
              </w:rPr>
              <w:t>(1)</w:t>
            </w:r>
          </w:p>
        </w:tc>
        <w:tc>
          <w:tcPr>
            <w:tcW w:w="2120" w:type="dxa"/>
            <w:vAlign w:val="bottom"/>
            <w:vMerge w:val="continue"/>
            <w:shd w:val="clear" w:color="auto" w:fill="003595"/>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20"/>
                <w:szCs w:val="20"/>
                <w:color w:val="auto"/>
              </w:rPr>
            </w:pPr>
            <w:r>
              <w:rPr>
                <w:rFonts w:ascii="Arial" w:cs="Arial" w:eastAsia="Arial" w:hAnsi="Arial"/>
                <w:sz w:val="16"/>
                <w:szCs w:val="16"/>
                <w:color w:val="auto"/>
              </w:rPr>
              <w:t>Samraat S. Raha</w:t>
            </w:r>
          </w:p>
        </w:tc>
        <w:tc>
          <w:tcPr>
            <w:tcW w:w="1700" w:type="dxa"/>
            <w:vAlign w:val="bottom"/>
            <w:vMerge w:val="restart"/>
          </w:tcPr>
          <w:p>
            <w:pPr>
              <w:jc w:val="center"/>
              <w:ind w:left="119"/>
              <w:spacing w:after="0"/>
              <w:rPr>
                <w:sz w:val="20"/>
                <w:szCs w:val="20"/>
                <w:color w:val="auto"/>
              </w:rPr>
            </w:pPr>
            <w:r>
              <w:rPr>
                <w:rFonts w:ascii="Arial" w:cs="Arial" w:eastAsia="Arial" w:hAnsi="Arial"/>
                <w:sz w:val="16"/>
                <w:szCs w:val="16"/>
                <w:color w:val="auto"/>
                <w:w w:val="98"/>
              </w:rPr>
              <w:t>$920,000</w:t>
            </w:r>
          </w:p>
        </w:tc>
        <w:tc>
          <w:tcPr>
            <w:tcW w:w="2280" w:type="dxa"/>
            <w:vAlign w:val="bottom"/>
            <w:vMerge w:val="restart"/>
          </w:tcPr>
          <w:p>
            <w:pPr>
              <w:jc w:val="center"/>
              <w:spacing w:after="0"/>
              <w:rPr>
                <w:sz w:val="20"/>
                <w:szCs w:val="20"/>
                <w:color w:val="auto"/>
              </w:rPr>
            </w:pPr>
            <w:r>
              <w:rPr>
                <w:rFonts w:ascii="Arial" w:cs="Arial" w:eastAsia="Arial" w:hAnsi="Arial"/>
                <w:sz w:val="16"/>
                <w:szCs w:val="16"/>
                <w:color w:val="auto"/>
                <w:w w:val="97"/>
              </w:rPr>
              <w:t>100%</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89%</w:t>
            </w:r>
          </w:p>
        </w:tc>
        <w:tc>
          <w:tcPr>
            <w:tcW w:w="2120" w:type="dxa"/>
            <w:vAlign w:val="bottom"/>
            <w:vMerge w:val="restart"/>
          </w:tcPr>
          <w:p>
            <w:pPr>
              <w:jc w:val="center"/>
              <w:ind w:left="39"/>
              <w:spacing w:after="0"/>
              <w:rPr>
                <w:sz w:val="20"/>
                <w:szCs w:val="20"/>
                <w:color w:val="auto"/>
              </w:rPr>
            </w:pPr>
            <w:r>
              <w:rPr>
                <w:rFonts w:ascii="Arial" w:cs="Arial" w:eastAsia="Arial" w:hAnsi="Arial"/>
                <w:sz w:val="16"/>
                <w:szCs w:val="16"/>
                <w:color w:val="auto"/>
              </w:rPr>
              <w:t>$814,660</w:t>
            </w:r>
          </w:p>
        </w:tc>
        <w:tc>
          <w:tcPr>
            <w:tcW w:w="0" w:type="dxa"/>
            <w:vAlign w:val="bottom"/>
          </w:tcPr>
          <w:p>
            <w:pPr>
              <w:spacing w:after="0"/>
              <w:rPr>
                <w:sz w:val="1"/>
                <w:szCs w:val="1"/>
                <w:color w:val="auto"/>
              </w:rPr>
            </w:pPr>
          </w:p>
        </w:tc>
      </w:tr>
      <w:tr>
        <w:trPr>
          <w:trHeight w:val="107"/>
        </w:trPr>
        <w:tc>
          <w:tcPr>
            <w:tcW w:w="3540" w:type="dxa"/>
            <w:vAlign w:val="bottom"/>
            <w:vMerge w:val="restart"/>
          </w:tcPr>
          <w:p>
            <w:pPr>
              <w:ind w:left="160"/>
              <w:spacing w:after="0"/>
              <w:rPr>
                <w:sz w:val="20"/>
                <w:szCs w:val="20"/>
                <w:color w:val="auto"/>
              </w:rPr>
            </w:pPr>
            <w:r>
              <w:rPr>
                <w:rFonts w:ascii="Arial" w:cs="Arial" w:eastAsia="Arial" w:hAnsi="Arial"/>
                <w:sz w:val="16"/>
                <w:szCs w:val="16"/>
                <w:color w:val="auto"/>
              </w:rPr>
              <w:t>President and Chief Executive Officer</w:t>
            </w:r>
          </w:p>
        </w:tc>
        <w:tc>
          <w:tcPr>
            <w:tcW w:w="170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540" w:type="dxa"/>
            <w:vAlign w:val="bottom"/>
            <w:tcBorders>
              <w:bottom w:val="single" w:sz="8" w:color="003595"/>
            </w:tcBorders>
          </w:tcPr>
          <w:p>
            <w:pPr>
              <w:spacing w:after="0"/>
              <w:rPr>
                <w:sz w:val="2"/>
                <w:szCs w:val="2"/>
                <w:color w:val="auto"/>
              </w:rPr>
            </w:pPr>
          </w:p>
        </w:tc>
        <w:tc>
          <w:tcPr>
            <w:tcW w:w="1700" w:type="dxa"/>
            <w:vAlign w:val="bottom"/>
            <w:tcBorders>
              <w:bottom w:val="single" w:sz="8" w:color="003595"/>
            </w:tcBorders>
          </w:tcPr>
          <w:p>
            <w:pPr>
              <w:spacing w:after="0"/>
              <w:rPr>
                <w:sz w:val="2"/>
                <w:szCs w:val="2"/>
                <w:color w:val="auto"/>
              </w:rPr>
            </w:pPr>
          </w:p>
        </w:tc>
        <w:tc>
          <w:tcPr>
            <w:tcW w:w="2280" w:type="dxa"/>
            <w:vAlign w:val="bottom"/>
            <w:tcBorders>
              <w:bottom w:val="single" w:sz="8" w:color="003595"/>
            </w:tcBorders>
          </w:tcPr>
          <w:p>
            <w:pPr>
              <w:spacing w:after="0"/>
              <w:rPr>
                <w:sz w:val="2"/>
                <w:szCs w:val="2"/>
                <w:color w:val="auto"/>
              </w:rPr>
            </w:pPr>
          </w:p>
        </w:tc>
        <w:tc>
          <w:tcPr>
            <w:tcW w:w="1460" w:type="dxa"/>
            <w:vAlign w:val="bottom"/>
            <w:tcBorders>
              <w:bottom w:val="single" w:sz="8" w:color="003595"/>
            </w:tcBorders>
          </w:tcPr>
          <w:p>
            <w:pPr>
              <w:spacing w:after="0"/>
              <w:rPr>
                <w:sz w:val="2"/>
                <w:szCs w:val="2"/>
                <w:color w:val="auto"/>
              </w:rPr>
            </w:pPr>
          </w:p>
        </w:tc>
        <w:tc>
          <w:tcPr>
            <w:tcW w:w="21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20"/>
                <w:szCs w:val="20"/>
                <w:color w:val="auto"/>
              </w:rPr>
            </w:pPr>
            <w:r>
              <w:rPr>
                <w:rFonts w:ascii="Arial" w:cs="Arial" w:eastAsia="Arial" w:hAnsi="Arial"/>
                <w:sz w:val="16"/>
                <w:szCs w:val="16"/>
                <w:color w:val="auto"/>
              </w:rPr>
              <w:t>Benjamin R. Wheeler</w:t>
            </w:r>
          </w:p>
        </w:tc>
        <w:tc>
          <w:tcPr>
            <w:tcW w:w="1700" w:type="dxa"/>
            <w:vAlign w:val="bottom"/>
            <w:vMerge w:val="restart"/>
          </w:tcPr>
          <w:p>
            <w:pPr>
              <w:jc w:val="center"/>
              <w:ind w:left="119"/>
              <w:spacing w:after="0"/>
              <w:rPr>
                <w:sz w:val="20"/>
                <w:szCs w:val="20"/>
                <w:color w:val="auto"/>
              </w:rPr>
            </w:pPr>
            <w:r>
              <w:rPr>
                <w:rFonts w:ascii="Arial" w:cs="Arial" w:eastAsia="Arial" w:hAnsi="Arial"/>
                <w:sz w:val="16"/>
                <w:szCs w:val="16"/>
                <w:color w:val="auto"/>
                <w:w w:val="98"/>
              </w:rPr>
              <w:t>$490,000</w:t>
            </w:r>
          </w:p>
        </w:tc>
        <w:tc>
          <w:tcPr>
            <w:tcW w:w="2280" w:type="dxa"/>
            <w:vAlign w:val="bottom"/>
            <w:vMerge w:val="restart"/>
          </w:tcPr>
          <w:p>
            <w:pPr>
              <w:jc w:val="center"/>
              <w:spacing w:after="0"/>
              <w:rPr>
                <w:sz w:val="20"/>
                <w:szCs w:val="20"/>
                <w:color w:val="auto"/>
              </w:rPr>
            </w:pPr>
            <w:r>
              <w:rPr>
                <w:rFonts w:ascii="Arial" w:cs="Arial" w:eastAsia="Arial" w:hAnsi="Arial"/>
                <w:sz w:val="16"/>
                <w:szCs w:val="16"/>
                <w:color w:val="auto"/>
                <w:w w:val="99"/>
              </w:rPr>
              <w:t>75%</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89%</w:t>
            </w:r>
          </w:p>
        </w:tc>
        <w:tc>
          <w:tcPr>
            <w:tcW w:w="2120" w:type="dxa"/>
            <w:vAlign w:val="bottom"/>
            <w:vMerge w:val="restart"/>
          </w:tcPr>
          <w:p>
            <w:pPr>
              <w:jc w:val="center"/>
              <w:ind w:left="39"/>
              <w:spacing w:after="0"/>
              <w:rPr>
                <w:sz w:val="20"/>
                <w:szCs w:val="20"/>
                <w:color w:val="auto"/>
              </w:rPr>
            </w:pPr>
            <w:r>
              <w:rPr>
                <w:rFonts w:ascii="Arial" w:cs="Arial" w:eastAsia="Arial" w:hAnsi="Arial"/>
                <w:sz w:val="16"/>
                <w:szCs w:val="16"/>
                <w:color w:val="auto"/>
              </w:rPr>
              <w:t>$325,421</w:t>
            </w:r>
          </w:p>
        </w:tc>
        <w:tc>
          <w:tcPr>
            <w:tcW w:w="0" w:type="dxa"/>
            <w:vAlign w:val="bottom"/>
          </w:tcPr>
          <w:p>
            <w:pPr>
              <w:spacing w:after="0"/>
              <w:rPr>
                <w:sz w:val="1"/>
                <w:szCs w:val="1"/>
                <w:color w:val="auto"/>
              </w:rPr>
            </w:pPr>
          </w:p>
        </w:tc>
      </w:tr>
      <w:tr>
        <w:trPr>
          <w:trHeight w:val="107"/>
        </w:trPr>
        <w:tc>
          <w:tcPr>
            <w:tcW w:w="3540" w:type="dxa"/>
            <w:vAlign w:val="bottom"/>
            <w:vMerge w:val="restart"/>
          </w:tcPr>
          <w:p>
            <w:pPr>
              <w:ind w:left="160"/>
              <w:spacing w:after="0"/>
              <w:rPr>
                <w:sz w:val="20"/>
                <w:szCs w:val="20"/>
                <w:color w:val="auto"/>
              </w:rPr>
            </w:pPr>
            <w:r>
              <w:rPr>
                <w:rFonts w:ascii="Arial" w:cs="Arial" w:eastAsia="Arial" w:hAnsi="Arial"/>
                <w:sz w:val="16"/>
                <w:szCs w:val="16"/>
                <w:color w:val="auto"/>
              </w:rPr>
              <w:t>Chief Financial Officer</w:t>
            </w:r>
          </w:p>
        </w:tc>
        <w:tc>
          <w:tcPr>
            <w:tcW w:w="170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540" w:type="dxa"/>
            <w:vAlign w:val="bottom"/>
            <w:tcBorders>
              <w:bottom w:val="single" w:sz="8" w:color="003595"/>
            </w:tcBorders>
          </w:tcPr>
          <w:p>
            <w:pPr>
              <w:spacing w:after="0"/>
              <w:rPr>
                <w:sz w:val="2"/>
                <w:szCs w:val="2"/>
                <w:color w:val="auto"/>
              </w:rPr>
            </w:pPr>
          </w:p>
        </w:tc>
        <w:tc>
          <w:tcPr>
            <w:tcW w:w="1700" w:type="dxa"/>
            <w:vAlign w:val="bottom"/>
            <w:tcBorders>
              <w:bottom w:val="single" w:sz="8" w:color="003595"/>
            </w:tcBorders>
          </w:tcPr>
          <w:p>
            <w:pPr>
              <w:spacing w:after="0"/>
              <w:rPr>
                <w:sz w:val="2"/>
                <w:szCs w:val="2"/>
                <w:color w:val="auto"/>
              </w:rPr>
            </w:pPr>
          </w:p>
        </w:tc>
        <w:tc>
          <w:tcPr>
            <w:tcW w:w="2280" w:type="dxa"/>
            <w:vAlign w:val="bottom"/>
            <w:tcBorders>
              <w:bottom w:val="single" w:sz="8" w:color="003595"/>
            </w:tcBorders>
          </w:tcPr>
          <w:p>
            <w:pPr>
              <w:spacing w:after="0"/>
              <w:rPr>
                <w:sz w:val="2"/>
                <w:szCs w:val="2"/>
                <w:color w:val="auto"/>
              </w:rPr>
            </w:pPr>
          </w:p>
        </w:tc>
        <w:tc>
          <w:tcPr>
            <w:tcW w:w="1460" w:type="dxa"/>
            <w:vAlign w:val="bottom"/>
            <w:tcBorders>
              <w:bottom w:val="single" w:sz="8" w:color="003595"/>
            </w:tcBorders>
          </w:tcPr>
          <w:p>
            <w:pPr>
              <w:spacing w:after="0"/>
              <w:rPr>
                <w:sz w:val="2"/>
                <w:szCs w:val="2"/>
                <w:color w:val="auto"/>
              </w:rPr>
            </w:pPr>
          </w:p>
        </w:tc>
        <w:tc>
          <w:tcPr>
            <w:tcW w:w="21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20"/>
                <w:szCs w:val="20"/>
                <w:color w:val="auto"/>
              </w:rPr>
            </w:pPr>
            <w:r>
              <w:rPr>
                <w:rFonts w:ascii="Arial" w:cs="Arial" w:eastAsia="Arial" w:hAnsi="Arial"/>
                <w:sz w:val="16"/>
                <w:szCs w:val="16"/>
                <w:color w:val="auto"/>
              </w:rPr>
              <w:t>Mark S. Verratti</w:t>
            </w:r>
          </w:p>
        </w:tc>
        <w:tc>
          <w:tcPr>
            <w:tcW w:w="1700" w:type="dxa"/>
            <w:vAlign w:val="bottom"/>
            <w:vMerge w:val="restart"/>
          </w:tcPr>
          <w:p>
            <w:pPr>
              <w:jc w:val="center"/>
              <w:ind w:left="119"/>
              <w:spacing w:after="0"/>
              <w:rPr>
                <w:sz w:val="20"/>
                <w:szCs w:val="20"/>
                <w:color w:val="auto"/>
              </w:rPr>
            </w:pPr>
            <w:r>
              <w:rPr>
                <w:rFonts w:ascii="Arial" w:cs="Arial" w:eastAsia="Arial" w:hAnsi="Arial"/>
                <w:sz w:val="16"/>
                <w:szCs w:val="16"/>
                <w:color w:val="auto"/>
                <w:w w:val="98"/>
              </w:rPr>
              <w:t>$660,000</w:t>
            </w:r>
          </w:p>
        </w:tc>
        <w:tc>
          <w:tcPr>
            <w:tcW w:w="2280" w:type="dxa"/>
            <w:vAlign w:val="bottom"/>
            <w:vMerge w:val="restart"/>
          </w:tcPr>
          <w:p>
            <w:pPr>
              <w:jc w:val="center"/>
              <w:spacing w:after="0"/>
              <w:rPr>
                <w:sz w:val="20"/>
                <w:szCs w:val="20"/>
                <w:color w:val="auto"/>
              </w:rPr>
            </w:pPr>
            <w:r>
              <w:rPr>
                <w:rFonts w:ascii="Arial" w:cs="Arial" w:eastAsia="Arial" w:hAnsi="Arial"/>
                <w:sz w:val="16"/>
                <w:szCs w:val="16"/>
                <w:color w:val="auto"/>
                <w:w w:val="99"/>
              </w:rPr>
              <w:t>75%</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89%</w:t>
            </w:r>
          </w:p>
        </w:tc>
        <w:tc>
          <w:tcPr>
            <w:tcW w:w="2120" w:type="dxa"/>
            <w:vAlign w:val="bottom"/>
            <w:vMerge w:val="restart"/>
          </w:tcPr>
          <w:p>
            <w:pPr>
              <w:jc w:val="center"/>
              <w:ind w:left="39"/>
              <w:spacing w:after="0"/>
              <w:rPr>
                <w:sz w:val="20"/>
                <w:szCs w:val="20"/>
                <w:color w:val="auto"/>
              </w:rPr>
            </w:pPr>
            <w:r>
              <w:rPr>
                <w:rFonts w:ascii="Arial" w:cs="Arial" w:eastAsia="Arial" w:hAnsi="Arial"/>
                <w:sz w:val="16"/>
                <w:szCs w:val="16"/>
                <w:color w:val="auto"/>
              </w:rPr>
              <w:t>$438,323</w:t>
            </w:r>
          </w:p>
        </w:tc>
        <w:tc>
          <w:tcPr>
            <w:tcW w:w="0" w:type="dxa"/>
            <w:vAlign w:val="bottom"/>
          </w:tcPr>
          <w:p>
            <w:pPr>
              <w:spacing w:after="0"/>
              <w:rPr>
                <w:sz w:val="1"/>
                <w:szCs w:val="1"/>
                <w:color w:val="auto"/>
              </w:rPr>
            </w:pPr>
          </w:p>
        </w:tc>
      </w:tr>
      <w:tr>
        <w:trPr>
          <w:trHeight w:val="107"/>
        </w:trPr>
        <w:tc>
          <w:tcPr>
            <w:tcW w:w="3540" w:type="dxa"/>
            <w:vAlign w:val="bottom"/>
            <w:vMerge w:val="restart"/>
          </w:tcPr>
          <w:p>
            <w:pPr>
              <w:ind w:left="160"/>
              <w:spacing w:after="0"/>
              <w:rPr>
                <w:sz w:val="20"/>
                <w:szCs w:val="20"/>
                <w:color w:val="auto"/>
              </w:rPr>
            </w:pPr>
            <w:r>
              <w:rPr>
                <w:rFonts w:ascii="Arial" w:cs="Arial" w:eastAsia="Arial" w:hAnsi="Arial"/>
                <w:sz w:val="16"/>
                <w:szCs w:val="16"/>
                <w:color w:val="auto"/>
              </w:rPr>
              <w:t>Chief Operating Officer</w:t>
            </w:r>
          </w:p>
        </w:tc>
        <w:tc>
          <w:tcPr>
            <w:tcW w:w="170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540" w:type="dxa"/>
            <w:vAlign w:val="bottom"/>
            <w:tcBorders>
              <w:bottom w:val="single" w:sz="8" w:color="003595"/>
            </w:tcBorders>
          </w:tcPr>
          <w:p>
            <w:pPr>
              <w:spacing w:after="0"/>
              <w:rPr>
                <w:sz w:val="2"/>
                <w:szCs w:val="2"/>
                <w:color w:val="auto"/>
              </w:rPr>
            </w:pPr>
          </w:p>
        </w:tc>
        <w:tc>
          <w:tcPr>
            <w:tcW w:w="1700" w:type="dxa"/>
            <w:vAlign w:val="bottom"/>
            <w:tcBorders>
              <w:bottom w:val="single" w:sz="8" w:color="003595"/>
            </w:tcBorders>
          </w:tcPr>
          <w:p>
            <w:pPr>
              <w:spacing w:after="0"/>
              <w:rPr>
                <w:sz w:val="2"/>
                <w:szCs w:val="2"/>
                <w:color w:val="auto"/>
              </w:rPr>
            </w:pPr>
          </w:p>
        </w:tc>
        <w:tc>
          <w:tcPr>
            <w:tcW w:w="2280" w:type="dxa"/>
            <w:vAlign w:val="bottom"/>
            <w:tcBorders>
              <w:bottom w:val="single" w:sz="8" w:color="003595"/>
            </w:tcBorders>
          </w:tcPr>
          <w:p>
            <w:pPr>
              <w:spacing w:after="0"/>
              <w:rPr>
                <w:sz w:val="2"/>
                <w:szCs w:val="2"/>
                <w:color w:val="auto"/>
              </w:rPr>
            </w:pPr>
          </w:p>
        </w:tc>
        <w:tc>
          <w:tcPr>
            <w:tcW w:w="1460" w:type="dxa"/>
            <w:vAlign w:val="bottom"/>
            <w:tcBorders>
              <w:bottom w:val="single" w:sz="8" w:color="003595"/>
            </w:tcBorders>
          </w:tcPr>
          <w:p>
            <w:pPr>
              <w:spacing w:after="0"/>
              <w:rPr>
                <w:sz w:val="2"/>
                <w:szCs w:val="2"/>
                <w:color w:val="auto"/>
              </w:rPr>
            </w:pPr>
          </w:p>
        </w:tc>
        <w:tc>
          <w:tcPr>
            <w:tcW w:w="21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20"/>
                <w:szCs w:val="20"/>
                <w:color w:val="auto"/>
              </w:rPr>
            </w:pPr>
            <w:r>
              <w:rPr>
                <w:rFonts w:ascii="Arial" w:cs="Arial" w:eastAsia="Arial" w:hAnsi="Arial"/>
                <w:sz w:val="16"/>
                <w:szCs w:val="16"/>
                <w:color w:val="auto"/>
              </w:rPr>
              <w:t>Brian J. Donnelly</w:t>
            </w:r>
          </w:p>
        </w:tc>
        <w:tc>
          <w:tcPr>
            <w:tcW w:w="1700" w:type="dxa"/>
            <w:vAlign w:val="bottom"/>
            <w:vMerge w:val="restart"/>
          </w:tcPr>
          <w:p>
            <w:pPr>
              <w:jc w:val="center"/>
              <w:ind w:left="119"/>
              <w:spacing w:after="0"/>
              <w:rPr>
                <w:sz w:val="20"/>
                <w:szCs w:val="20"/>
                <w:color w:val="auto"/>
              </w:rPr>
            </w:pPr>
            <w:r>
              <w:rPr>
                <w:rFonts w:ascii="Arial" w:cs="Arial" w:eastAsia="Arial" w:hAnsi="Arial"/>
                <w:sz w:val="16"/>
                <w:szCs w:val="16"/>
                <w:color w:val="auto"/>
                <w:w w:val="98"/>
              </w:rPr>
              <w:t>$560,000</w:t>
            </w:r>
          </w:p>
        </w:tc>
        <w:tc>
          <w:tcPr>
            <w:tcW w:w="2280" w:type="dxa"/>
            <w:vAlign w:val="bottom"/>
            <w:vMerge w:val="restart"/>
          </w:tcPr>
          <w:p>
            <w:pPr>
              <w:jc w:val="center"/>
              <w:spacing w:after="0"/>
              <w:rPr>
                <w:sz w:val="20"/>
                <w:szCs w:val="20"/>
                <w:color w:val="auto"/>
              </w:rPr>
            </w:pPr>
            <w:r>
              <w:rPr>
                <w:rFonts w:ascii="Arial" w:cs="Arial" w:eastAsia="Arial" w:hAnsi="Arial"/>
                <w:sz w:val="16"/>
                <w:szCs w:val="16"/>
                <w:color w:val="auto"/>
                <w:w w:val="99"/>
              </w:rPr>
              <w:t>75%</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89%</w:t>
            </w:r>
          </w:p>
        </w:tc>
        <w:tc>
          <w:tcPr>
            <w:tcW w:w="2120" w:type="dxa"/>
            <w:vAlign w:val="bottom"/>
            <w:vMerge w:val="restart"/>
          </w:tcPr>
          <w:p>
            <w:pPr>
              <w:jc w:val="center"/>
              <w:ind w:left="39"/>
              <w:spacing w:after="0"/>
              <w:rPr>
                <w:sz w:val="20"/>
                <w:szCs w:val="20"/>
                <w:color w:val="auto"/>
              </w:rPr>
            </w:pPr>
            <w:r>
              <w:rPr>
                <w:rFonts w:ascii="Arial" w:cs="Arial" w:eastAsia="Arial" w:hAnsi="Arial"/>
                <w:sz w:val="16"/>
                <w:szCs w:val="16"/>
                <w:color w:val="auto"/>
              </w:rPr>
              <w:t>$371,910</w:t>
            </w:r>
          </w:p>
        </w:tc>
        <w:tc>
          <w:tcPr>
            <w:tcW w:w="0" w:type="dxa"/>
            <w:vAlign w:val="bottom"/>
          </w:tcPr>
          <w:p>
            <w:pPr>
              <w:spacing w:after="0"/>
              <w:rPr>
                <w:sz w:val="1"/>
                <w:szCs w:val="1"/>
                <w:color w:val="auto"/>
              </w:rPr>
            </w:pPr>
          </w:p>
        </w:tc>
      </w:tr>
      <w:tr>
        <w:trPr>
          <w:trHeight w:val="107"/>
        </w:trPr>
        <w:tc>
          <w:tcPr>
            <w:tcW w:w="3540" w:type="dxa"/>
            <w:vAlign w:val="bottom"/>
            <w:vMerge w:val="restart"/>
          </w:tcPr>
          <w:p>
            <w:pPr>
              <w:ind w:left="160"/>
              <w:spacing w:after="0"/>
              <w:rPr>
                <w:sz w:val="20"/>
                <w:szCs w:val="20"/>
                <w:color w:val="auto"/>
              </w:rPr>
            </w:pPr>
            <w:r>
              <w:rPr>
                <w:rFonts w:ascii="Arial" w:cs="Arial" w:eastAsia="Arial" w:hAnsi="Arial"/>
                <w:sz w:val="16"/>
                <w:szCs w:val="16"/>
                <w:color w:val="auto"/>
              </w:rPr>
              <w:t>Chief Commercial Officer</w:t>
            </w:r>
          </w:p>
        </w:tc>
        <w:tc>
          <w:tcPr>
            <w:tcW w:w="170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540" w:type="dxa"/>
            <w:vAlign w:val="bottom"/>
            <w:tcBorders>
              <w:bottom w:val="single" w:sz="8" w:color="003595"/>
            </w:tcBorders>
          </w:tcPr>
          <w:p>
            <w:pPr>
              <w:spacing w:after="0"/>
              <w:rPr>
                <w:sz w:val="2"/>
                <w:szCs w:val="2"/>
                <w:color w:val="auto"/>
              </w:rPr>
            </w:pPr>
          </w:p>
        </w:tc>
        <w:tc>
          <w:tcPr>
            <w:tcW w:w="1700" w:type="dxa"/>
            <w:vAlign w:val="bottom"/>
            <w:tcBorders>
              <w:bottom w:val="single" w:sz="8" w:color="003595"/>
            </w:tcBorders>
          </w:tcPr>
          <w:p>
            <w:pPr>
              <w:spacing w:after="0"/>
              <w:rPr>
                <w:sz w:val="2"/>
                <w:szCs w:val="2"/>
                <w:color w:val="auto"/>
              </w:rPr>
            </w:pPr>
          </w:p>
        </w:tc>
        <w:tc>
          <w:tcPr>
            <w:tcW w:w="2280" w:type="dxa"/>
            <w:vAlign w:val="bottom"/>
            <w:tcBorders>
              <w:bottom w:val="single" w:sz="8" w:color="003595"/>
            </w:tcBorders>
          </w:tcPr>
          <w:p>
            <w:pPr>
              <w:spacing w:after="0"/>
              <w:rPr>
                <w:sz w:val="2"/>
                <w:szCs w:val="2"/>
                <w:color w:val="auto"/>
              </w:rPr>
            </w:pPr>
          </w:p>
        </w:tc>
        <w:tc>
          <w:tcPr>
            <w:tcW w:w="1460" w:type="dxa"/>
            <w:vAlign w:val="bottom"/>
            <w:tcBorders>
              <w:bottom w:val="single" w:sz="8" w:color="003595"/>
            </w:tcBorders>
          </w:tcPr>
          <w:p>
            <w:pPr>
              <w:spacing w:after="0"/>
              <w:rPr>
                <w:sz w:val="2"/>
                <w:szCs w:val="2"/>
                <w:color w:val="auto"/>
              </w:rPr>
            </w:pPr>
          </w:p>
        </w:tc>
        <w:tc>
          <w:tcPr>
            <w:tcW w:w="21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20"/>
                <w:szCs w:val="20"/>
                <w:color w:val="auto"/>
              </w:rPr>
            </w:pPr>
            <w:r>
              <w:rPr>
                <w:rFonts w:ascii="Arial" w:cs="Arial" w:eastAsia="Arial" w:hAnsi="Arial"/>
                <w:sz w:val="16"/>
                <w:szCs w:val="16"/>
                <w:color w:val="auto"/>
              </w:rPr>
              <w:t>Dale Muzzey, Ph.D.</w:t>
            </w:r>
          </w:p>
        </w:tc>
        <w:tc>
          <w:tcPr>
            <w:tcW w:w="1700" w:type="dxa"/>
            <w:vAlign w:val="bottom"/>
            <w:vMerge w:val="restart"/>
          </w:tcPr>
          <w:p>
            <w:pPr>
              <w:jc w:val="center"/>
              <w:ind w:left="119"/>
              <w:spacing w:after="0"/>
              <w:rPr>
                <w:sz w:val="20"/>
                <w:szCs w:val="20"/>
                <w:color w:val="auto"/>
              </w:rPr>
            </w:pPr>
            <w:r>
              <w:rPr>
                <w:rFonts w:ascii="Arial" w:cs="Arial" w:eastAsia="Arial" w:hAnsi="Arial"/>
                <w:sz w:val="16"/>
                <w:szCs w:val="16"/>
                <w:color w:val="auto"/>
                <w:w w:val="98"/>
              </w:rPr>
              <w:t>$506,400</w:t>
            </w:r>
          </w:p>
        </w:tc>
        <w:tc>
          <w:tcPr>
            <w:tcW w:w="2280" w:type="dxa"/>
            <w:vAlign w:val="bottom"/>
            <w:vMerge w:val="restart"/>
          </w:tcPr>
          <w:p>
            <w:pPr>
              <w:jc w:val="center"/>
              <w:spacing w:after="0"/>
              <w:rPr>
                <w:sz w:val="20"/>
                <w:szCs w:val="20"/>
                <w:color w:val="auto"/>
              </w:rPr>
            </w:pPr>
            <w:r>
              <w:rPr>
                <w:rFonts w:ascii="Arial" w:cs="Arial" w:eastAsia="Arial" w:hAnsi="Arial"/>
                <w:sz w:val="16"/>
                <w:szCs w:val="16"/>
                <w:color w:val="auto"/>
                <w:w w:val="99"/>
              </w:rPr>
              <w:t>50%</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88%</w:t>
            </w:r>
          </w:p>
        </w:tc>
        <w:tc>
          <w:tcPr>
            <w:tcW w:w="2120" w:type="dxa"/>
            <w:vAlign w:val="bottom"/>
            <w:vMerge w:val="restart"/>
          </w:tcPr>
          <w:p>
            <w:pPr>
              <w:jc w:val="center"/>
              <w:ind w:left="39"/>
              <w:spacing w:after="0"/>
              <w:rPr>
                <w:sz w:val="20"/>
                <w:szCs w:val="20"/>
                <w:color w:val="auto"/>
              </w:rPr>
            </w:pPr>
            <w:r>
              <w:rPr>
                <w:rFonts w:ascii="Arial" w:cs="Arial" w:eastAsia="Arial" w:hAnsi="Arial"/>
                <w:sz w:val="16"/>
                <w:szCs w:val="16"/>
                <w:color w:val="auto"/>
              </w:rPr>
              <w:t>$221,677</w:t>
            </w:r>
          </w:p>
        </w:tc>
        <w:tc>
          <w:tcPr>
            <w:tcW w:w="0" w:type="dxa"/>
            <w:vAlign w:val="bottom"/>
          </w:tcPr>
          <w:p>
            <w:pPr>
              <w:spacing w:after="0"/>
              <w:rPr>
                <w:sz w:val="1"/>
                <w:szCs w:val="1"/>
                <w:color w:val="auto"/>
              </w:rPr>
            </w:pPr>
          </w:p>
        </w:tc>
      </w:tr>
      <w:tr>
        <w:trPr>
          <w:trHeight w:val="107"/>
        </w:trPr>
        <w:tc>
          <w:tcPr>
            <w:tcW w:w="3540" w:type="dxa"/>
            <w:vAlign w:val="bottom"/>
            <w:vMerge w:val="restart"/>
          </w:tcPr>
          <w:p>
            <w:pPr>
              <w:ind w:left="160"/>
              <w:spacing w:after="0"/>
              <w:rPr>
                <w:sz w:val="20"/>
                <w:szCs w:val="20"/>
                <w:color w:val="auto"/>
              </w:rPr>
            </w:pPr>
            <w:r>
              <w:rPr>
                <w:rFonts w:ascii="Arial" w:cs="Arial" w:eastAsia="Arial" w:hAnsi="Arial"/>
                <w:sz w:val="16"/>
                <w:szCs w:val="16"/>
                <w:color w:val="auto"/>
              </w:rPr>
              <w:t>Chief Scientific Officer</w:t>
            </w:r>
          </w:p>
        </w:tc>
        <w:tc>
          <w:tcPr>
            <w:tcW w:w="170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540" w:type="dxa"/>
            <w:vAlign w:val="bottom"/>
            <w:tcBorders>
              <w:bottom w:val="single" w:sz="8" w:color="003595"/>
            </w:tcBorders>
          </w:tcPr>
          <w:p>
            <w:pPr>
              <w:spacing w:after="0"/>
              <w:rPr>
                <w:sz w:val="2"/>
                <w:szCs w:val="2"/>
                <w:color w:val="auto"/>
              </w:rPr>
            </w:pPr>
          </w:p>
        </w:tc>
        <w:tc>
          <w:tcPr>
            <w:tcW w:w="1700" w:type="dxa"/>
            <w:vAlign w:val="bottom"/>
            <w:tcBorders>
              <w:bottom w:val="single" w:sz="8" w:color="003595"/>
            </w:tcBorders>
          </w:tcPr>
          <w:p>
            <w:pPr>
              <w:spacing w:after="0"/>
              <w:rPr>
                <w:sz w:val="2"/>
                <w:szCs w:val="2"/>
                <w:color w:val="auto"/>
              </w:rPr>
            </w:pPr>
          </w:p>
        </w:tc>
        <w:tc>
          <w:tcPr>
            <w:tcW w:w="2280" w:type="dxa"/>
            <w:vAlign w:val="bottom"/>
            <w:tcBorders>
              <w:bottom w:val="single" w:sz="8" w:color="003595"/>
            </w:tcBorders>
          </w:tcPr>
          <w:p>
            <w:pPr>
              <w:spacing w:after="0"/>
              <w:rPr>
                <w:sz w:val="2"/>
                <w:szCs w:val="2"/>
                <w:color w:val="auto"/>
              </w:rPr>
            </w:pPr>
          </w:p>
        </w:tc>
        <w:tc>
          <w:tcPr>
            <w:tcW w:w="1460" w:type="dxa"/>
            <w:vAlign w:val="bottom"/>
            <w:tcBorders>
              <w:bottom w:val="single" w:sz="8" w:color="003595"/>
            </w:tcBorders>
          </w:tcPr>
          <w:p>
            <w:pPr>
              <w:spacing w:after="0"/>
              <w:rPr>
                <w:sz w:val="2"/>
                <w:szCs w:val="2"/>
                <w:color w:val="auto"/>
              </w:rPr>
            </w:pPr>
          </w:p>
        </w:tc>
        <w:tc>
          <w:tcPr>
            <w:tcW w:w="21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180" w:right="160" w:hanging="10"/>
        <w:spacing w:after="0" w:line="280" w:lineRule="auto"/>
        <w:tabs>
          <w:tab w:leader="none" w:pos="372" w:val="left"/>
        </w:tabs>
        <w:numPr>
          <w:ilvl w:val="0"/>
          <w:numId w:val="46"/>
        </w:numPr>
        <w:rPr>
          <w:rFonts w:ascii="Arial" w:cs="Arial" w:eastAsia="Arial" w:hAnsi="Arial"/>
          <w:sz w:val="12"/>
          <w:szCs w:val="12"/>
          <w:color w:val="auto"/>
        </w:rPr>
      </w:pPr>
      <w:r>
        <w:rPr>
          <w:rFonts w:ascii="Arial" w:cs="Arial" w:eastAsia="Arial" w:hAnsi="Arial"/>
          <w:sz w:val="12"/>
          <w:szCs w:val="12"/>
          <w:color w:val="auto"/>
        </w:rPr>
        <w:t>Total payout percentage was calculated based on the sum of the revenue, adjusted operating income, engagement score/customer NPS and individual strategic goals payout percentages. Mr. Raha's, Mr. Wheeler's, Mr. Verratti's, and Mr. Donnelly's revenue, adjusted operating income, engagement/customer NPS, and individual strategic goals payout percentages were 23.5%, 31.9%, 6.3%, 6.9%, and 20%, respectively. Dr. Muzzey's revenue, adjusted operating income, engagement/customer NPS, and individual strategic goals payout percentages were 23.5%, 31.9%, 6.3%,</w:t>
      </w:r>
    </w:p>
    <w:p>
      <w:pPr>
        <w:spacing w:after="0" w:line="1" w:lineRule="exact"/>
        <w:rPr>
          <w:rFonts w:ascii="Arial" w:cs="Arial" w:eastAsia="Arial" w:hAnsi="Arial"/>
          <w:sz w:val="12"/>
          <w:szCs w:val="12"/>
          <w:color w:val="auto"/>
        </w:rPr>
      </w:pPr>
    </w:p>
    <w:p>
      <w:pPr>
        <w:ind w:left="180"/>
        <w:spacing w:after="0"/>
        <w:rPr>
          <w:rFonts w:ascii="Arial" w:cs="Arial" w:eastAsia="Arial" w:hAnsi="Arial"/>
          <w:sz w:val="12"/>
          <w:szCs w:val="12"/>
          <w:color w:val="auto"/>
        </w:rPr>
      </w:pPr>
      <w:r>
        <w:rPr>
          <w:rFonts w:ascii="Arial" w:cs="Arial" w:eastAsia="Arial" w:hAnsi="Arial"/>
          <w:sz w:val="13"/>
          <w:szCs w:val="13"/>
          <w:color w:val="auto"/>
        </w:rPr>
        <w:t>6.9%, and 19.0%, respectively.</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Long-Term Incentive Awards</w:t>
      </w:r>
    </w:p>
    <w:p>
      <w:pPr>
        <w:spacing w:after="0" w:line="2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2025, long-term incentive compensation was granted in the form of 50% RSUs and 50% PSUs. In determining the amount of equity compensation to be awarded, the CHCC considers various factors, including but not limited to:</w:t>
      </w:r>
    </w:p>
    <w:p>
      <w:pPr>
        <w:spacing w:after="0" w:line="183"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financial and operating performance for the applicable period;</w:t>
      </w:r>
    </w:p>
    <w:p>
      <w:pPr>
        <w:spacing w:after="0" w:line="21" w:lineRule="exact"/>
        <w:rPr>
          <w:rFonts w:ascii="Arial" w:cs="Arial" w:eastAsia="Arial" w:hAnsi="Arial"/>
          <w:sz w:val="16"/>
          <w:szCs w:val="16"/>
          <w:color w:val="auto"/>
        </w:rPr>
      </w:pPr>
    </w:p>
    <w:p>
      <w:pPr>
        <w:ind w:left="640" w:hanging="308"/>
        <w:spacing w:after="0" w:line="228" w:lineRule="auto"/>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executive officer’s contribution to our performance;</w:t>
      </w: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anticipated contribution of the executive officer to our future performance;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accomplishments of the executive officer as measured by achievement of individual strategic goals;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review of compensation for comparable positions in our peer group from our benchmarking studies;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total compensation of the executive officer and the anticipated retentive effect of the grant of additional equity compensation.</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to the foregoing factors, the CHCC may also consider the total number of outstanding shares of our common stock, the total number of shares available under the Company’s 2017 Employee, Director and Consultant Equity Incentive Plan (the "2017 Plan"), relative dilution to stockholders, as well as our gross equity burn rate, issued equity overhang and total equity overhang.</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Policies and Practices Related to the Grant of Certain Equity Awards.</w:t>
      </w:r>
      <w:r>
        <w:rPr>
          <w:rFonts w:ascii="Arial" w:cs="Arial" w:eastAsia="Arial" w:hAnsi="Arial"/>
          <w:sz w:val="16"/>
          <w:szCs w:val="16"/>
          <w:color w:val="auto"/>
        </w:rPr>
        <w:t xml:space="preserve"> Long-term incentive awards for 2025 were made at regularly scheduled CHCC meetings in March 2025 (RSUs) and May 2025 (PSUs). The CHCC does not time the grant of equity compensation with regard to the release of material nonpublic information, whether or not that information may favorably or unfavorably impact the price of our common stock. Equity awards for the executive officers, including our Chief Executive Officer, are approved by the CHCC.</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u w:val="single" w:color="auto"/>
          <w:color w:val="auto"/>
        </w:rPr>
        <w:t>Time-based restricted stock units (RSUs)</w:t>
      </w:r>
      <w:r>
        <w:rPr>
          <w:rFonts w:ascii="Arial" w:cs="Arial" w:eastAsia="Arial" w:hAnsi="Arial"/>
          <w:sz w:val="16"/>
          <w:szCs w:val="16"/>
          <w:color w:val="auto"/>
        </w:rPr>
        <w:t>. For our NEOs, we issue long-term equity incentive compensation awards in the form of RSUs. For these RSUs, one-third of the award vests on an annual basis over a period of three years. The number of RSUs granted to our NEOs under our long-term incentive program during 2025 are set forth in the chart below.</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8" w:name="page49"/>
    <w:bookmarkEnd w:id="48"/>
    <w:tbl>
      <w:tblPr>
        <w:tblLayout w:type="fixed"/>
        <w:tblInd w:w="260" w:type="dxa"/>
        <w:tblCellMar>
          <w:top w:w="0" w:type="dxa"/>
          <w:left w:w="0" w:type="dxa"/>
          <w:bottom w:w="0" w:type="dxa"/>
          <w:right w:w="0" w:type="dxa"/>
        </w:tblCellMar>
      </w:tblPr>
      <w:tr>
        <w:trPr>
          <w:trHeight w:val="202"/>
        </w:trPr>
        <w:tc>
          <w:tcPr>
            <w:tcW w:w="4980" w:type="dxa"/>
            <w:vAlign w:val="bottom"/>
            <w:vMerge w:val="restart"/>
            <w:shd w:val="clear" w:color="auto" w:fill="003595"/>
          </w:tcPr>
          <w:p>
            <w:pPr>
              <w:spacing w:after="0"/>
              <w:rPr>
                <w:sz w:val="20"/>
                <w:szCs w:val="20"/>
                <w:color w:val="auto"/>
              </w:rPr>
            </w:pPr>
            <w:r>
              <w:rPr>
                <w:rFonts w:ascii="Arial" w:cs="Arial" w:eastAsia="Arial" w:hAnsi="Arial"/>
                <w:sz w:val="18"/>
                <w:szCs w:val="18"/>
                <w:b w:val="1"/>
                <w:bCs w:val="1"/>
                <w:color w:val="FFFFFF"/>
              </w:rPr>
              <w:t>Named Executive Officer</w:t>
            </w:r>
          </w:p>
        </w:tc>
        <w:tc>
          <w:tcPr>
            <w:tcW w:w="2140" w:type="dxa"/>
            <w:vAlign w:val="bottom"/>
            <w:gridSpan w:val="2"/>
            <w:vMerge w:val="restart"/>
            <w:shd w:val="clear" w:color="auto" w:fill="003595"/>
          </w:tcPr>
          <w:p>
            <w:pPr>
              <w:jc w:val="right"/>
              <w:spacing w:after="0"/>
              <w:rPr>
                <w:sz w:val="20"/>
                <w:szCs w:val="20"/>
                <w:color w:val="auto"/>
              </w:rPr>
            </w:pPr>
            <w:r>
              <w:rPr>
                <w:rFonts w:ascii="Arial" w:cs="Arial" w:eastAsia="Arial" w:hAnsi="Arial"/>
                <w:sz w:val="16"/>
                <w:szCs w:val="16"/>
                <w:b w:val="1"/>
                <w:bCs w:val="1"/>
                <w:color w:val="FFFFFF"/>
              </w:rPr>
              <w:t>2025 RSUs Granted (#)</w:t>
            </w:r>
          </w:p>
        </w:tc>
        <w:tc>
          <w:tcPr>
            <w:tcW w:w="420" w:type="dxa"/>
            <w:vAlign w:val="bottom"/>
            <w:shd w:val="clear" w:color="auto" w:fill="003595"/>
          </w:tcPr>
          <w:p>
            <w:pPr>
              <w:jc w:val="right"/>
              <w:ind w:right="227"/>
              <w:spacing w:after="0"/>
              <w:rPr>
                <w:sz w:val="20"/>
                <w:szCs w:val="20"/>
                <w:color w:val="auto"/>
              </w:rPr>
            </w:pPr>
            <w:r>
              <w:rPr>
                <w:rFonts w:ascii="Arial" w:cs="Arial" w:eastAsia="Arial" w:hAnsi="Arial"/>
                <w:sz w:val="11"/>
                <w:szCs w:val="11"/>
                <w:b w:val="1"/>
                <w:bCs w:val="1"/>
                <w:color w:val="FFFFFF"/>
                <w:w w:val="88"/>
              </w:rPr>
              <w:t>(1)</w:t>
            </w:r>
          </w:p>
        </w:tc>
        <w:tc>
          <w:tcPr>
            <w:tcW w:w="320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2025 Grant Date Fair Value of RSUs</w:t>
            </w:r>
          </w:p>
        </w:tc>
        <w:tc>
          <w:tcPr>
            <w:tcW w:w="0" w:type="dxa"/>
            <w:vAlign w:val="bottom"/>
          </w:tcPr>
          <w:p>
            <w:pPr>
              <w:spacing w:after="0"/>
              <w:rPr>
                <w:sz w:val="1"/>
                <w:szCs w:val="1"/>
                <w:color w:val="auto"/>
              </w:rPr>
            </w:pPr>
          </w:p>
        </w:tc>
      </w:tr>
      <w:tr>
        <w:trPr>
          <w:trHeight w:val="257"/>
        </w:trPr>
        <w:tc>
          <w:tcPr>
            <w:tcW w:w="4980" w:type="dxa"/>
            <w:vAlign w:val="bottom"/>
            <w:vMerge w:val="continue"/>
            <w:shd w:val="clear" w:color="auto" w:fill="003595"/>
          </w:tcPr>
          <w:p>
            <w:pPr>
              <w:spacing w:after="0"/>
              <w:rPr>
                <w:sz w:val="22"/>
                <w:szCs w:val="22"/>
                <w:color w:val="auto"/>
              </w:rPr>
            </w:pPr>
          </w:p>
        </w:tc>
        <w:tc>
          <w:tcPr>
            <w:tcW w:w="2140" w:type="dxa"/>
            <w:vAlign w:val="bottom"/>
            <w:gridSpan w:val="2"/>
            <w:vMerge w:val="continue"/>
            <w:shd w:val="clear" w:color="auto" w:fill="003595"/>
          </w:tcPr>
          <w:p>
            <w:pPr>
              <w:spacing w:after="0"/>
              <w:rPr>
                <w:sz w:val="22"/>
                <w:szCs w:val="22"/>
                <w:color w:val="auto"/>
              </w:rPr>
            </w:pPr>
          </w:p>
        </w:tc>
        <w:tc>
          <w:tcPr>
            <w:tcW w:w="420" w:type="dxa"/>
            <w:vAlign w:val="bottom"/>
            <w:shd w:val="clear" w:color="auto" w:fill="003595"/>
          </w:tcPr>
          <w:p>
            <w:pPr>
              <w:spacing w:after="0"/>
              <w:rPr>
                <w:sz w:val="22"/>
                <w:szCs w:val="22"/>
                <w:color w:val="auto"/>
              </w:rPr>
            </w:pPr>
          </w:p>
        </w:tc>
        <w:tc>
          <w:tcPr>
            <w:tcW w:w="320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w w:val="97"/>
              </w:rPr>
              <w:t xml:space="preserve">Granted ($) </w:t>
            </w:r>
            <w:r>
              <w:rPr>
                <w:rFonts w:ascii="Arial" w:cs="Arial" w:eastAsia="Arial" w:hAnsi="Arial"/>
                <w:sz w:val="21"/>
                <w:szCs w:val="21"/>
                <w:b w:val="1"/>
                <w:bCs w:val="1"/>
                <w:color w:val="FFFFFF"/>
                <w:w w:val="97"/>
                <w:vertAlign w:val="superscript"/>
              </w:rPr>
              <w:t>(4)</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Samraat S. Raha</w:t>
            </w:r>
          </w:p>
        </w:tc>
        <w:tc>
          <w:tcPr>
            <w:tcW w:w="1620" w:type="dxa"/>
            <w:vAlign w:val="bottom"/>
            <w:vMerge w:val="restart"/>
          </w:tcPr>
          <w:p>
            <w:pPr>
              <w:jc w:val="center"/>
              <w:ind w:left="959"/>
              <w:spacing w:after="0"/>
              <w:rPr>
                <w:sz w:val="20"/>
                <w:szCs w:val="20"/>
                <w:color w:val="auto"/>
              </w:rPr>
            </w:pPr>
            <w:r>
              <w:rPr>
                <w:rFonts w:ascii="Arial" w:cs="Arial" w:eastAsia="Arial" w:hAnsi="Arial"/>
                <w:sz w:val="16"/>
                <w:szCs w:val="16"/>
                <w:color w:val="auto"/>
              </w:rPr>
              <w:t>216,495</w:t>
            </w: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vMerge w:val="restart"/>
          </w:tcPr>
          <w:p>
            <w:pPr>
              <w:jc w:val="center"/>
              <w:spacing w:after="0"/>
              <w:rPr>
                <w:sz w:val="20"/>
                <w:szCs w:val="20"/>
                <w:color w:val="auto"/>
              </w:rPr>
            </w:pPr>
            <w:r>
              <w:rPr>
                <w:rFonts w:ascii="Arial" w:cs="Arial" w:eastAsia="Arial" w:hAnsi="Arial"/>
                <w:sz w:val="16"/>
                <w:szCs w:val="16"/>
                <w:color w:val="auto"/>
                <w:w w:val="99"/>
              </w:rPr>
              <w:t>$2,100,002</w:t>
            </w:r>
          </w:p>
        </w:tc>
        <w:tc>
          <w:tcPr>
            <w:tcW w:w="0" w:type="dxa"/>
            <w:vAlign w:val="bottom"/>
          </w:tcPr>
          <w:p>
            <w:pPr>
              <w:spacing w:after="0"/>
              <w:rPr>
                <w:sz w:val="1"/>
                <w:szCs w:val="1"/>
                <w:color w:val="auto"/>
              </w:rPr>
            </w:pPr>
          </w:p>
        </w:tc>
      </w:tr>
      <w:tr>
        <w:trPr>
          <w:trHeight w:val="120"/>
        </w:trPr>
        <w:tc>
          <w:tcPr>
            <w:tcW w:w="4980" w:type="dxa"/>
            <w:vAlign w:val="bottom"/>
            <w:vMerge w:val="restart"/>
          </w:tcPr>
          <w:p>
            <w:pPr>
              <w:ind w:left="240"/>
              <w:spacing w:after="0"/>
              <w:rPr>
                <w:sz w:val="20"/>
                <w:szCs w:val="20"/>
                <w:color w:val="auto"/>
              </w:rPr>
            </w:pPr>
            <w:r>
              <w:rPr>
                <w:rFonts w:ascii="Arial" w:cs="Arial" w:eastAsia="Arial" w:hAnsi="Arial"/>
                <w:sz w:val="16"/>
                <w:szCs w:val="16"/>
                <w:color w:val="auto"/>
              </w:rPr>
              <w:t>President and Chief Executive Officer</w:t>
            </w:r>
          </w:p>
        </w:tc>
        <w:tc>
          <w:tcPr>
            <w:tcW w:w="16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980" w:type="dxa"/>
            <w:vAlign w:val="bottom"/>
            <w:tcBorders>
              <w:bottom w:val="single" w:sz="8" w:color="003595"/>
            </w:tcBorders>
          </w:tcPr>
          <w:p>
            <w:pPr>
              <w:spacing w:after="0"/>
              <w:rPr>
                <w:sz w:val="2"/>
                <w:szCs w:val="2"/>
                <w:color w:val="auto"/>
              </w:rPr>
            </w:pPr>
          </w:p>
        </w:tc>
        <w:tc>
          <w:tcPr>
            <w:tcW w:w="1620" w:type="dxa"/>
            <w:vAlign w:val="bottom"/>
            <w:tcBorders>
              <w:bottom w:val="single" w:sz="8" w:color="003595"/>
            </w:tcBorders>
          </w:tcPr>
          <w:p>
            <w:pPr>
              <w:spacing w:after="0"/>
              <w:rPr>
                <w:sz w:val="2"/>
                <w:szCs w:val="2"/>
                <w:color w:val="auto"/>
              </w:rPr>
            </w:pPr>
          </w:p>
        </w:tc>
        <w:tc>
          <w:tcPr>
            <w:tcW w:w="520" w:type="dxa"/>
            <w:vAlign w:val="bottom"/>
            <w:tcBorders>
              <w:bottom w:val="single" w:sz="8" w:color="003595"/>
            </w:tcBorders>
          </w:tcPr>
          <w:p>
            <w:pPr>
              <w:spacing w:after="0"/>
              <w:rPr>
                <w:sz w:val="2"/>
                <w:szCs w:val="2"/>
                <w:color w:val="auto"/>
              </w:rPr>
            </w:pPr>
          </w:p>
        </w:tc>
        <w:tc>
          <w:tcPr>
            <w:tcW w:w="420" w:type="dxa"/>
            <w:vAlign w:val="bottom"/>
            <w:tcBorders>
              <w:bottom w:val="single" w:sz="8" w:color="003595"/>
            </w:tcBorders>
          </w:tcPr>
          <w:p>
            <w:pPr>
              <w:spacing w:after="0"/>
              <w:rPr>
                <w:sz w:val="2"/>
                <w:szCs w:val="2"/>
                <w:color w:val="auto"/>
              </w:rPr>
            </w:pPr>
          </w:p>
        </w:tc>
        <w:tc>
          <w:tcPr>
            <w:tcW w:w="320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line="182" w:lineRule="exact"/>
              <w:rPr>
                <w:sz w:val="20"/>
                <w:szCs w:val="20"/>
                <w:color w:val="auto"/>
              </w:rPr>
            </w:pPr>
            <w:r>
              <w:rPr>
                <w:rFonts w:ascii="Arial" w:cs="Arial" w:eastAsia="Arial" w:hAnsi="Arial"/>
                <w:sz w:val="16"/>
                <w:szCs w:val="16"/>
                <w:color w:val="auto"/>
              </w:rPr>
              <w:t>Benjamin R. Wheeler</w:t>
            </w:r>
          </w:p>
        </w:tc>
        <w:tc>
          <w:tcPr>
            <w:tcW w:w="1620" w:type="dxa"/>
            <w:vAlign w:val="bottom"/>
            <w:vMerge w:val="restart"/>
          </w:tcPr>
          <w:p>
            <w:pPr>
              <w:jc w:val="center"/>
              <w:ind w:left="959"/>
              <w:spacing w:after="0"/>
              <w:rPr>
                <w:sz w:val="20"/>
                <w:szCs w:val="20"/>
                <w:color w:val="auto"/>
              </w:rPr>
            </w:pPr>
            <w:r>
              <w:rPr>
                <w:rFonts w:ascii="Arial" w:cs="Arial" w:eastAsia="Arial" w:hAnsi="Arial"/>
                <w:sz w:val="16"/>
                <w:szCs w:val="16"/>
                <w:color w:val="auto"/>
              </w:rPr>
              <w:t>64,000</w:t>
            </w:r>
          </w:p>
        </w:tc>
        <w:tc>
          <w:tcPr>
            <w:tcW w:w="520" w:type="dxa"/>
            <w:vAlign w:val="bottom"/>
            <w:vMerge w:val="restart"/>
          </w:tcPr>
          <w:p>
            <w:pPr>
              <w:jc w:val="right"/>
              <w:ind w:right="327"/>
              <w:spacing w:after="0"/>
              <w:rPr>
                <w:sz w:val="20"/>
                <w:szCs w:val="20"/>
                <w:color w:val="auto"/>
              </w:rPr>
            </w:pPr>
            <w:r>
              <w:rPr>
                <w:rFonts w:ascii="Arial" w:cs="Arial" w:eastAsia="Arial" w:hAnsi="Arial"/>
                <w:sz w:val="11"/>
                <w:szCs w:val="11"/>
                <w:color w:val="auto"/>
                <w:w w:val="88"/>
              </w:rPr>
              <w:t>(2)</w:t>
            </w:r>
          </w:p>
        </w:tc>
        <w:tc>
          <w:tcPr>
            <w:tcW w:w="420" w:type="dxa"/>
            <w:vAlign w:val="bottom"/>
          </w:tcPr>
          <w:p>
            <w:pPr>
              <w:spacing w:after="0"/>
              <w:rPr>
                <w:sz w:val="15"/>
                <w:szCs w:val="15"/>
                <w:color w:val="auto"/>
              </w:rPr>
            </w:pPr>
          </w:p>
        </w:tc>
        <w:tc>
          <w:tcPr>
            <w:tcW w:w="3200" w:type="dxa"/>
            <w:vAlign w:val="bottom"/>
            <w:vMerge w:val="restart"/>
          </w:tcPr>
          <w:p>
            <w:pPr>
              <w:jc w:val="center"/>
              <w:spacing w:after="0"/>
              <w:rPr>
                <w:sz w:val="20"/>
                <w:szCs w:val="20"/>
                <w:color w:val="auto"/>
              </w:rPr>
            </w:pPr>
            <w:r>
              <w:rPr>
                <w:rFonts w:ascii="Arial" w:cs="Arial" w:eastAsia="Arial" w:hAnsi="Arial"/>
                <w:sz w:val="16"/>
                <w:szCs w:val="16"/>
                <w:color w:val="auto"/>
              </w:rPr>
              <w:t>$381,400</w:t>
            </w:r>
          </w:p>
        </w:tc>
        <w:tc>
          <w:tcPr>
            <w:tcW w:w="0" w:type="dxa"/>
            <w:vAlign w:val="bottom"/>
          </w:tcPr>
          <w:p>
            <w:pPr>
              <w:spacing w:after="0"/>
              <w:rPr>
                <w:sz w:val="1"/>
                <w:szCs w:val="1"/>
                <w:color w:val="auto"/>
              </w:rPr>
            </w:pPr>
          </w:p>
        </w:tc>
      </w:tr>
      <w:tr>
        <w:trPr>
          <w:trHeight w:val="120"/>
        </w:trPr>
        <w:tc>
          <w:tcPr>
            <w:tcW w:w="4980" w:type="dxa"/>
            <w:vAlign w:val="bottom"/>
            <w:vMerge w:val="restart"/>
          </w:tcPr>
          <w:p>
            <w:pPr>
              <w:ind w:left="240"/>
              <w:spacing w:after="0"/>
              <w:rPr>
                <w:sz w:val="20"/>
                <w:szCs w:val="20"/>
                <w:color w:val="auto"/>
              </w:rPr>
            </w:pPr>
            <w:r>
              <w:rPr>
                <w:rFonts w:ascii="Arial" w:cs="Arial" w:eastAsia="Arial" w:hAnsi="Arial"/>
                <w:sz w:val="16"/>
                <w:szCs w:val="16"/>
                <w:color w:val="auto"/>
              </w:rPr>
              <w:t>Chief Financial Officer</w:t>
            </w:r>
          </w:p>
        </w:tc>
        <w:tc>
          <w:tcPr>
            <w:tcW w:w="16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98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980" w:type="dxa"/>
            <w:vAlign w:val="bottom"/>
            <w:tcBorders>
              <w:bottom w:val="single" w:sz="8" w:color="003595"/>
            </w:tcBorders>
          </w:tcPr>
          <w:p>
            <w:pPr>
              <w:spacing w:after="0"/>
              <w:rPr>
                <w:sz w:val="2"/>
                <w:szCs w:val="2"/>
                <w:color w:val="auto"/>
              </w:rPr>
            </w:pPr>
          </w:p>
        </w:tc>
        <w:tc>
          <w:tcPr>
            <w:tcW w:w="1620" w:type="dxa"/>
            <w:vAlign w:val="bottom"/>
            <w:tcBorders>
              <w:bottom w:val="single" w:sz="8" w:color="003595"/>
            </w:tcBorders>
          </w:tcPr>
          <w:p>
            <w:pPr>
              <w:spacing w:after="0"/>
              <w:rPr>
                <w:sz w:val="2"/>
                <w:szCs w:val="2"/>
                <w:color w:val="auto"/>
              </w:rPr>
            </w:pPr>
          </w:p>
        </w:tc>
        <w:tc>
          <w:tcPr>
            <w:tcW w:w="520" w:type="dxa"/>
            <w:vAlign w:val="bottom"/>
            <w:tcBorders>
              <w:bottom w:val="single" w:sz="8" w:color="003595"/>
            </w:tcBorders>
          </w:tcPr>
          <w:p>
            <w:pPr>
              <w:spacing w:after="0"/>
              <w:rPr>
                <w:sz w:val="2"/>
                <w:szCs w:val="2"/>
                <w:color w:val="auto"/>
              </w:rPr>
            </w:pPr>
          </w:p>
        </w:tc>
        <w:tc>
          <w:tcPr>
            <w:tcW w:w="420" w:type="dxa"/>
            <w:vAlign w:val="bottom"/>
            <w:tcBorders>
              <w:bottom w:val="single" w:sz="8" w:color="003595"/>
            </w:tcBorders>
          </w:tcPr>
          <w:p>
            <w:pPr>
              <w:spacing w:after="0"/>
              <w:rPr>
                <w:sz w:val="2"/>
                <w:szCs w:val="2"/>
                <w:color w:val="auto"/>
              </w:rPr>
            </w:pPr>
          </w:p>
        </w:tc>
        <w:tc>
          <w:tcPr>
            <w:tcW w:w="320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line="182" w:lineRule="exact"/>
              <w:rPr>
                <w:sz w:val="20"/>
                <w:szCs w:val="20"/>
                <w:color w:val="auto"/>
              </w:rPr>
            </w:pPr>
            <w:r>
              <w:rPr>
                <w:rFonts w:ascii="Arial" w:cs="Arial" w:eastAsia="Arial" w:hAnsi="Arial"/>
                <w:sz w:val="16"/>
                <w:szCs w:val="16"/>
                <w:color w:val="auto"/>
              </w:rPr>
              <w:t>Mark S. Verratti</w:t>
            </w:r>
          </w:p>
        </w:tc>
        <w:tc>
          <w:tcPr>
            <w:tcW w:w="1620" w:type="dxa"/>
            <w:vAlign w:val="bottom"/>
            <w:vMerge w:val="restart"/>
          </w:tcPr>
          <w:p>
            <w:pPr>
              <w:jc w:val="center"/>
              <w:ind w:left="959"/>
              <w:spacing w:after="0"/>
              <w:rPr>
                <w:sz w:val="20"/>
                <w:szCs w:val="20"/>
                <w:color w:val="auto"/>
              </w:rPr>
            </w:pPr>
            <w:r>
              <w:rPr>
                <w:rFonts w:ascii="Arial" w:cs="Arial" w:eastAsia="Arial" w:hAnsi="Arial"/>
                <w:sz w:val="16"/>
                <w:szCs w:val="16"/>
                <w:color w:val="auto"/>
              </w:rPr>
              <w:t>99,227</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0" w:type="dxa"/>
            <w:vAlign w:val="bottom"/>
            <w:vMerge w:val="restart"/>
          </w:tcPr>
          <w:p>
            <w:pPr>
              <w:jc w:val="center"/>
              <w:spacing w:after="0"/>
              <w:rPr>
                <w:sz w:val="20"/>
                <w:szCs w:val="20"/>
                <w:color w:val="auto"/>
              </w:rPr>
            </w:pPr>
            <w:r>
              <w:rPr>
                <w:rFonts w:ascii="Arial" w:cs="Arial" w:eastAsia="Arial" w:hAnsi="Arial"/>
                <w:sz w:val="16"/>
                <w:szCs w:val="16"/>
                <w:color w:val="auto"/>
              </w:rPr>
              <w:t>$962,502</w:t>
            </w:r>
          </w:p>
        </w:tc>
        <w:tc>
          <w:tcPr>
            <w:tcW w:w="0" w:type="dxa"/>
            <w:vAlign w:val="bottom"/>
          </w:tcPr>
          <w:p>
            <w:pPr>
              <w:spacing w:after="0"/>
              <w:rPr>
                <w:sz w:val="1"/>
                <w:szCs w:val="1"/>
                <w:color w:val="auto"/>
              </w:rPr>
            </w:pPr>
          </w:p>
        </w:tc>
      </w:tr>
      <w:tr>
        <w:trPr>
          <w:trHeight w:val="120"/>
        </w:trPr>
        <w:tc>
          <w:tcPr>
            <w:tcW w:w="4980" w:type="dxa"/>
            <w:vAlign w:val="bottom"/>
            <w:vMerge w:val="restart"/>
          </w:tcPr>
          <w:p>
            <w:pPr>
              <w:ind w:left="240"/>
              <w:spacing w:after="0"/>
              <w:rPr>
                <w:sz w:val="20"/>
                <w:szCs w:val="20"/>
                <w:color w:val="auto"/>
              </w:rPr>
            </w:pPr>
            <w:r>
              <w:rPr>
                <w:rFonts w:ascii="Arial" w:cs="Arial" w:eastAsia="Arial" w:hAnsi="Arial"/>
                <w:sz w:val="16"/>
                <w:szCs w:val="16"/>
                <w:color w:val="auto"/>
              </w:rPr>
              <w:t>Chief Operating Officer</w:t>
            </w:r>
          </w:p>
        </w:tc>
        <w:tc>
          <w:tcPr>
            <w:tcW w:w="16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980" w:type="dxa"/>
            <w:vAlign w:val="bottom"/>
            <w:tcBorders>
              <w:bottom w:val="single" w:sz="8" w:color="003595"/>
            </w:tcBorders>
          </w:tcPr>
          <w:p>
            <w:pPr>
              <w:spacing w:after="0"/>
              <w:rPr>
                <w:sz w:val="2"/>
                <w:szCs w:val="2"/>
                <w:color w:val="auto"/>
              </w:rPr>
            </w:pPr>
          </w:p>
        </w:tc>
        <w:tc>
          <w:tcPr>
            <w:tcW w:w="1620" w:type="dxa"/>
            <w:vAlign w:val="bottom"/>
            <w:tcBorders>
              <w:bottom w:val="single" w:sz="8" w:color="003595"/>
            </w:tcBorders>
          </w:tcPr>
          <w:p>
            <w:pPr>
              <w:spacing w:after="0"/>
              <w:rPr>
                <w:sz w:val="2"/>
                <w:szCs w:val="2"/>
                <w:color w:val="auto"/>
              </w:rPr>
            </w:pPr>
          </w:p>
        </w:tc>
        <w:tc>
          <w:tcPr>
            <w:tcW w:w="520" w:type="dxa"/>
            <w:vAlign w:val="bottom"/>
            <w:tcBorders>
              <w:bottom w:val="single" w:sz="8" w:color="003595"/>
            </w:tcBorders>
          </w:tcPr>
          <w:p>
            <w:pPr>
              <w:spacing w:after="0"/>
              <w:rPr>
                <w:sz w:val="2"/>
                <w:szCs w:val="2"/>
                <w:color w:val="auto"/>
              </w:rPr>
            </w:pPr>
          </w:p>
        </w:tc>
        <w:tc>
          <w:tcPr>
            <w:tcW w:w="420" w:type="dxa"/>
            <w:vAlign w:val="bottom"/>
            <w:tcBorders>
              <w:bottom w:val="single" w:sz="8" w:color="003595"/>
            </w:tcBorders>
          </w:tcPr>
          <w:p>
            <w:pPr>
              <w:spacing w:after="0"/>
              <w:rPr>
                <w:sz w:val="2"/>
                <w:szCs w:val="2"/>
                <w:color w:val="auto"/>
              </w:rPr>
            </w:pPr>
          </w:p>
        </w:tc>
        <w:tc>
          <w:tcPr>
            <w:tcW w:w="320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line="182" w:lineRule="exact"/>
              <w:rPr>
                <w:sz w:val="20"/>
                <w:szCs w:val="20"/>
                <w:color w:val="auto"/>
              </w:rPr>
            </w:pPr>
            <w:r>
              <w:rPr>
                <w:rFonts w:ascii="Arial" w:cs="Arial" w:eastAsia="Arial" w:hAnsi="Arial"/>
                <w:sz w:val="16"/>
                <w:szCs w:val="16"/>
                <w:color w:val="auto"/>
              </w:rPr>
              <w:t>Brian J. Donnelly</w:t>
            </w: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127,629</w:t>
            </w:r>
          </w:p>
        </w:tc>
        <w:tc>
          <w:tcPr>
            <w:tcW w:w="520" w:type="dxa"/>
            <w:vAlign w:val="bottom"/>
            <w:vMerge w:val="restart"/>
          </w:tcPr>
          <w:p>
            <w:pPr>
              <w:jc w:val="right"/>
              <w:ind w:right="307"/>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15"/>
                <w:szCs w:val="15"/>
                <w:color w:val="auto"/>
              </w:rPr>
            </w:pPr>
          </w:p>
        </w:tc>
        <w:tc>
          <w:tcPr>
            <w:tcW w:w="3200" w:type="dxa"/>
            <w:vAlign w:val="bottom"/>
            <w:vMerge w:val="restart"/>
          </w:tcPr>
          <w:p>
            <w:pPr>
              <w:jc w:val="center"/>
              <w:spacing w:after="0"/>
              <w:rPr>
                <w:sz w:val="20"/>
                <w:szCs w:val="20"/>
                <w:color w:val="auto"/>
              </w:rPr>
            </w:pPr>
            <w:r>
              <w:rPr>
                <w:rFonts w:ascii="Arial" w:cs="Arial" w:eastAsia="Arial" w:hAnsi="Arial"/>
                <w:sz w:val="16"/>
                <w:szCs w:val="16"/>
                <w:color w:val="auto"/>
              </w:rPr>
              <w:t>$909,995</w:t>
            </w:r>
          </w:p>
        </w:tc>
        <w:tc>
          <w:tcPr>
            <w:tcW w:w="0" w:type="dxa"/>
            <w:vAlign w:val="bottom"/>
          </w:tcPr>
          <w:p>
            <w:pPr>
              <w:spacing w:after="0"/>
              <w:rPr>
                <w:sz w:val="1"/>
                <w:szCs w:val="1"/>
                <w:color w:val="auto"/>
              </w:rPr>
            </w:pPr>
          </w:p>
        </w:tc>
      </w:tr>
      <w:tr>
        <w:trPr>
          <w:trHeight w:val="120"/>
        </w:trPr>
        <w:tc>
          <w:tcPr>
            <w:tcW w:w="4980" w:type="dxa"/>
            <w:vAlign w:val="bottom"/>
            <w:vMerge w:val="restart"/>
          </w:tcPr>
          <w:p>
            <w:pPr>
              <w:ind w:left="240"/>
              <w:spacing w:after="0"/>
              <w:rPr>
                <w:sz w:val="20"/>
                <w:szCs w:val="20"/>
                <w:color w:val="auto"/>
              </w:rPr>
            </w:pPr>
            <w:r>
              <w:rPr>
                <w:rFonts w:ascii="Arial" w:cs="Arial" w:eastAsia="Arial" w:hAnsi="Arial"/>
                <w:sz w:val="16"/>
                <w:szCs w:val="16"/>
                <w:color w:val="auto"/>
              </w:rPr>
              <w:t>Chief Commercial Officer</w:t>
            </w:r>
          </w:p>
        </w:tc>
        <w:tc>
          <w:tcPr>
            <w:tcW w:w="16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98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980" w:type="dxa"/>
            <w:vAlign w:val="bottom"/>
            <w:tcBorders>
              <w:bottom w:val="single" w:sz="8" w:color="003595"/>
            </w:tcBorders>
          </w:tcPr>
          <w:p>
            <w:pPr>
              <w:spacing w:after="0"/>
              <w:rPr>
                <w:sz w:val="2"/>
                <w:szCs w:val="2"/>
                <w:color w:val="auto"/>
              </w:rPr>
            </w:pPr>
          </w:p>
        </w:tc>
        <w:tc>
          <w:tcPr>
            <w:tcW w:w="1620" w:type="dxa"/>
            <w:vAlign w:val="bottom"/>
            <w:tcBorders>
              <w:bottom w:val="single" w:sz="8" w:color="003595"/>
            </w:tcBorders>
          </w:tcPr>
          <w:p>
            <w:pPr>
              <w:spacing w:after="0"/>
              <w:rPr>
                <w:sz w:val="2"/>
                <w:szCs w:val="2"/>
                <w:color w:val="auto"/>
              </w:rPr>
            </w:pPr>
          </w:p>
        </w:tc>
        <w:tc>
          <w:tcPr>
            <w:tcW w:w="520" w:type="dxa"/>
            <w:vAlign w:val="bottom"/>
            <w:tcBorders>
              <w:bottom w:val="single" w:sz="8" w:color="003595"/>
            </w:tcBorders>
          </w:tcPr>
          <w:p>
            <w:pPr>
              <w:spacing w:after="0"/>
              <w:rPr>
                <w:sz w:val="2"/>
                <w:szCs w:val="2"/>
                <w:color w:val="auto"/>
              </w:rPr>
            </w:pPr>
          </w:p>
        </w:tc>
        <w:tc>
          <w:tcPr>
            <w:tcW w:w="420" w:type="dxa"/>
            <w:vAlign w:val="bottom"/>
            <w:tcBorders>
              <w:bottom w:val="single" w:sz="8" w:color="003595"/>
            </w:tcBorders>
          </w:tcPr>
          <w:p>
            <w:pPr>
              <w:spacing w:after="0"/>
              <w:rPr>
                <w:sz w:val="2"/>
                <w:szCs w:val="2"/>
                <w:color w:val="auto"/>
              </w:rPr>
            </w:pPr>
          </w:p>
        </w:tc>
        <w:tc>
          <w:tcPr>
            <w:tcW w:w="320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line="182" w:lineRule="exact"/>
              <w:rPr>
                <w:sz w:val="20"/>
                <w:szCs w:val="20"/>
                <w:color w:val="auto"/>
              </w:rPr>
            </w:pPr>
            <w:r>
              <w:rPr>
                <w:rFonts w:ascii="Arial" w:cs="Arial" w:eastAsia="Arial" w:hAnsi="Arial"/>
                <w:sz w:val="16"/>
                <w:szCs w:val="16"/>
                <w:color w:val="auto"/>
              </w:rPr>
              <w:t>Dale Muzzey, Ph.D.</w:t>
            </w:r>
          </w:p>
        </w:tc>
        <w:tc>
          <w:tcPr>
            <w:tcW w:w="1620" w:type="dxa"/>
            <w:vAlign w:val="bottom"/>
            <w:vMerge w:val="restart"/>
          </w:tcPr>
          <w:p>
            <w:pPr>
              <w:jc w:val="center"/>
              <w:ind w:left="959"/>
              <w:spacing w:after="0"/>
              <w:rPr>
                <w:sz w:val="20"/>
                <w:szCs w:val="20"/>
                <w:color w:val="auto"/>
              </w:rPr>
            </w:pPr>
            <w:r>
              <w:rPr>
                <w:rFonts w:ascii="Arial" w:cs="Arial" w:eastAsia="Arial" w:hAnsi="Arial"/>
                <w:sz w:val="16"/>
                <w:szCs w:val="16"/>
                <w:color w:val="auto"/>
              </w:rPr>
              <w:t>75,773</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0" w:type="dxa"/>
            <w:vAlign w:val="bottom"/>
            <w:vMerge w:val="restart"/>
          </w:tcPr>
          <w:p>
            <w:pPr>
              <w:jc w:val="center"/>
              <w:spacing w:after="0"/>
              <w:rPr>
                <w:sz w:val="20"/>
                <w:szCs w:val="20"/>
                <w:color w:val="auto"/>
              </w:rPr>
            </w:pPr>
            <w:r>
              <w:rPr>
                <w:rFonts w:ascii="Arial" w:cs="Arial" w:eastAsia="Arial" w:hAnsi="Arial"/>
                <w:sz w:val="16"/>
                <w:szCs w:val="16"/>
                <w:color w:val="auto"/>
              </w:rPr>
              <w:t>$734,998</w:t>
            </w:r>
          </w:p>
        </w:tc>
        <w:tc>
          <w:tcPr>
            <w:tcW w:w="0" w:type="dxa"/>
            <w:vAlign w:val="bottom"/>
          </w:tcPr>
          <w:p>
            <w:pPr>
              <w:spacing w:after="0"/>
              <w:rPr>
                <w:sz w:val="1"/>
                <w:szCs w:val="1"/>
                <w:color w:val="auto"/>
              </w:rPr>
            </w:pPr>
          </w:p>
        </w:tc>
      </w:tr>
      <w:tr>
        <w:trPr>
          <w:trHeight w:val="120"/>
        </w:trPr>
        <w:tc>
          <w:tcPr>
            <w:tcW w:w="4980" w:type="dxa"/>
            <w:vAlign w:val="bottom"/>
            <w:vMerge w:val="restart"/>
          </w:tcPr>
          <w:p>
            <w:pPr>
              <w:ind w:left="240"/>
              <w:spacing w:after="0"/>
              <w:rPr>
                <w:sz w:val="20"/>
                <w:szCs w:val="20"/>
                <w:color w:val="auto"/>
              </w:rPr>
            </w:pPr>
            <w:r>
              <w:rPr>
                <w:rFonts w:ascii="Arial" w:cs="Arial" w:eastAsia="Arial" w:hAnsi="Arial"/>
                <w:sz w:val="16"/>
                <w:szCs w:val="16"/>
                <w:color w:val="auto"/>
              </w:rPr>
              <w:t>Chief Scientific Officer</w:t>
            </w:r>
          </w:p>
        </w:tc>
        <w:tc>
          <w:tcPr>
            <w:tcW w:w="16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980" w:type="dxa"/>
            <w:vAlign w:val="bottom"/>
            <w:tcBorders>
              <w:bottom w:val="single" w:sz="8" w:color="003595"/>
            </w:tcBorders>
          </w:tcPr>
          <w:p>
            <w:pPr>
              <w:spacing w:after="0"/>
              <w:rPr>
                <w:sz w:val="2"/>
                <w:szCs w:val="2"/>
                <w:color w:val="auto"/>
              </w:rPr>
            </w:pPr>
          </w:p>
        </w:tc>
        <w:tc>
          <w:tcPr>
            <w:tcW w:w="1620" w:type="dxa"/>
            <w:vAlign w:val="bottom"/>
            <w:tcBorders>
              <w:bottom w:val="single" w:sz="8" w:color="003595"/>
            </w:tcBorders>
          </w:tcPr>
          <w:p>
            <w:pPr>
              <w:spacing w:after="0"/>
              <w:rPr>
                <w:sz w:val="2"/>
                <w:szCs w:val="2"/>
                <w:color w:val="auto"/>
              </w:rPr>
            </w:pPr>
          </w:p>
        </w:tc>
        <w:tc>
          <w:tcPr>
            <w:tcW w:w="520" w:type="dxa"/>
            <w:vAlign w:val="bottom"/>
            <w:tcBorders>
              <w:bottom w:val="single" w:sz="8" w:color="003595"/>
            </w:tcBorders>
          </w:tcPr>
          <w:p>
            <w:pPr>
              <w:spacing w:after="0"/>
              <w:rPr>
                <w:sz w:val="2"/>
                <w:szCs w:val="2"/>
                <w:color w:val="auto"/>
              </w:rPr>
            </w:pPr>
          </w:p>
        </w:tc>
        <w:tc>
          <w:tcPr>
            <w:tcW w:w="420" w:type="dxa"/>
            <w:vAlign w:val="bottom"/>
            <w:tcBorders>
              <w:bottom w:val="single" w:sz="8" w:color="003595"/>
            </w:tcBorders>
          </w:tcPr>
          <w:p>
            <w:pPr>
              <w:spacing w:after="0"/>
              <w:rPr>
                <w:sz w:val="2"/>
                <w:szCs w:val="2"/>
                <w:color w:val="auto"/>
              </w:rPr>
            </w:pPr>
          </w:p>
        </w:tc>
        <w:tc>
          <w:tcPr>
            <w:tcW w:w="320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line="182" w:lineRule="exact"/>
              <w:rPr>
                <w:sz w:val="20"/>
                <w:szCs w:val="20"/>
                <w:color w:val="auto"/>
              </w:rPr>
            </w:pPr>
            <w:r>
              <w:rPr>
                <w:rFonts w:ascii="Arial" w:cs="Arial" w:eastAsia="Arial" w:hAnsi="Arial"/>
                <w:sz w:val="16"/>
                <w:szCs w:val="16"/>
                <w:color w:val="auto"/>
              </w:rPr>
              <w:t>Scott Leffler</w:t>
            </w:r>
          </w:p>
        </w:tc>
        <w:tc>
          <w:tcPr>
            <w:tcW w:w="1620" w:type="dxa"/>
            <w:vAlign w:val="bottom"/>
            <w:vMerge w:val="restart"/>
          </w:tcPr>
          <w:p>
            <w:pPr>
              <w:jc w:val="center"/>
              <w:ind w:left="959"/>
              <w:spacing w:after="0"/>
              <w:rPr>
                <w:sz w:val="20"/>
                <w:szCs w:val="20"/>
                <w:color w:val="auto"/>
              </w:rPr>
            </w:pPr>
            <w:r>
              <w:rPr>
                <w:rFonts w:ascii="Arial" w:cs="Arial" w:eastAsia="Arial" w:hAnsi="Arial"/>
                <w:sz w:val="16"/>
                <w:szCs w:val="16"/>
                <w:color w:val="auto"/>
              </w:rPr>
              <w:t>72,165</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0" w:type="dxa"/>
            <w:vAlign w:val="bottom"/>
            <w:vMerge w:val="restart"/>
          </w:tcPr>
          <w:p>
            <w:pPr>
              <w:jc w:val="center"/>
              <w:spacing w:after="0"/>
              <w:rPr>
                <w:sz w:val="20"/>
                <w:szCs w:val="20"/>
                <w:color w:val="auto"/>
              </w:rPr>
            </w:pPr>
            <w:r>
              <w:rPr>
                <w:rFonts w:ascii="Arial" w:cs="Arial" w:eastAsia="Arial" w:hAnsi="Arial"/>
                <w:sz w:val="16"/>
                <w:szCs w:val="16"/>
                <w:color w:val="auto"/>
              </w:rPr>
              <w:t>$700,001</w:t>
            </w:r>
          </w:p>
        </w:tc>
        <w:tc>
          <w:tcPr>
            <w:tcW w:w="0" w:type="dxa"/>
            <w:vAlign w:val="bottom"/>
          </w:tcPr>
          <w:p>
            <w:pPr>
              <w:spacing w:after="0"/>
              <w:rPr>
                <w:sz w:val="1"/>
                <w:szCs w:val="1"/>
                <w:color w:val="auto"/>
              </w:rPr>
            </w:pPr>
          </w:p>
        </w:tc>
      </w:tr>
      <w:tr>
        <w:trPr>
          <w:trHeight w:val="120"/>
        </w:trPr>
        <w:tc>
          <w:tcPr>
            <w:tcW w:w="4980" w:type="dxa"/>
            <w:vAlign w:val="bottom"/>
            <w:vMerge w:val="restart"/>
          </w:tcPr>
          <w:p>
            <w:pPr>
              <w:ind w:left="180"/>
              <w:spacing w:after="0"/>
              <w:rPr>
                <w:sz w:val="20"/>
                <w:szCs w:val="20"/>
                <w:color w:val="auto"/>
              </w:rPr>
            </w:pPr>
            <w:r>
              <w:rPr>
                <w:rFonts w:ascii="Arial" w:cs="Arial" w:eastAsia="Arial" w:hAnsi="Arial"/>
                <w:sz w:val="16"/>
                <w:szCs w:val="16"/>
                <w:color w:val="auto"/>
              </w:rPr>
              <w:t>Former Chief Financial Officer</w:t>
            </w:r>
          </w:p>
        </w:tc>
        <w:tc>
          <w:tcPr>
            <w:tcW w:w="16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98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980" w:type="dxa"/>
            <w:vAlign w:val="bottom"/>
            <w:tcBorders>
              <w:bottom w:val="single" w:sz="8" w:color="003595"/>
            </w:tcBorders>
          </w:tcPr>
          <w:p>
            <w:pPr>
              <w:spacing w:after="0"/>
              <w:rPr>
                <w:sz w:val="2"/>
                <w:szCs w:val="2"/>
                <w:color w:val="auto"/>
              </w:rPr>
            </w:pPr>
          </w:p>
        </w:tc>
        <w:tc>
          <w:tcPr>
            <w:tcW w:w="1620" w:type="dxa"/>
            <w:vAlign w:val="bottom"/>
            <w:tcBorders>
              <w:bottom w:val="single" w:sz="8" w:color="003595"/>
            </w:tcBorders>
          </w:tcPr>
          <w:p>
            <w:pPr>
              <w:spacing w:after="0"/>
              <w:rPr>
                <w:sz w:val="2"/>
                <w:szCs w:val="2"/>
                <w:color w:val="auto"/>
              </w:rPr>
            </w:pPr>
          </w:p>
        </w:tc>
        <w:tc>
          <w:tcPr>
            <w:tcW w:w="520" w:type="dxa"/>
            <w:vAlign w:val="bottom"/>
            <w:tcBorders>
              <w:bottom w:val="single" w:sz="8" w:color="003595"/>
            </w:tcBorders>
          </w:tcPr>
          <w:p>
            <w:pPr>
              <w:spacing w:after="0"/>
              <w:rPr>
                <w:sz w:val="2"/>
                <w:szCs w:val="2"/>
                <w:color w:val="auto"/>
              </w:rPr>
            </w:pPr>
          </w:p>
        </w:tc>
        <w:tc>
          <w:tcPr>
            <w:tcW w:w="420" w:type="dxa"/>
            <w:vAlign w:val="bottom"/>
            <w:tcBorders>
              <w:bottom w:val="single" w:sz="8" w:color="003595"/>
            </w:tcBorders>
          </w:tcPr>
          <w:p>
            <w:pPr>
              <w:spacing w:after="0"/>
              <w:rPr>
                <w:sz w:val="2"/>
                <w:szCs w:val="2"/>
                <w:color w:val="auto"/>
              </w:rPr>
            </w:pPr>
          </w:p>
        </w:tc>
        <w:tc>
          <w:tcPr>
            <w:tcW w:w="320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line="182" w:lineRule="exact"/>
              <w:rPr>
                <w:sz w:val="20"/>
                <w:szCs w:val="20"/>
                <w:color w:val="auto"/>
              </w:rPr>
            </w:pPr>
            <w:r>
              <w:rPr>
                <w:rFonts w:ascii="Arial" w:cs="Arial" w:eastAsia="Arial" w:hAnsi="Arial"/>
                <w:sz w:val="16"/>
                <w:szCs w:val="16"/>
                <w:color w:val="auto"/>
              </w:rPr>
              <w:t>Margaret Ancona</w:t>
            </w:r>
          </w:p>
        </w:tc>
        <w:tc>
          <w:tcPr>
            <w:tcW w:w="1620" w:type="dxa"/>
            <w:vAlign w:val="bottom"/>
            <w:vMerge w:val="restart"/>
          </w:tcPr>
          <w:p>
            <w:pPr>
              <w:jc w:val="center"/>
              <w:ind w:left="959"/>
              <w:spacing w:after="0"/>
              <w:rPr>
                <w:sz w:val="20"/>
                <w:szCs w:val="20"/>
                <w:color w:val="auto"/>
              </w:rPr>
            </w:pPr>
            <w:r>
              <w:rPr>
                <w:rFonts w:ascii="Arial" w:cs="Arial" w:eastAsia="Arial" w:hAnsi="Arial"/>
                <w:sz w:val="16"/>
                <w:szCs w:val="16"/>
                <w:color w:val="auto"/>
              </w:rPr>
              <w:t>54,124</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0" w:type="dxa"/>
            <w:vAlign w:val="bottom"/>
            <w:vMerge w:val="restart"/>
          </w:tcPr>
          <w:p>
            <w:pPr>
              <w:jc w:val="center"/>
              <w:spacing w:after="0"/>
              <w:rPr>
                <w:sz w:val="20"/>
                <w:szCs w:val="20"/>
                <w:color w:val="auto"/>
              </w:rPr>
            </w:pPr>
            <w:r>
              <w:rPr>
                <w:rFonts w:ascii="Arial" w:cs="Arial" w:eastAsia="Arial" w:hAnsi="Arial"/>
                <w:sz w:val="16"/>
                <w:szCs w:val="16"/>
                <w:color w:val="auto"/>
              </w:rPr>
              <w:t>$525,003</w:t>
            </w:r>
          </w:p>
        </w:tc>
        <w:tc>
          <w:tcPr>
            <w:tcW w:w="0" w:type="dxa"/>
            <w:vAlign w:val="bottom"/>
          </w:tcPr>
          <w:p>
            <w:pPr>
              <w:spacing w:after="0"/>
              <w:rPr>
                <w:sz w:val="1"/>
                <w:szCs w:val="1"/>
                <w:color w:val="auto"/>
              </w:rPr>
            </w:pPr>
          </w:p>
        </w:tc>
      </w:tr>
      <w:tr>
        <w:trPr>
          <w:trHeight w:val="120"/>
        </w:trPr>
        <w:tc>
          <w:tcPr>
            <w:tcW w:w="4980" w:type="dxa"/>
            <w:vAlign w:val="bottom"/>
            <w:vMerge w:val="restart"/>
          </w:tcPr>
          <w:p>
            <w:pPr>
              <w:ind w:left="180"/>
              <w:spacing w:after="0"/>
              <w:rPr>
                <w:sz w:val="20"/>
                <w:szCs w:val="20"/>
                <w:color w:val="auto"/>
              </w:rPr>
            </w:pPr>
            <w:r>
              <w:rPr>
                <w:rFonts w:ascii="Arial" w:cs="Arial" w:eastAsia="Arial" w:hAnsi="Arial"/>
                <w:sz w:val="16"/>
                <w:szCs w:val="16"/>
                <w:color w:val="auto"/>
              </w:rPr>
              <w:t>Former EVP, Strategy and Transformation</w:t>
            </w:r>
          </w:p>
        </w:tc>
        <w:tc>
          <w:tcPr>
            <w:tcW w:w="16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980" w:type="dxa"/>
            <w:vAlign w:val="bottom"/>
            <w:tcBorders>
              <w:bottom w:val="single" w:sz="8" w:color="003595"/>
            </w:tcBorders>
          </w:tcPr>
          <w:p>
            <w:pPr>
              <w:spacing w:after="0"/>
              <w:rPr>
                <w:sz w:val="2"/>
                <w:szCs w:val="2"/>
                <w:color w:val="auto"/>
              </w:rPr>
            </w:pPr>
          </w:p>
        </w:tc>
        <w:tc>
          <w:tcPr>
            <w:tcW w:w="1620" w:type="dxa"/>
            <w:vAlign w:val="bottom"/>
            <w:tcBorders>
              <w:bottom w:val="single" w:sz="8" w:color="003595"/>
            </w:tcBorders>
          </w:tcPr>
          <w:p>
            <w:pPr>
              <w:spacing w:after="0"/>
              <w:rPr>
                <w:sz w:val="2"/>
                <w:szCs w:val="2"/>
                <w:color w:val="auto"/>
              </w:rPr>
            </w:pPr>
          </w:p>
        </w:tc>
        <w:tc>
          <w:tcPr>
            <w:tcW w:w="520" w:type="dxa"/>
            <w:vAlign w:val="bottom"/>
            <w:tcBorders>
              <w:bottom w:val="single" w:sz="8" w:color="003595"/>
            </w:tcBorders>
          </w:tcPr>
          <w:p>
            <w:pPr>
              <w:spacing w:after="0"/>
              <w:rPr>
                <w:sz w:val="2"/>
                <w:szCs w:val="2"/>
                <w:color w:val="auto"/>
              </w:rPr>
            </w:pPr>
          </w:p>
        </w:tc>
        <w:tc>
          <w:tcPr>
            <w:tcW w:w="420" w:type="dxa"/>
            <w:vAlign w:val="bottom"/>
            <w:tcBorders>
              <w:bottom w:val="single" w:sz="8" w:color="003595"/>
            </w:tcBorders>
          </w:tcPr>
          <w:p>
            <w:pPr>
              <w:spacing w:after="0"/>
              <w:rPr>
                <w:sz w:val="2"/>
                <w:szCs w:val="2"/>
                <w:color w:val="auto"/>
              </w:rPr>
            </w:pPr>
          </w:p>
        </w:tc>
        <w:tc>
          <w:tcPr>
            <w:tcW w:w="320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660" w:right="400" w:hanging="328"/>
        <w:spacing w:after="0"/>
        <w:tabs>
          <w:tab w:leader="none" w:pos="65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amounts represent the number of RSUs granted to our NEOs during 2025. The RSUs awarded to Mr. Raha, Mr. Verratti and Dr. Muzzey were granted on March 13, 2025, and 33% of the RSUs vested on March 13, 2026 and the remaining RSUs vest 33% on March 13, 2027 and 33% on March 13, 2028, subject to the executive officer's continued service to the Company. Pursuant to the terms of their respective separation agreements, 58,132 of Mr. Leffler's 2025 RSUs and 46,607 of Ms. Ancona's 2025 RSUs were accelerated. The remaining 14,033 shares for Mr. Leffler and 7,517 shares for Ms. Ancona were forfeited upon their respective departures from the Company.</w:t>
      </w:r>
    </w:p>
    <w:p>
      <w:pPr>
        <w:spacing w:after="0" w:line="225" w:lineRule="exact"/>
        <w:rPr>
          <w:rFonts w:ascii="Arial" w:cs="Arial" w:eastAsia="Arial" w:hAnsi="Arial"/>
          <w:sz w:val="13"/>
          <w:szCs w:val="13"/>
          <w:color w:val="auto"/>
        </w:rPr>
      </w:pPr>
    </w:p>
    <w:p>
      <w:pPr>
        <w:jc w:val="both"/>
        <w:ind w:left="660" w:right="400" w:hanging="328"/>
        <w:spacing w:after="0" w:line="270" w:lineRule="auto"/>
        <w:tabs>
          <w:tab w:leader="none" w:pos="652" w:val="left"/>
        </w:tabs>
        <w:numPr>
          <w:ilvl w:val="0"/>
          <w:numId w:val="48"/>
        </w:numPr>
        <w:rPr>
          <w:rFonts w:ascii="Arial" w:cs="Arial" w:eastAsia="Arial" w:hAnsi="Arial"/>
          <w:sz w:val="12"/>
          <w:szCs w:val="12"/>
          <w:color w:val="auto"/>
        </w:rPr>
      </w:pPr>
      <w:r>
        <w:rPr>
          <w:rFonts w:ascii="Arial" w:cs="Arial" w:eastAsia="Arial" w:hAnsi="Arial"/>
          <w:sz w:val="12"/>
          <w:szCs w:val="12"/>
          <w:color w:val="auto"/>
        </w:rPr>
        <w:t>Mr. Wheeler received an award of 4,000 RSUs on March 13, 2025, 33% of these RSUs vested on March 13, 2026 and the remaining RSUs vest 33% on March 13, 2027, and 33% on March 13, 2028, subject to Mr. Wheeler's continued service to the Company. Mr. Wheeler also received an award of 60,000 RSUs on August 16, 2025, 33% of these RSUs vest on August 16, 2026 and the remaining RSUs vest 33% on August 16, 2027, and 33% on August 16, 2028, subject to Mr. Wheeler's continued service to the Company.</w:t>
      </w:r>
    </w:p>
    <w:p>
      <w:pPr>
        <w:spacing w:after="0" w:line="209" w:lineRule="exact"/>
        <w:rPr>
          <w:rFonts w:ascii="Arial" w:cs="Arial" w:eastAsia="Arial" w:hAnsi="Arial"/>
          <w:sz w:val="12"/>
          <w:szCs w:val="12"/>
          <w:color w:val="auto"/>
        </w:rPr>
      </w:pPr>
    </w:p>
    <w:p>
      <w:pPr>
        <w:ind w:left="660" w:right="180" w:hanging="328"/>
        <w:spacing w:after="0" w:line="264" w:lineRule="auto"/>
        <w:tabs>
          <w:tab w:leader="none" w:pos="652" w:val="left"/>
        </w:tabs>
        <w:numPr>
          <w:ilvl w:val="0"/>
          <w:numId w:val="48"/>
        </w:numPr>
        <w:rPr>
          <w:rFonts w:ascii="Arial" w:cs="Arial" w:eastAsia="Arial" w:hAnsi="Arial"/>
          <w:sz w:val="13"/>
          <w:szCs w:val="13"/>
          <w:color w:val="auto"/>
        </w:rPr>
      </w:pPr>
      <w:r>
        <w:rPr>
          <w:rFonts w:ascii="Arial" w:cs="Arial" w:eastAsia="Arial" w:hAnsi="Arial"/>
          <w:sz w:val="13"/>
          <w:szCs w:val="13"/>
          <w:color w:val="auto"/>
        </w:rPr>
        <w:t>Mr. Donnelly received an award of 127,629 RSUs on May 1, 2025, 33% of these RSUs vest on May 1, 2026, and the remaining RSUs vest 33% on May 1, 2027, and 33% on May 1, 2028, subject to Mr. Donnelly's continued service to the Company.</w:t>
      </w:r>
    </w:p>
    <w:p>
      <w:pPr>
        <w:spacing w:after="0" w:line="211" w:lineRule="exact"/>
        <w:rPr>
          <w:rFonts w:ascii="Arial" w:cs="Arial" w:eastAsia="Arial" w:hAnsi="Arial"/>
          <w:sz w:val="13"/>
          <w:szCs w:val="13"/>
          <w:color w:val="auto"/>
        </w:rPr>
      </w:pPr>
    </w:p>
    <w:p>
      <w:pPr>
        <w:jc w:val="both"/>
        <w:ind w:left="660" w:right="400" w:hanging="328"/>
        <w:spacing w:after="0"/>
        <w:tabs>
          <w:tab w:leader="none" w:pos="65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amounts represent the grant date fair value calculated in accordance with FASB ASC Topic 718 and, (a) in the case of RSUs granted on March 13, 2025, are based on the closing price of our common stock on the Nasdaq Global Select Market on March 13, 2025, of $9.70, (b) in the case of RSUs granted on May 1, 2025, are based on the closing price of our common stock on the Nasdaq Global Select Market on May 1, 2025 of $7.13 and (c) in the case of RSUs granted on August 16, 2025, are based on the closing price of our common stock on the Nasdaq Global Select Market on August 16, 2025, of $5.71.</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u w:val="single" w:color="auto"/>
          <w:color w:val="auto"/>
        </w:rPr>
        <w:t>Performance-based restricted stock units (PSUs)</w:t>
      </w:r>
      <w:r>
        <w:rPr>
          <w:rFonts w:ascii="Arial" w:cs="Arial" w:eastAsia="Arial" w:hAnsi="Arial"/>
          <w:sz w:val="16"/>
          <w:szCs w:val="16"/>
          <w:color w:val="auto"/>
        </w:rPr>
        <w:t>. For our NEOs, all PSUs awarded will vest after three years only if predetermined, formula-based, performance targets are achieved. Each performance metric has threshold, target and maximum performance level targets. The actual number of units earned is determined based on the percentage achievement of each predetermined performance target with no award earned if the minimum threshold is not achieved. Maximum payout is capped at 150% of the target number of PSUs granted. If the minimum threshold is achieved, the awards for 2025 vest on March 13, 2028. The level of achievement for the performance metrics are noted below.</w:t>
      </w:r>
    </w:p>
    <w:p>
      <w:pPr>
        <w:spacing w:after="0" w:line="263" w:lineRule="exact"/>
        <w:rPr>
          <w:sz w:val="20"/>
          <w:szCs w:val="20"/>
          <w:color w:val="auto"/>
        </w:rPr>
      </w:pPr>
    </w:p>
    <w:tbl>
      <w:tblPr>
        <w:tblLayout w:type="fixed"/>
        <w:tblInd w:w="2600" w:type="dxa"/>
        <w:tblCellMar>
          <w:top w:w="0" w:type="dxa"/>
          <w:left w:w="0" w:type="dxa"/>
          <w:bottom w:w="0" w:type="dxa"/>
          <w:right w:w="0" w:type="dxa"/>
        </w:tblCellMar>
      </w:tblPr>
      <w:tr>
        <w:trPr>
          <w:trHeight w:val="250"/>
        </w:trPr>
        <w:tc>
          <w:tcPr>
            <w:tcW w:w="2140" w:type="dxa"/>
            <w:vAlign w:val="bottom"/>
            <w:tcBorders>
              <w:bottom w:val="single" w:sz="8" w:color="003595"/>
            </w:tcBorders>
            <w:shd w:val="clear" w:color="auto" w:fill="003595"/>
          </w:tcPr>
          <w:p>
            <w:pPr>
              <w:ind w:left="20"/>
              <w:spacing w:after="0"/>
              <w:rPr>
                <w:sz w:val="20"/>
                <w:szCs w:val="20"/>
                <w:color w:val="auto"/>
              </w:rPr>
            </w:pPr>
            <w:r>
              <w:rPr>
                <w:rFonts w:ascii="Arial" w:cs="Arial" w:eastAsia="Arial" w:hAnsi="Arial"/>
                <w:sz w:val="16"/>
                <w:szCs w:val="16"/>
                <w:b w:val="1"/>
                <w:bCs w:val="1"/>
                <w:color w:val="FFFFFF"/>
              </w:rPr>
              <w:t>Achievement Level</w:t>
            </w:r>
          </w:p>
        </w:tc>
        <w:tc>
          <w:tcPr>
            <w:tcW w:w="2160" w:type="dxa"/>
            <w:vAlign w:val="bottom"/>
            <w:tcBorders>
              <w:bottom w:val="single" w:sz="8" w:color="003595"/>
            </w:tcBorders>
            <w:shd w:val="clear" w:color="auto" w:fill="003595"/>
          </w:tcPr>
          <w:p>
            <w:pPr>
              <w:ind w:left="20"/>
              <w:spacing w:after="0"/>
              <w:rPr>
                <w:sz w:val="20"/>
                <w:szCs w:val="20"/>
                <w:color w:val="auto"/>
              </w:rPr>
            </w:pPr>
            <w:r>
              <w:rPr>
                <w:rFonts w:ascii="Arial" w:cs="Arial" w:eastAsia="Arial" w:hAnsi="Arial"/>
                <w:sz w:val="16"/>
                <w:szCs w:val="16"/>
                <w:b w:val="1"/>
                <w:bCs w:val="1"/>
                <w:color w:val="FFFFFF"/>
              </w:rPr>
              <w:t>Payout Percentage</w:t>
            </w:r>
          </w:p>
        </w:tc>
      </w:tr>
      <w:tr>
        <w:trPr>
          <w:trHeight w:val="215"/>
        </w:trPr>
        <w:tc>
          <w:tcPr>
            <w:tcW w:w="2140" w:type="dxa"/>
            <w:vAlign w:val="bottom"/>
          </w:tcPr>
          <w:p>
            <w:pPr>
              <w:ind w:left="20"/>
              <w:spacing w:after="0"/>
              <w:rPr>
                <w:sz w:val="20"/>
                <w:szCs w:val="20"/>
                <w:color w:val="auto"/>
              </w:rPr>
            </w:pPr>
            <w:r>
              <w:rPr>
                <w:rFonts w:ascii="Arial" w:cs="Arial" w:eastAsia="Arial" w:hAnsi="Arial"/>
                <w:sz w:val="16"/>
                <w:szCs w:val="16"/>
                <w:color w:val="auto"/>
              </w:rPr>
              <w:t>Threshold</w:t>
            </w:r>
          </w:p>
        </w:tc>
        <w:tc>
          <w:tcPr>
            <w:tcW w:w="2160" w:type="dxa"/>
            <w:vAlign w:val="bottom"/>
          </w:tcPr>
          <w:p>
            <w:pPr>
              <w:ind w:left="20"/>
              <w:spacing w:after="0"/>
              <w:rPr>
                <w:sz w:val="20"/>
                <w:szCs w:val="20"/>
                <w:color w:val="auto"/>
              </w:rPr>
            </w:pPr>
            <w:r>
              <w:rPr>
                <w:rFonts w:ascii="Arial" w:cs="Arial" w:eastAsia="Arial" w:hAnsi="Arial"/>
                <w:sz w:val="16"/>
                <w:szCs w:val="16"/>
                <w:color w:val="auto"/>
              </w:rPr>
              <w:t>75% of target shares</w:t>
            </w:r>
          </w:p>
        </w:tc>
      </w:tr>
      <w:tr>
        <w:trPr>
          <w:trHeight w:val="28"/>
        </w:trPr>
        <w:tc>
          <w:tcPr>
            <w:tcW w:w="2140" w:type="dxa"/>
            <w:vAlign w:val="bottom"/>
            <w:tcBorders>
              <w:bottom w:val="single" w:sz="8" w:color="003595"/>
            </w:tcBorders>
          </w:tcPr>
          <w:p>
            <w:pPr>
              <w:spacing w:after="0"/>
              <w:rPr>
                <w:sz w:val="2"/>
                <w:szCs w:val="2"/>
                <w:color w:val="auto"/>
              </w:rPr>
            </w:pPr>
          </w:p>
        </w:tc>
        <w:tc>
          <w:tcPr>
            <w:tcW w:w="2160" w:type="dxa"/>
            <w:vAlign w:val="bottom"/>
            <w:tcBorders>
              <w:bottom w:val="single" w:sz="8" w:color="003595"/>
            </w:tcBorders>
          </w:tcPr>
          <w:p>
            <w:pPr>
              <w:spacing w:after="0"/>
              <w:rPr>
                <w:sz w:val="2"/>
                <w:szCs w:val="2"/>
                <w:color w:val="auto"/>
              </w:rPr>
            </w:pPr>
          </w:p>
        </w:tc>
      </w:tr>
      <w:tr>
        <w:trPr>
          <w:trHeight w:val="208"/>
        </w:trPr>
        <w:tc>
          <w:tcPr>
            <w:tcW w:w="2140" w:type="dxa"/>
            <w:vAlign w:val="bottom"/>
          </w:tcPr>
          <w:p>
            <w:pPr>
              <w:ind w:left="20"/>
              <w:spacing w:after="0"/>
              <w:rPr>
                <w:sz w:val="20"/>
                <w:szCs w:val="20"/>
                <w:color w:val="auto"/>
              </w:rPr>
            </w:pPr>
            <w:r>
              <w:rPr>
                <w:rFonts w:ascii="Arial" w:cs="Arial" w:eastAsia="Arial" w:hAnsi="Arial"/>
                <w:sz w:val="16"/>
                <w:szCs w:val="16"/>
                <w:color w:val="auto"/>
              </w:rPr>
              <w:t>Target</w:t>
            </w:r>
          </w:p>
        </w:tc>
        <w:tc>
          <w:tcPr>
            <w:tcW w:w="2160" w:type="dxa"/>
            <w:vAlign w:val="bottom"/>
          </w:tcPr>
          <w:p>
            <w:pPr>
              <w:ind w:left="20"/>
              <w:spacing w:after="0"/>
              <w:rPr>
                <w:sz w:val="20"/>
                <w:szCs w:val="20"/>
                <w:color w:val="auto"/>
              </w:rPr>
            </w:pPr>
            <w:r>
              <w:rPr>
                <w:rFonts w:ascii="Arial" w:cs="Arial" w:eastAsia="Arial" w:hAnsi="Arial"/>
                <w:sz w:val="16"/>
                <w:szCs w:val="16"/>
                <w:color w:val="auto"/>
              </w:rPr>
              <w:t>100% of target shares</w:t>
            </w:r>
          </w:p>
        </w:tc>
      </w:tr>
      <w:tr>
        <w:trPr>
          <w:trHeight w:val="28"/>
        </w:trPr>
        <w:tc>
          <w:tcPr>
            <w:tcW w:w="2140" w:type="dxa"/>
            <w:vAlign w:val="bottom"/>
            <w:tcBorders>
              <w:bottom w:val="single" w:sz="8" w:color="003595"/>
            </w:tcBorders>
          </w:tcPr>
          <w:p>
            <w:pPr>
              <w:spacing w:after="0"/>
              <w:rPr>
                <w:sz w:val="2"/>
                <w:szCs w:val="2"/>
                <w:color w:val="auto"/>
              </w:rPr>
            </w:pPr>
          </w:p>
        </w:tc>
        <w:tc>
          <w:tcPr>
            <w:tcW w:w="2160" w:type="dxa"/>
            <w:vAlign w:val="bottom"/>
            <w:tcBorders>
              <w:bottom w:val="single" w:sz="8" w:color="003595"/>
            </w:tcBorders>
          </w:tcPr>
          <w:p>
            <w:pPr>
              <w:spacing w:after="0"/>
              <w:rPr>
                <w:sz w:val="2"/>
                <w:szCs w:val="2"/>
                <w:color w:val="auto"/>
              </w:rPr>
            </w:pPr>
          </w:p>
        </w:tc>
      </w:tr>
      <w:tr>
        <w:trPr>
          <w:trHeight w:val="208"/>
        </w:trPr>
        <w:tc>
          <w:tcPr>
            <w:tcW w:w="2140" w:type="dxa"/>
            <w:vAlign w:val="bottom"/>
          </w:tcPr>
          <w:p>
            <w:pPr>
              <w:ind w:left="20"/>
              <w:spacing w:after="0"/>
              <w:rPr>
                <w:sz w:val="20"/>
                <w:szCs w:val="20"/>
                <w:color w:val="auto"/>
              </w:rPr>
            </w:pPr>
            <w:r>
              <w:rPr>
                <w:rFonts w:ascii="Arial" w:cs="Arial" w:eastAsia="Arial" w:hAnsi="Arial"/>
                <w:sz w:val="16"/>
                <w:szCs w:val="16"/>
                <w:color w:val="auto"/>
              </w:rPr>
              <w:t>Maximum</w:t>
            </w:r>
          </w:p>
        </w:tc>
        <w:tc>
          <w:tcPr>
            <w:tcW w:w="2160" w:type="dxa"/>
            <w:vAlign w:val="bottom"/>
          </w:tcPr>
          <w:p>
            <w:pPr>
              <w:ind w:left="20"/>
              <w:spacing w:after="0"/>
              <w:rPr>
                <w:sz w:val="20"/>
                <w:szCs w:val="20"/>
                <w:color w:val="auto"/>
              </w:rPr>
            </w:pPr>
            <w:r>
              <w:rPr>
                <w:rFonts w:ascii="Arial" w:cs="Arial" w:eastAsia="Arial" w:hAnsi="Arial"/>
                <w:sz w:val="16"/>
                <w:szCs w:val="16"/>
                <w:color w:val="auto"/>
              </w:rPr>
              <w:t>150% of target shares</w:t>
            </w:r>
          </w:p>
        </w:tc>
      </w:tr>
    </w:tbl>
    <w:p>
      <w:pPr>
        <w:spacing w:after="0" w:line="33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performance metrics for PSUs are weighted 34% for revenue, 33% for adjusted EPS, and 33% for relative total stockholder return. The CHCC uses revenue as a metric for PSUs, in addition to using it as a metric under our short-term incentive program, because of the importance of long-term revenue growth to investors in our industry. The revenue metric for our PSUs granted in 2025 will be measured based on results for the year ended December 31, 2027, whereas the revenue metric under our short-term incentive program was based on results for the year ended December 31, 2025. Relative total stockholder return is measured against the Nasdaq Health Care Index ("IXHC") using the 20-trading day average at the beginning and end of the measurement period. The CHCC selected the IXHC as an appropriate broad healthcare industry benchmark for relative total stockholder return performance. In addition, the CHCC capped the number of PSUs earned with respect to the relative total stockholder return metric at target performance level if absolute total stockholder return is negative over the performance period. The measurement period for the relative total stockholder return metric is January 1, 2025 to December 31, 2027, and the adjusted EPS metric will be measured based on results for the year ended December 31, 2027. We do not publicly disclose our goals during the performance periods due to the proprietary nature and competitive sensitivity of the information. We believe these goals are consistent with our philosophy of establishing aggressive but achievable targets.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number of PSUs granted as part of our long-term incentive program during 2025 for our NEOs are set forth in the chart below.</w:t>
      </w:r>
    </w:p>
    <w:p>
      <w:pPr>
        <w:spacing w:after="0" w:line="303" w:lineRule="exact"/>
        <w:rPr>
          <w:sz w:val="20"/>
          <w:szCs w:val="20"/>
          <w:color w:val="auto"/>
        </w:rPr>
      </w:pPr>
    </w:p>
    <w:tbl>
      <w:tblPr>
        <w:tblLayout w:type="fixed"/>
        <w:tblInd w:w="1160" w:type="dxa"/>
        <w:tblCellMar>
          <w:top w:w="0" w:type="dxa"/>
          <w:left w:w="0" w:type="dxa"/>
          <w:bottom w:w="0" w:type="dxa"/>
          <w:right w:w="0" w:type="dxa"/>
        </w:tblCellMar>
      </w:tblPr>
      <w:tr>
        <w:trPr>
          <w:trHeight w:val="203"/>
        </w:trPr>
        <w:tc>
          <w:tcPr>
            <w:tcW w:w="3940" w:type="dxa"/>
            <w:vAlign w:val="bottom"/>
            <w:vMerge w:val="restart"/>
            <w:shd w:val="clear" w:color="auto" w:fill="003595"/>
          </w:tcPr>
          <w:p>
            <w:pPr>
              <w:ind w:left="1000"/>
              <w:spacing w:after="0"/>
              <w:rPr>
                <w:sz w:val="20"/>
                <w:szCs w:val="20"/>
                <w:color w:val="auto"/>
              </w:rPr>
            </w:pPr>
            <w:r>
              <w:rPr>
                <w:rFonts w:ascii="Arial" w:cs="Arial" w:eastAsia="Arial" w:hAnsi="Arial"/>
                <w:sz w:val="16"/>
                <w:szCs w:val="16"/>
                <w:b w:val="1"/>
                <w:bCs w:val="1"/>
                <w:color w:val="FFFFFF"/>
              </w:rPr>
              <w:t>Named Executive Officer</w:t>
            </w:r>
          </w:p>
        </w:tc>
        <w:tc>
          <w:tcPr>
            <w:tcW w:w="2480" w:type="dxa"/>
            <w:vAlign w:val="bottom"/>
            <w:shd w:val="clear" w:color="auto" w:fill="003595"/>
          </w:tcPr>
          <w:p>
            <w:pPr>
              <w:jc w:val="right"/>
              <w:ind w:right="22"/>
              <w:spacing w:after="0"/>
              <w:rPr>
                <w:sz w:val="20"/>
                <w:szCs w:val="20"/>
                <w:color w:val="auto"/>
              </w:rPr>
            </w:pPr>
            <w:r>
              <w:rPr>
                <w:rFonts w:ascii="Arial" w:cs="Arial" w:eastAsia="Arial" w:hAnsi="Arial"/>
                <w:sz w:val="16"/>
                <w:szCs w:val="16"/>
                <w:b w:val="1"/>
                <w:bCs w:val="1"/>
                <w:color w:val="FFFFFF"/>
              </w:rPr>
              <w:t>2025 Number of PSUs Granted</w:t>
            </w:r>
          </w:p>
        </w:tc>
        <w:tc>
          <w:tcPr>
            <w:tcW w:w="252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2025 Grant Date Fair Value of</w:t>
            </w:r>
          </w:p>
        </w:tc>
        <w:tc>
          <w:tcPr>
            <w:tcW w:w="0" w:type="dxa"/>
            <w:vAlign w:val="bottom"/>
          </w:tcPr>
          <w:p>
            <w:pPr>
              <w:spacing w:after="0"/>
              <w:rPr>
                <w:sz w:val="1"/>
                <w:szCs w:val="1"/>
                <w:color w:val="auto"/>
              </w:rPr>
            </w:pPr>
          </w:p>
        </w:tc>
      </w:tr>
      <w:tr>
        <w:trPr>
          <w:trHeight w:val="257"/>
        </w:trPr>
        <w:tc>
          <w:tcPr>
            <w:tcW w:w="3940" w:type="dxa"/>
            <w:vAlign w:val="bottom"/>
            <w:vMerge w:val="continue"/>
            <w:shd w:val="clear" w:color="auto" w:fill="003595"/>
          </w:tcPr>
          <w:p>
            <w:pPr>
              <w:spacing w:after="0"/>
              <w:rPr>
                <w:sz w:val="22"/>
                <w:szCs w:val="22"/>
                <w:color w:val="auto"/>
              </w:rPr>
            </w:pPr>
          </w:p>
        </w:tc>
        <w:tc>
          <w:tcPr>
            <w:tcW w:w="2480" w:type="dxa"/>
            <w:vAlign w:val="bottom"/>
            <w:shd w:val="clear" w:color="auto" w:fill="003595"/>
          </w:tcPr>
          <w:p>
            <w:pPr>
              <w:jc w:val="center"/>
              <w:spacing w:after="0"/>
              <w:rPr>
                <w:sz w:val="20"/>
                <w:szCs w:val="20"/>
                <w:color w:val="auto"/>
              </w:rPr>
            </w:pPr>
            <w:r>
              <w:rPr>
                <w:rFonts w:ascii="Arial" w:cs="Arial" w:eastAsia="Arial" w:hAnsi="Arial"/>
                <w:sz w:val="11"/>
                <w:szCs w:val="11"/>
                <w:b w:val="1"/>
                <w:bCs w:val="1"/>
                <w:color w:val="FFFFFF"/>
              </w:rPr>
              <w:t>(1)</w:t>
            </w:r>
          </w:p>
        </w:tc>
        <w:tc>
          <w:tcPr>
            <w:tcW w:w="252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w w:val="97"/>
              </w:rPr>
              <w:t xml:space="preserve">PSUs Granted ($) </w:t>
            </w:r>
            <w:r>
              <w:rPr>
                <w:rFonts w:ascii="Arial" w:cs="Arial" w:eastAsia="Arial" w:hAnsi="Arial"/>
                <w:sz w:val="21"/>
                <w:szCs w:val="21"/>
                <w:b w:val="1"/>
                <w:bCs w:val="1"/>
                <w:color w:val="FFFFFF"/>
                <w:w w:val="97"/>
                <w:vertAlign w:val="superscript"/>
              </w:rPr>
              <w:t>(3)</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20"/>
                <w:szCs w:val="20"/>
                <w:color w:val="auto"/>
              </w:rPr>
            </w:pPr>
            <w:r>
              <w:rPr>
                <w:rFonts w:ascii="Arial" w:cs="Arial" w:eastAsia="Arial" w:hAnsi="Arial"/>
                <w:sz w:val="16"/>
                <w:szCs w:val="16"/>
                <w:color w:val="auto"/>
              </w:rPr>
              <w:t>Samraat S. Raha</w:t>
            </w:r>
          </w:p>
        </w:tc>
        <w:tc>
          <w:tcPr>
            <w:tcW w:w="2480" w:type="dxa"/>
            <w:vAlign w:val="bottom"/>
            <w:vMerge w:val="restart"/>
          </w:tcPr>
          <w:p>
            <w:pPr>
              <w:jc w:val="center"/>
              <w:spacing w:after="0"/>
              <w:rPr>
                <w:sz w:val="20"/>
                <w:szCs w:val="20"/>
                <w:color w:val="auto"/>
              </w:rPr>
            </w:pPr>
            <w:r>
              <w:rPr>
                <w:rFonts w:ascii="Arial" w:cs="Arial" w:eastAsia="Arial" w:hAnsi="Arial"/>
                <w:sz w:val="16"/>
                <w:szCs w:val="16"/>
                <w:color w:val="auto"/>
              </w:rPr>
              <w:t>216,495</w:t>
            </w: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rPr>
              <w:t>$1,103,020</w:t>
            </w:r>
          </w:p>
        </w:tc>
        <w:tc>
          <w:tcPr>
            <w:tcW w:w="0" w:type="dxa"/>
            <w:vAlign w:val="bottom"/>
          </w:tcPr>
          <w:p>
            <w:pPr>
              <w:spacing w:after="0"/>
              <w:rPr>
                <w:sz w:val="1"/>
                <w:szCs w:val="1"/>
                <w:color w:val="auto"/>
              </w:rPr>
            </w:pPr>
          </w:p>
        </w:tc>
      </w:tr>
      <w:tr>
        <w:trPr>
          <w:trHeight w:val="120"/>
        </w:trPr>
        <w:tc>
          <w:tcPr>
            <w:tcW w:w="3940" w:type="dxa"/>
            <w:vAlign w:val="bottom"/>
            <w:vMerge w:val="restart"/>
          </w:tcPr>
          <w:p>
            <w:pPr>
              <w:ind w:left="240"/>
              <w:spacing w:after="0"/>
              <w:rPr>
                <w:sz w:val="20"/>
                <w:szCs w:val="20"/>
                <w:color w:val="auto"/>
              </w:rPr>
            </w:pPr>
            <w:r>
              <w:rPr>
                <w:rFonts w:ascii="Arial" w:cs="Arial" w:eastAsia="Arial" w:hAnsi="Arial"/>
                <w:sz w:val="16"/>
                <w:szCs w:val="16"/>
                <w:color w:val="auto"/>
              </w:rPr>
              <w:t>President and Chief Executive Officer</w:t>
            </w:r>
          </w:p>
        </w:tc>
        <w:tc>
          <w:tcPr>
            <w:tcW w:w="248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940" w:type="dxa"/>
            <w:vAlign w:val="bottom"/>
            <w:vMerge w:val="continue"/>
          </w:tcPr>
          <w:p>
            <w:pPr>
              <w:spacing w:after="0"/>
              <w:rPr>
                <w:sz w:val="8"/>
                <w:szCs w:val="8"/>
                <w:color w:val="auto"/>
              </w:rPr>
            </w:pPr>
          </w:p>
        </w:tc>
        <w:tc>
          <w:tcPr>
            <w:tcW w:w="24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003595"/>
            </w:tcBorders>
          </w:tcPr>
          <w:p>
            <w:pPr>
              <w:spacing w:after="0"/>
              <w:rPr>
                <w:sz w:val="2"/>
                <w:szCs w:val="2"/>
                <w:color w:val="auto"/>
              </w:rPr>
            </w:pPr>
          </w:p>
        </w:tc>
        <w:tc>
          <w:tcPr>
            <w:tcW w:w="2480" w:type="dxa"/>
            <w:vAlign w:val="bottom"/>
            <w:tcBorders>
              <w:bottom w:val="single" w:sz="8" w:color="003595"/>
            </w:tcBorders>
          </w:tcPr>
          <w:p>
            <w:pPr>
              <w:spacing w:after="0"/>
              <w:rPr>
                <w:sz w:val="2"/>
                <w:szCs w:val="2"/>
                <w:color w:val="auto"/>
              </w:rPr>
            </w:pPr>
          </w:p>
        </w:tc>
        <w:tc>
          <w:tcPr>
            <w:tcW w:w="25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6"/>
                <w:szCs w:val="16"/>
                <w:color w:val="auto"/>
              </w:rPr>
              <w:t>Benjamin R. Wheeler</w:t>
            </w:r>
          </w:p>
        </w:tc>
        <w:tc>
          <w:tcPr>
            <w:tcW w:w="2480" w:type="dxa"/>
            <w:vAlign w:val="bottom"/>
            <w:vMerge w:val="restart"/>
          </w:tcPr>
          <w:p>
            <w:pPr>
              <w:jc w:val="right"/>
              <w:ind w:right="762"/>
              <w:spacing w:after="0"/>
              <w:rPr>
                <w:sz w:val="20"/>
                <w:szCs w:val="20"/>
                <w:color w:val="auto"/>
              </w:rPr>
            </w:pPr>
            <w:r>
              <w:rPr>
                <w:rFonts w:ascii="Arial" w:cs="Arial" w:eastAsia="Arial" w:hAnsi="Arial"/>
                <w:sz w:val="16"/>
                <w:szCs w:val="16"/>
                <w:color w:val="auto"/>
              </w:rPr>
              <w:t xml:space="preserve">64,000 </w:t>
            </w:r>
            <w:r>
              <w:rPr>
                <w:rFonts w:ascii="Arial" w:cs="Arial" w:eastAsia="Arial" w:hAnsi="Arial"/>
                <w:sz w:val="21"/>
                <w:szCs w:val="21"/>
                <w:color w:val="auto"/>
                <w:vertAlign w:val="superscript"/>
              </w:rPr>
              <w:t>(2)</w:t>
            </w:r>
          </w:p>
        </w:tc>
        <w:tc>
          <w:tcPr>
            <w:tcW w:w="2520" w:type="dxa"/>
            <w:vAlign w:val="bottom"/>
            <w:vMerge w:val="restart"/>
          </w:tcPr>
          <w:p>
            <w:pPr>
              <w:jc w:val="right"/>
              <w:ind w:right="679"/>
              <w:spacing w:after="0"/>
              <w:rPr>
                <w:sz w:val="20"/>
                <w:szCs w:val="20"/>
                <w:color w:val="auto"/>
              </w:rPr>
            </w:pPr>
            <w:r>
              <w:rPr>
                <w:rFonts w:ascii="Arial" w:cs="Arial" w:eastAsia="Arial" w:hAnsi="Arial"/>
                <w:sz w:val="16"/>
                <w:szCs w:val="16"/>
                <w:color w:val="auto"/>
              </w:rPr>
              <w:t xml:space="preserve">$377,829 </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63"/>
        </w:trPr>
        <w:tc>
          <w:tcPr>
            <w:tcW w:w="3940" w:type="dxa"/>
            <w:vAlign w:val="bottom"/>
            <w:vMerge w:val="restart"/>
          </w:tcPr>
          <w:p>
            <w:pPr>
              <w:ind w:left="240"/>
              <w:spacing w:after="0"/>
              <w:rPr>
                <w:sz w:val="20"/>
                <w:szCs w:val="20"/>
                <w:color w:val="auto"/>
              </w:rPr>
            </w:pPr>
            <w:r>
              <w:rPr>
                <w:rFonts w:ascii="Arial" w:cs="Arial" w:eastAsia="Arial" w:hAnsi="Arial"/>
                <w:sz w:val="16"/>
                <w:szCs w:val="16"/>
                <w:color w:val="auto"/>
              </w:rPr>
              <w:t>Chief Financial Officer</w:t>
            </w:r>
          </w:p>
        </w:tc>
        <w:tc>
          <w:tcPr>
            <w:tcW w:w="2480" w:type="dxa"/>
            <w:vAlign w:val="bottom"/>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940" w:type="dxa"/>
            <w:vAlign w:val="bottom"/>
            <w:vMerge w:val="continue"/>
          </w:tcPr>
          <w:p>
            <w:pPr>
              <w:spacing w:after="0"/>
              <w:rPr>
                <w:sz w:val="4"/>
                <w:szCs w:val="4"/>
                <w:color w:val="auto"/>
              </w:rPr>
            </w:pPr>
          </w:p>
        </w:tc>
        <w:tc>
          <w:tcPr>
            <w:tcW w:w="24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003595"/>
            </w:tcBorders>
          </w:tcPr>
          <w:p>
            <w:pPr>
              <w:spacing w:after="0"/>
              <w:rPr>
                <w:sz w:val="2"/>
                <w:szCs w:val="2"/>
                <w:color w:val="auto"/>
              </w:rPr>
            </w:pPr>
          </w:p>
        </w:tc>
        <w:tc>
          <w:tcPr>
            <w:tcW w:w="2480" w:type="dxa"/>
            <w:vAlign w:val="bottom"/>
            <w:tcBorders>
              <w:bottom w:val="single" w:sz="8" w:color="003595"/>
            </w:tcBorders>
          </w:tcPr>
          <w:p>
            <w:pPr>
              <w:spacing w:after="0"/>
              <w:rPr>
                <w:sz w:val="2"/>
                <w:szCs w:val="2"/>
                <w:color w:val="auto"/>
              </w:rPr>
            </w:pPr>
          </w:p>
        </w:tc>
        <w:tc>
          <w:tcPr>
            <w:tcW w:w="25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6"/>
                <w:szCs w:val="16"/>
                <w:color w:val="auto"/>
              </w:rPr>
              <w:t>Mark S. Verratti</w:t>
            </w:r>
          </w:p>
        </w:tc>
        <w:tc>
          <w:tcPr>
            <w:tcW w:w="2480" w:type="dxa"/>
            <w:vAlign w:val="bottom"/>
            <w:vMerge w:val="restart"/>
          </w:tcPr>
          <w:p>
            <w:pPr>
              <w:jc w:val="center"/>
              <w:spacing w:after="0"/>
              <w:rPr>
                <w:sz w:val="20"/>
                <w:szCs w:val="20"/>
                <w:color w:val="auto"/>
              </w:rPr>
            </w:pPr>
            <w:r>
              <w:rPr>
                <w:rFonts w:ascii="Arial" w:cs="Arial" w:eastAsia="Arial" w:hAnsi="Arial"/>
                <w:sz w:val="16"/>
                <w:szCs w:val="16"/>
                <w:color w:val="auto"/>
              </w:rPr>
              <w:t>99,227</w:t>
            </w: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w w:val="98"/>
              </w:rPr>
              <w:t>$505,551</w:t>
            </w:r>
          </w:p>
        </w:tc>
        <w:tc>
          <w:tcPr>
            <w:tcW w:w="0" w:type="dxa"/>
            <w:vAlign w:val="bottom"/>
          </w:tcPr>
          <w:p>
            <w:pPr>
              <w:spacing w:after="0"/>
              <w:rPr>
                <w:sz w:val="1"/>
                <w:szCs w:val="1"/>
                <w:color w:val="auto"/>
              </w:rPr>
            </w:pPr>
          </w:p>
        </w:tc>
      </w:tr>
      <w:tr>
        <w:trPr>
          <w:trHeight w:val="120"/>
        </w:trPr>
        <w:tc>
          <w:tcPr>
            <w:tcW w:w="3940" w:type="dxa"/>
            <w:vAlign w:val="bottom"/>
            <w:vMerge w:val="restart"/>
          </w:tcPr>
          <w:p>
            <w:pPr>
              <w:ind w:left="240"/>
              <w:spacing w:after="0"/>
              <w:rPr>
                <w:sz w:val="20"/>
                <w:szCs w:val="20"/>
                <w:color w:val="auto"/>
              </w:rPr>
            </w:pPr>
            <w:r>
              <w:rPr>
                <w:rFonts w:ascii="Arial" w:cs="Arial" w:eastAsia="Arial" w:hAnsi="Arial"/>
                <w:sz w:val="16"/>
                <w:szCs w:val="16"/>
                <w:color w:val="auto"/>
              </w:rPr>
              <w:t>Chief Operating Officer</w:t>
            </w:r>
          </w:p>
        </w:tc>
        <w:tc>
          <w:tcPr>
            <w:tcW w:w="248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940" w:type="dxa"/>
            <w:vAlign w:val="bottom"/>
            <w:vMerge w:val="continue"/>
          </w:tcPr>
          <w:p>
            <w:pPr>
              <w:spacing w:after="0"/>
              <w:rPr>
                <w:sz w:val="8"/>
                <w:szCs w:val="8"/>
                <w:color w:val="auto"/>
              </w:rPr>
            </w:pPr>
          </w:p>
        </w:tc>
        <w:tc>
          <w:tcPr>
            <w:tcW w:w="24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003595"/>
            </w:tcBorders>
          </w:tcPr>
          <w:p>
            <w:pPr>
              <w:spacing w:after="0"/>
              <w:rPr>
                <w:sz w:val="2"/>
                <w:szCs w:val="2"/>
                <w:color w:val="auto"/>
              </w:rPr>
            </w:pPr>
          </w:p>
        </w:tc>
        <w:tc>
          <w:tcPr>
            <w:tcW w:w="2480" w:type="dxa"/>
            <w:vAlign w:val="bottom"/>
            <w:tcBorders>
              <w:bottom w:val="single" w:sz="8" w:color="003595"/>
            </w:tcBorders>
          </w:tcPr>
          <w:p>
            <w:pPr>
              <w:spacing w:after="0"/>
              <w:rPr>
                <w:sz w:val="2"/>
                <w:szCs w:val="2"/>
                <w:color w:val="auto"/>
              </w:rPr>
            </w:pPr>
          </w:p>
        </w:tc>
        <w:tc>
          <w:tcPr>
            <w:tcW w:w="25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6"/>
                <w:szCs w:val="16"/>
                <w:color w:val="auto"/>
              </w:rPr>
              <w:t>Brian J. Donnelly</w:t>
            </w:r>
          </w:p>
        </w:tc>
        <w:tc>
          <w:tcPr>
            <w:tcW w:w="2480" w:type="dxa"/>
            <w:vAlign w:val="bottom"/>
            <w:vMerge w:val="restart"/>
          </w:tcPr>
          <w:p>
            <w:pPr>
              <w:jc w:val="center"/>
              <w:spacing w:after="0"/>
              <w:rPr>
                <w:sz w:val="20"/>
                <w:szCs w:val="20"/>
                <w:color w:val="auto"/>
              </w:rPr>
            </w:pPr>
            <w:r>
              <w:rPr>
                <w:rFonts w:ascii="Arial" w:cs="Arial" w:eastAsia="Arial" w:hAnsi="Arial"/>
                <w:sz w:val="16"/>
                <w:szCs w:val="16"/>
                <w:color w:val="auto"/>
              </w:rPr>
              <w:t>127,629</w:t>
            </w: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w w:val="98"/>
              </w:rPr>
              <w:t>$650,258</w:t>
            </w:r>
          </w:p>
        </w:tc>
        <w:tc>
          <w:tcPr>
            <w:tcW w:w="0" w:type="dxa"/>
            <w:vAlign w:val="bottom"/>
          </w:tcPr>
          <w:p>
            <w:pPr>
              <w:spacing w:after="0"/>
              <w:rPr>
                <w:sz w:val="1"/>
                <w:szCs w:val="1"/>
                <w:color w:val="auto"/>
              </w:rPr>
            </w:pPr>
          </w:p>
        </w:tc>
      </w:tr>
      <w:tr>
        <w:trPr>
          <w:trHeight w:val="120"/>
        </w:trPr>
        <w:tc>
          <w:tcPr>
            <w:tcW w:w="3940" w:type="dxa"/>
            <w:vAlign w:val="bottom"/>
            <w:vMerge w:val="restart"/>
          </w:tcPr>
          <w:p>
            <w:pPr>
              <w:ind w:left="240"/>
              <w:spacing w:after="0"/>
              <w:rPr>
                <w:sz w:val="20"/>
                <w:szCs w:val="20"/>
                <w:color w:val="auto"/>
              </w:rPr>
            </w:pPr>
            <w:r>
              <w:rPr>
                <w:rFonts w:ascii="Arial" w:cs="Arial" w:eastAsia="Arial" w:hAnsi="Arial"/>
                <w:sz w:val="16"/>
                <w:szCs w:val="16"/>
                <w:color w:val="auto"/>
              </w:rPr>
              <w:t>Chief Commercial Officer</w:t>
            </w:r>
          </w:p>
        </w:tc>
        <w:tc>
          <w:tcPr>
            <w:tcW w:w="248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940" w:type="dxa"/>
            <w:vAlign w:val="bottom"/>
            <w:vMerge w:val="continue"/>
          </w:tcPr>
          <w:p>
            <w:pPr>
              <w:spacing w:after="0"/>
              <w:rPr>
                <w:sz w:val="8"/>
                <w:szCs w:val="8"/>
                <w:color w:val="auto"/>
              </w:rPr>
            </w:pPr>
          </w:p>
        </w:tc>
        <w:tc>
          <w:tcPr>
            <w:tcW w:w="24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003595"/>
            </w:tcBorders>
          </w:tcPr>
          <w:p>
            <w:pPr>
              <w:spacing w:after="0"/>
              <w:rPr>
                <w:sz w:val="2"/>
                <w:szCs w:val="2"/>
                <w:color w:val="auto"/>
              </w:rPr>
            </w:pPr>
          </w:p>
        </w:tc>
        <w:tc>
          <w:tcPr>
            <w:tcW w:w="2480" w:type="dxa"/>
            <w:vAlign w:val="bottom"/>
            <w:tcBorders>
              <w:bottom w:val="single" w:sz="8" w:color="003595"/>
            </w:tcBorders>
          </w:tcPr>
          <w:p>
            <w:pPr>
              <w:spacing w:after="0"/>
              <w:rPr>
                <w:sz w:val="2"/>
                <w:szCs w:val="2"/>
                <w:color w:val="auto"/>
              </w:rPr>
            </w:pPr>
          </w:p>
        </w:tc>
        <w:tc>
          <w:tcPr>
            <w:tcW w:w="25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6"/>
                <w:szCs w:val="16"/>
                <w:color w:val="auto"/>
              </w:rPr>
              <w:t>Dale Muzzey, Ph.D.</w:t>
            </w:r>
          </w:p>
        </w:tc>
        <w:tc>
          <w:tcPr>
            <w:tcW w:w="2480" w:type="dxa"/>
            <w:vAlign w:val="bottom"/>
            <w:vMerge w:val="restart"/>
          </w:tcPr>
          <w:p>
            <w:pPr>
              <w:jc w:val="center"/>
              <w:spacing w:after="0"/>
              <w:rPr>
                <w:sz w:val="20"/>
                <w:szCs w:val="20"/>
                <w:color w:val="auto"/>
              </w:rPr>
            </w:pPr>
            <w:r>
              <w:rPr>
                <w:rFonts w:ascii="Arial" w:cs="Arial" w:eastAsia="Arial" w:hAnsi="Arial"/>
                <w:sz w:val="16"/>
                <w:szCs w:val="16"/>
                <w:color w:val="auto"/>
              </w:rPr>
              <w:t>75,773</w:t>
            </w: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w w:val="98"/>
              </w:rPr>
              <w:t>$386,056</w:t>
            </w:r>
          </w:p>
        </w:tc>
        <w:tc>
          <w:tcPr>
            <w:tcW w:w="0" w:type="dxa"/>
            <w:vAlign w:val="bottom"/>
          </w:tcPr>
          <w:p>
            <w:pPr>
              <w:spacing w:after="0"/>
              <w:rPr>
                <w:sz w:val="1"/>
                <w:szCs w:val="1"/>
                <w:color w:val="auto"/>
              </w:rPr>
            </w:pPr>
          </w:p>
        </w:tc>
      </w:tr>
      <w:tr>
        <w:trPr>
          <w:trHeight w:val="120"/>
        </w:trPr>
        <w:tc>
          <w:tcPr>
            <w:tcW w:w="3940" w:type="dxa"/>
            <w:vAlign w:val="bottom"/>
            <w:vMerge w:val="restart"/>
          </w:tcPr>
          <w:p>
            <w:pPr>
              <w:ind w:left="240"/>
              <w:spacing w:after="0"/>
              <w:rPr>
                <w:sz w:val="20"/>
                <w:szCs w:val="20"/>
                <w:color w:val="auto"/>
              </w:rPr>
            </w:pPr>
            <w:r>
              <w:rPr>
                <w:rFonts w:ascii="Arial" w:cs="Arial" w:eastAsia="Arial" w:hAnsi="Arial"/>
                <w:sz w:val="16"/>
                <w:szCs w:val="16"/>
                <w:color w:val="auto"/>
              </w:rPr>
              <w:t>Chief Scientific Officer</w:t>
            </w:r>
          </w:p>
        </w:tc>
        <w:tc>
          <w:tcPr>
            <w:tcW w:w="248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940" w:type="dxa"/>
            <w:vAlign w:val="bottom"/>
            <w:vMerge w:val="continue"/>
          </w:tcPr>
          <w:p>
            <w:pPr>
              <w:spacing w:after="0"/>
              <w:rPr>
                <w:sz w:val="8"/>
                <w:szCs w:val="8"/>
                <w:color w:val="auto"/>
              </w:rPr>
            </w:pPr>
          </w:p>
        </w:tc>
        <w:tc>
          <w:tcPr>
            <w:tcW w:w="24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003595"/>
            </w:tcBorders>
          </w:tcPr>
          <w:p>
            <w:pPr>
              <w:spacing w:after="0"/>
              <w:rPr>
                <w:sz w:val="2"/>
                <w:szCs w:val="2"/>
                <w:color w:val="auto"/>
              </w:rPr>
            </w:pPr>
          </w:p>
        </w:tc>
        <w:tc>
          <w:tcPr>
            <w:tcW w:w="2480" w:type="dxa"/>
            <w:vAlign w:val="bottom"/>
            <w:tcBorders>
              <w:bottom w:val="single" w:sz="8" w:color="003595"/>
            </w:tcBorders>
          </w:tcPr>
          <w:p>
            <w:pPr>
              <w:spacing w:after="0"/>
              <w:rPr>
                <w:sz w:val="2"/>
                <w:szCs w:val="2"/>
                <w:color w:val="auto"/>
              </w:rPr>
            </w:pPr>
          </w:p>
        </w:tc>
        <w:tc>
          <w:tcPr>
            <w:tcW w:w="25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6"/>
                <w:szCs w:val="16"/>
                <w:color w:val="auto"/>
              </w:rPr>
              <w:t>Scott Leffler</w:t>
            </w:r>
          </w:p>
        </w:tc>
        <w:tc>
          <w:tcPr>
            <w:tcW w:w="2480" w:type="dxa"/>
            <w:vAlign w:val="bottom"/>
            <w:vMerge w:val="restart"/>
          </w:tcPr>
          <w:p>
            <w:pPr>
              <w:jc w:val="center"/>
              <w:spacing w:after="0"/>
              <w:rPr>
                <w:sz w:val="20"/>
                <w:szCs w:val="20"/>
                <w:color w:val="auto"/>
              </w:rPr>
            </w:pPr>
            <w:r>
              <w:rPr>
                <w:rFonts w:ascii="Arial" w:cs="Arial" w:eastAsia="Arial" w:hAnsi="Arial"/>
                <w:sz w:val="16"/>
                <w:szCs w:val="16"/>
                <w:color w:val="auto"/>
              </w:rPr>
              <w:t>72,165</w:t>
            </w: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w w:val="98"/>
              </w:rPr>
              <w:t>$367,673</w:t>
            </w:r>
          </w:p>
        </w:tc>
        <w:tc>
          <w:tcPr>
            <w:tcW w:w="0" w:type="dxa"/>
            <w:vAlign w:val="bottom"/>
          </w:tcPr>
          <w:p>
            <w:pPr>
              <w:spacing w:after="0"/>
              <w:rPr>
                <w:sz w:val="1"/>
                <w:szCs w:val="1"/>
                <w:color w:val="auto"/>
              </w:rPr>
            </w:pPr>
          </w:p>
        </w:tc>
      </w:tr>
      <w:tr>
        <w:trPr>
          <w:trHeight w:val="120"/>
        </w:trPr>
        <w:tc>
          <w:tcPr>
            <w:tcW w:w="3940" w:type="dxa"/>
            <w:vAlign w:val="bottom"/>
            <w:vMerge w:val="restart"/>
          </w:tcPr>
          <w:p>
            <w:pPr>
              <w:ind w:left="180"/>
              <w:spacing w:after="0"/>
              <w:rPr>
                <w:sz w:val="20"/>
                <w:szCs w:val="20"/>
                <w:color w:val="auto"/>
              </w:rPr>
            </w:pPr>
            <w:r>
              <w:rPr>
                <w:rFonts w:ascii="Arial" w:cs="Arial" w:eastAsia="Arial" w:hAnsi="Arial"/>
                <w:sz w:val="16"/>
                <w:szCs w:val="16"/>
                <w:color w:val="auto"/>
              </w:rPr>
              <w:t>Former Chief Financial Officer</w:t>
            </w:r>
          </w:p>
        </w:tc>
        <w:tc>
          <w:tcPr>
            <w:tcW w:w="248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940" w:type="dxa"/>
            <w:vAlign w:val="bottom"/>
            <w:vMerge w:val="continue"/>
          </w:tcPr>
          <w:p>
            <w:pPr>
              <w:spacing w:after="0"/>
              <w:rPr>
                <w:sz w:val="8"/>
                <w:szCs w:val="8"/>
                <w:color w:val="auto"/>
              </w:rPr>
            </w:pPr>
          </w:p>
        </w:tc>
        <w:tc>
          <w:tcPr>
            <w:tcW w:w="24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003595"/>
            </w:tcBorders>
          </w:tcPr>
          <w:p>
            <w:pPr>
              <w:spacing w:after="0"/>
              <w:rPr>
                <w:sz w:val="2"/>
                <w:szCs w:val="2"/>
                <w:color w:val="auto"/>
              </w:rPr>
            </w:pPr>
          </w:p>
        </w:tc>
        <w:tc>
          <w:tcPr>
            <w:tcW w:w="2480" w:type="dxa"/>
            <w:vAlign w:val="bottom"/>
            <w:tcBorders>
              <w:bottom w:val="single" w:sz="8" w:color="003595"/>
            </w:tcBorders>
          </w:tcPr>
          <w:p>
            <w:pPr>
              <w:spacing w:after="0"/>
              <w:rPr>
                <w:sz w:val="2"/>
                <w:szCs w:val="2"/>
                <w:color w:val="auto"/>
              </w:rPr>
            </w:pPr>
          </w:p>
        </w:tc>
        <w:tc>
          <w:tcPr>
            <w:tcW w:w="25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6"/>
                <w:szCs w:val="16"/>
                <w:color w:val="auto"/>
              </w:rPr>
              <w:t>Margaret Ancona</w:t>
            </w:r>
          </w:p>
        </w:tc>
        <w:tc>
          <w:tcPr>
            <w:tcW w:w="2480" w:type="dxa"/>
            <w:vAlign w:val="bottom"/>
            <w:vMerge w:val="restart"/>
          </w:tcPr>
          <w:p>
            <w:pPr>
              <w:jc w:val="center"/>
              <w:spacing w:after="0"/>
              <w:rPr>
                <w:sz w:val="20"/>
                <w:szCs w:val="20"/>
                <w:color w:val="auto"/>
              </w:rPr>
            </w:pPr>
            <w:r>
              <w:rPr>
                <w:rFonts w:ascii="Arial" w:cs="Arial" w:eastAsia="Arial" w:hAnsi="Arial"/>
                <w:sz w:val="16"/>
                <w:szCs w:val="16"/>
                <w:color w:val="auto"/>
              </w:rPr>
              <w:t>54,123</w:t>
            </w: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w w:val="98"/>
              </w:rPr>
              <w:t>$275,751</w:t>
            </w:r>
          </w:p>
        </w:tc>
        <w:tc>
          <w:tcPr>
            <w:tcW w:w="0" w:type="dxa"/>
            <w:vAlign w:val="bottom"/>
          </w:tcPr>
          <w:p>
            <w:pPr>
              <w:spacing w:after="0"/>
              <w:rPr>
                <w:sz w:val="1"/>
                <w:szCs w:val="1"/>
                <w:color w:val="auto"/>
              </w:rPr>
            </w:pPr>
          </w:p>
        </w:tc>
      </w:tr>
      <w:tr>
        <w:trPr>
          <w:trHeight w:val="120"/>
        </w:trPr>
        <w:tc>
          <w:tcPr>
            <w:tcW w:w="3940" w:type="dxa"/>
            <w:vAlign w:val="bottom"/>
            <w:vMerge w:val="restart"/>
          </w:tcPr>
          <w:p>
            <w:pPr>
              <w:ind w:left="180"/>
              <w:spacing w:after="0"/>
              <w:rPr>
                <w:sz w:val="20"/>
                <w:szCs w:val="20"/>
                <w:color w:val="auto"/>
              </w:rPr>
            </w:pPr>
            <w:r>
              <w:rPr>
                <w:rFonts w:ascii="Arial" w:cs="Arial" w:eastAsia="Arial" w:hAnsi="Arial"/>
                <w:sz w:val="16"/>
                <w:szCs w:val="16"/>
                <w:color w:val="auto"/>
              </w:rPr>
              <w:t>Former EVP, Strategy and Transformation</w:t>
            </w:r>
          </w:p>
        </w:tc>
        <w:tc>
          <w:tcPr>
            <w:tcW w:w="248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940" w:type="dxa"/>
            <w:vAlign w:val="bottom"/>
            <w:vMerge w:val="continue"/>
          </w:tcPr>
          <w:p>
            <w:pPr>
              <w:spacing w:after="0"/>
              <w:rPr>
                <w:sz w:val="8"/>
                <w:szCs w:val="8"/>
                <w:color w:val="auto"/>
              </w:rPr>
            </w:pPr>
          </w:p>
        </w:tc>
        <w:tc>
          <w:tcPr>
            <w:tcW w:w="24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003595"/>
            </w:tcBorders>
          </w:tcPr>
          <w:p>
            <w:pPr>
              <w:spacing w:after="0"/>
              <w:rPr>
                <w:sz w:val="2"/>
                <w:szCs w:val="2"/>
                <w:color w:val="auto"/>
              </w:rPr>
            </w:pPr>
          </w:p>
        </w:tc>
        <w:tc>
          <w:tcPr>
            <w:tcW w:w="2480" w:type="dxa"/>
            <w:vAlign w:val="bottom"/>
            <w:tcBorders>
              <w:bottom w:val="single" w:sz="8" w:color="003595"/>
            </w:tcBorders>
          </w:tcPr>
          <w:p>
            <w:pPr>
              <w:spacing w:after="0"/>
              <w:rPr>
                <w:sz w:val="2"/>
                <w:szCs w:val="2"/>
                <w:color w:val="auto"/>
              </w:rPr>
            </w:pPr>
          </w:p>
        </w:tc>
        <w:tc>
          <w:tcPr>
            <w:tcW w:w="252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420" w:hanging="328"/>
        <w:spacing w:after="0" w:line="264" w:lineRule="auto"/>
        <w:tabs>
          <w:tab w:leader="none" w:pos="652"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Represents the target number of PSUs awarded to our NEOs on June 5, 2025, except as otherwise noted in footnote (2) below. To the extent the PSUs are determined to have been earned based on the performance metrics, the PSUs will vest on March 13, 2028.</w:t>
      </w:r>
    </w:p>
    <w:p>
      <w:pPr>
        <w:spacing w:after="0" w:line="211" w:lineRule="exact"/>
        <w:rPr>
          <w:rFonts w:ascii="Arial" w:cs="Arial" w:eastAsia="Arial" w:hAnsi="Arial"/>
          <w:sz w:val="13"/>
          <w:szCs w:val="13"/>
          <w:color w:val="auto"/>
        </w:rPr>
      </w:pPr>
    </w:p>
    <w:p>
      <w:pPr>
        <w:jc w:val="both"/>
        <w:ind w:left="660" w:right="400" w:hanging="328"/>
        <w:spacing w:after="0" w:line="239" w:lineRule="auto"/>
        <w:tabs>
          <w:tab w:leader="none" w:pos="652" w:val="left"/>
        </w:tabs>
        <w:numPr>
          <w:ilvl w:val="0"/>
          <w:numId w:val="49"/>
        </w:numPr>
        <w:rPr>
          <w:rFonts w:ascii="Arial" w:cs="Arial" w:eastAsia="Arial" w:hAnsi="Arial"/>
          <w:sz w:val="13"/>
          <w:szCs w:val="13"/>
          <w:color w:val="auto"/>
        </w:rPr>
      </w:pPr>
      <w:r>
        <w:rPr>
          <w:rFonts w:ascii="Arial" w:cs="Arial" w:eastAsia="Arial" w:hAnsi="Arial"/>
          <w:sz w:val="13"/>
          <w:szCs w:val="13"/>
          <w:color w:val="auto"/>
        </w:rPr>
        <w:t>Mr. Wheeler received an award of 4,000 PSUs on June 5, 2025. 67% of these PSUs have a performance condition and are valued based on the closing price of our common stock on the Nasdaq Global Select Market on June 5, 2025 of $4.92. The other 33% of these PSUs have a market condition and are valued using a Monte Carlo valuation model which resulted in a value of $5.45. Mr. Wheeler also received an award of 60,000 PSUs on August 16, 2025, 67% of these PSUs have a performance condition and are valued based on the closing price of our common stock on the Nasdaq Global Select Market on August 16, 2025 of $5.71. The other 33% of these PSUs have a market condition and are valued using a Monte Carlo valuation model which resulted in a value of $6.46.</w:t>
      </w:r>
    </w:p>
    <w:p>
      <w:pPr>
        <w:spacing w:after="0" w:line="214" w:lineRule="exact"/>
        <w:rPr>
          <w:rFonts w:ascii="Arial" w:cs="Arial" w:eastAsia="Arial" w:hAnsi="Arial"/>
          <w:sz w:val="13"/>
          <w:szCs w:val="13"/>
          <w:color w:val="auto"/>
        </w:rPr>
      </w:pPr>
    </w:p>
    <w:p>
      <w:pPr>
        <w:jc w:val="both"/>
        <w:ind w:left="660" w:right="420" w:hanging="328"/>
        <w:spacing w:after="0" w:line="251" w:lineRule="auto"/>
        <w:tabs>
          <w:tab w:leader="none" w:pos="652"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amounts represent the grant date fair value calculated in accordance with FASB ASC Topic 718. Except as otherwise noted in footnote (2) above, 67% of the PSUs have a performance condition and are valued based on the closing price of our common stock on the Nasdaq Global Select Market on June 5, 2025 of $4.92. Except as otherwise noted in footnote (2) above, the other 33% of the PSUs have a market condition and are valued using a Monte Carlo valuation model which resulted in a value of $5.45.</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to the long-term incentive RSU and PSU awards granted to our executive officers as part of our 2025 compensation program, as discussed below under “Other Compensation”, we also granted certain of our executive officers RSUs and PSUs in connection with the executive officer joining us or being promoted.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71CE"/>
        </w:rPr>
        <w:t>2023 PSUs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March 2023, the CHCC granted PSUs to certain of our NEOs as part of our 2023 long-term incentive awards. The performance metrics and levels (threshold, target, and maximum) established by the CHCC for these PSUs are summarized in the chart below. The actual number of units earned was determined based on the percentage achievement of each predetermined performance target with no award earned if the minimum threshold was not achieved. Maximum payout was capped at 150% of the target number of PSUs granted. Relative total stockholder return was measured against the IXHC using the 20-trading day average at the beginning and end of the measurement period. In addition, the CHCC capped the number of PSUs earned with respect to the relative total stockholder return metric at target performance level if absolute total stockholder return was negative over the performance period. The measurement period for the relative total stockholder return metric was January 1, 2023 to December 31, 2025, and the revenue and adjusted EPS metrics were measured based on 2025 results.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February 2026, the CHCC reviewed the achievement of the performance metrics for the PSUs granted in March 2023. The CHCC determined that the Company's total revenue during 2025 was $824.5 million, resulting in an achievement level of 77%. The CHCC also determined that the Company's adjusted EPS for 2025 was $0.06, which was below the target level of $0.24, resulting in an achievement level of 86%. The CHCC also determined that the Company's relative total stockholder return, as measured against the IXHC, ranked in the 37th percentile, which was lower than the target 50th percentile, resulting in an achievement level of 87%. The combined achievement percentage for total revenue growth, adjusted EPS, and relative total stockholder return metrics was 83%, as noted in the chart below.</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4"/>
        </w:trPr>
        <w:tc>
          <w:tcPr>
            <w:tcW w:w="1780" w:type="dxa"/>
            <w:vAlign w:val="bottom"/>
            <w:shd w:val="clear" w:color="auto" w:fill="003595"/>
          </w:tcPr>
          <w:p>
            <w:pPr>
              <w:ind w:left="340"/>
              <w:spacing w:after="0"/>
              <w:rPr>
                <w:sz w:val="20"/>
                <w:szCs w:val="20"/>
                <w:color w:val="auto"/>
              </w:rPr>
            </w:pPr>
            <w:r>
              <w:rPr>
                <w:rFonts w:ascii="Arial" w:cs="Arial" w:eastAsia="Arial" w:hAnsi="Arial"/>
                <w:sz w:val="18"/>
                <w:szCs w:val="18"/>
                <w:b w:val="1"/>
                <w:bCs w:val="1"/>
                <w:color w:val="FFFFFF"/>
              </w:rPr>
              <w:t>Performance</w:t>
            </w:r>
          </w:p>
        </w:tc>
        <w:tc>
          <w:tcPr>
            <w:tcW w:w="1440" w:type="dxa"/>
            <w:vAlign w:val="bottom"/>
            <w:vMerge w:val="restart"/>
            <w:shd w:val="clear" w:color="auto" w:fill="003595"/>
          </w:tcPr>
          <w:p>
            <w:pPr>
              <w:ind w:left="480"/>
              <w:spacing w:after="0"/>
              <w:rPr>
                <w:sz w:val="20"/>
                <w:szCs w:val="20"/>
                <w:color w:val="auto"/>
              </w:rPr>
            </w:pPr>
            <w:r>
              <w:rPr>
                <w:rFonts w:ascii="Arial" w:cs="Arial" w:eastAsia="Arial" w:hAnsi="Arial"/>
                <w:sz w:val="18"/>
                <w:szCs w:val="18"/>
                <w:b w:val="1"/>
                <w:bCs w:val="1"/>
                <w:color w:val="FFFFFF"/>
              </w:rPr>
              <w:t>Weight</w:t>
            </w:r>
          </w:p>
        </w:tc>
        <w:tc>
          <w:tcPr>
            <w:tcW w:w="1700" w:type="dxa"/>
            <w:vAlign w:val="bottom"/>
            <w:vMerge w:val="restart"/>
            <w:shd w:val="clear" w:color="auto" w:fill="003595"/>
          </w:tcPr>
          <w:p>
            <w:pPr>
              <w:jc w:val="center"/>
              <w:ind w:left="37"/>
              <w:spacing w:after="0"/>
              <w:rPr>
                <w:sz w:val="20"/>
                <w:szCs w:val="20"/>
                <w:color w:val="auto"/>
              </w:rPr>
            </w:pPr>
            <w:r>
              <w:rPr>
                <w:rFonts w:ascii="Arial" w:cs="Arial" w:eastAsia="Arial" w:hAnsi="Arial"/>
                <w:sz w:val="18"/>
                <w:szCs w:val="18"/>
                <w:b w:val="1"/>
                <w:bCs w:val="1"/>
                <w:color w:val="FFFFFF"/>
                <w:w w:val="98"/>
              </w:rPr>
              <w:t>Threshold</w:t>
            </w:r>
          </w:p>
        </w:tc>
        <w:tc>
          <w:tcPr>
            <w:tcW w:w="1560" w:type="dxa"/>
            <w:vAlign w:val="bottom"/>
            <w:vMerge w:val="restart"/>
            <w:shd w:val="clear" w:color="auto" w:fill="003595"/>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1600" w:type="dxa"/>
            <w:vAlign w:val="bottom"/>
            <w:vMerge w:val="restart"/>
            <w:shd w:val="clear" w:color="auto" w:fill="003595"/>
          </w:tcPr>
          <w:p>
            <w:pPr>
              <w:jc w:val="center"/>
              <w:spacing w:after="0"/>
              <w:rPr>
                <w:sz w:val="20"/>
                <w:szCs w:val="20"/>
                <w:color w:val="auto"/>
              </w:rPr>
            </w:pPr>
            <w:r>
              <w:rPr>
                <w:rFonts w:ascii="Arial" w:cs="Arial" w:eastAsia="Arial" w:hAnsi="Arial"/>
                <w:sz w:val="18"/>
                <w:szCs w:val="18"/>
                <w:b w:val="1"/>
                <w:bCs w:val="1"/>
                <w:color w:val="FFFFFF"/>
                <w:w w:val="98"/>
              </w:rPr>
              <w:t>Maximum</w:t>
            </w:r>
          </w:p>
        </w:tc>
        <w:tc>
          <w:tcPr>
            <w:tcW w:w="1520" w:type="dxa"/>
            <w:vAlign w:val="bottom"/>
            <w:shd w:val="clear" w:color="auto" w:fill="003595"/>
          </w:tcPr>
          <w:p>
            <w:pPr>
              <w:jc w:val="center"/>
              <w:spacing w:after="0"/>
              <w:rPr>
                <w:sz w:val="20"/>
                <w:szCs w:val="20"/>
                <w:color w:val="auto"/>
              </w:rPr>
            </w:pPr>
            <w:r>
              <w:rPr>
                <w:rFonts w:ascii="Arial" w:cs="Arial" w:eastAsia="Arial" w:hAnsi="Arial"/>
                <w:sz w:val="18"/>
                <w:szCs w:val="18"/>
                <w:b w:val="1"/>
                <w:bCs w:val="1"/>
                <w:color w:val="FFFFFF"/>
                <w:w w:val="99"/>
              </w:rPr>
              <w:t>Final</w:t>
            </w:r>
          </w:p>
        </w:tc>
        <w:tc>
          <w:tcPr>
            <w:tcW w:w="1640" w:type="dxa"/>
            <w:vAlign w:val="bottom"/>
            <w:shd w:val="clear" w:color="auto" w:fill="003595"/>
          </w:tcPr>
          <w:p>
            <w:pPr>
              <w:jc w:val="center"/>
              <w:spacing w:after="0"/>
              <w:rPr>
                <w:sz w:val="20"/>
                <w:szCs w:val="20"/>
                <w:color w:val="auto"/>
              </w:rPr>
            </w:pPr>
            <w:r>
              <w:rPr>
                <w:rFonts w:ascii="Arial" w:cs="Arial" w:eastAsia="Arial" w:hAnsi="Arial"/>
                <w:sz w:val="18"/>
                <w:szCs w:val="18"/>
                <w:b w:val="1"/>
                <w:bCs w:val="1"/>
                <w:color w:val="FFFFFF"/>
                <w:w w:val="99"/>
              </w:rPr>
              <w:t>Final</w:t>
            </w:r>
          </w:p>
        </w:tc>
        <w:tc>
          <w:tcPr>
            <w:tcW w:w="0" w:type="dxa"/>
            <w:vAlign w:val="bottom"/>
          </w:tcPr>
          <w:p>
            <w:pPr>
              <w:spacing w:after="0"/>
              <w:rPr>
                <w:sz w:val="1"/>
                <w:szCs w:val="1"/>
                <w:color w:val="auto"/>
              </w:rPr>
            </w:pPr>
          </w:p>
        </w:tc>
      </w:tr>
      <w:tr>
        <w:trPr>
          <w:trHeight w:val="152"/>
        </w:trPr>
        <w:tc>
          <w:tcPr>
            <w:tcW w:w="1780" w:type="dxa"/>
            <w:vAlign w:val="bottom"/>
            <w:vMerge w:val="restart"/>
            <w:shd w:val="clear" w:color="auto" w:fill="003595"/>
          </w:tcPr>
          <w:p>
            <w:pPr>
              <w:ind w:left="580"/>
              <w:spacing w:after="0"/>
              <w:rPr>
                <w:sz w:val="20"/>
                <w:szCs w:val="20"/>
                <w:color w:val="auto"/>
              </w:rPr>
            </w:pPr>
            <w:r>
              <w:rPr>
                <w:rFonts w:ascii="Arial" w:cs="Arial" w:eastAsia="Arial" w:hAnsi="Arial"/>
                <w:sz w:val="18"/>
                <w:szCs w:val="18"/>
                <w:b w:val="1"/>
                <w:bCs w:val="1"/>
                <w:color w:val="FFFFFF"/>
              </w:rPr>
              <w:t>Metrics</w:t>
            </w:r>
          </w:p>
        </w:tc>
        <w:tc>
          <w:tcPr>
            <w:tcW w:w="1440" w:type="dxa"/>
            <w:vAlign w:val="bottom"/>
            <w:vMerge w:val="continue"/>
            <w:shd w:val="clear" w:color="auto" w:fill="003595"/>
          </w:tcPr>
          <w:p>
            <w:pPr>
              <w:spacing w:after="0"/>
              <w:rPr>
                <w:sz w:val="13"/>
                <w:szCs w:val="13"/>
                <w:color w:val="auto"/>
              </w:rPr>
            </w:pPr>
          </w:p>
        </w:tc>
        <w:tc>
          <w:tcPr>
            <w:tcW w:w="1700" w:type="dxa"/>
            <w:vAlign w:val="bottom"/>
            <w:vMerge w:val="continue"/>
            <w:shd w:val="clear" w:color="auto" w:fill="003595"/>
          </w:tcPr>
          <w:p>
            <w:pPr>
              <w:spacing w:after="0"/>
              <w:rPr>
                <w:sz w:val="13"/>
                <w:szCs w:val="13"/>
                <w:color w:val="auto"/>
              </w:rPr>
            </w:pPr>
          </w:p>
        </w:tc>
        <w:tc>
          <w:tcPr>
            <w:tcW w:w="1560" w:type="dxa"/>
            <w:vAlign w:val="bottom"/>
            <w:vMerge w:val="continue"/>
            <w:shd w:val="clear" w:color="auto" w:fill="003595"/>
          </w:tcPr>
          <w:p>
            <w:pPr>
              <w:spacing w:after="0"/>
              <w:rPr>
                <w:sz w:val="13"/>
                <w:szCs w:val="13"/>
                <w:color w:val="auto"/>
              </w:rPr>
            </w:pPr>
          </w:p>
        </w:tc>
        <w:tc>
          <w:tcPr>
            <w:tcW w:w="1600" w:type="dxa"/>
            <w:vAlign w:val="bottom"/>
            <w:vMerge w:val="continue"/>
            <w:shd w:val="clear" w:color="auto" w:fill="003595"/>
          </w:tcPr>
          <w:p>
            <w:pPr>
              <w:spacing w:after="0"/>
              <w:rPr>
                <w:sz w:val="13"/>
                <w:szCs w:val="13"/>
                <w:color w:val="auto"/>
              </w:rPr>
            </w:pPr>
          </w:p>
        </w:tc>
        <w:tc>
          <w:tcPr>
            <w:tcW w:w="1520" w:type="dxa"/>
            <w:vAlign w:val="bottom"/>
            <w:vMerge w:val="restart"/>
            <w:shd w:val="clear" w:color="auto" w:fill="003595"/>
          </w:tcPr>
          <w:p>
            <w:pPr>
              <w:jc w:val="center"/>
              <w:spacing w:after="0"/>
              <w:rPr>
                <w:sz w:val="20"/>
                <w:szCs w:val="20"/>
                <w:color w:val="auto"/>
              </w:rPr>
            </w:pPr>
            <w:r>
              <w:rPr>
                <w:rFonts w:ascii="Arial" w:cs="Arial" w:eastAsia="Arial" w:hAnsi="Arial"/>
                <w:sz w:val="18"/>
                <w:szCs w:val="18"/>
                <w:b w:val="1"/>
                <w:bCs w:val="1"/>
                <w:color w:val="FFFFFF"/>
                <w:w w:val="99"/>
              </w:rPr>
              <w:t>Achievement</w:t>
            </w:r>
          </w:p>
        </w:tc>
        <w:tc>
          <w:tcPr>
            <w:tcW w:w="1640" w:type="dxa"/>
            <w:vAlign w:val="bottom"/>
            <w:vMerge w:val="restart"/>
            <w:shd w:val="clear" w:color="auto" w:fill="003595"/>
          </w:tcPr>
          <w:p>
            <w:pPr>
              <w:jc w:val="center"/>
              <w:spacing w:after="0"/>
              <w:rPr>
                <w:sz w:val="20"/>
                <w:szCs w:val="20"/>
                <w:color w:val="auto"/>
              </w:rPr>
            </w:pPr>
            <w:r>
              <w:rPr>
                <w:rFonts w:ascii="Arial" w:cs="Arial" w:eastAsia="Arial" w:hAnsi="Arial"/>
                <w:sz w:val="18"/>
                <w:szCs w:val="18"/>
                <w:b w:val="1"/>
                <w:bCs w:val="1"/>
                <w:color w:val="FFFFFF"/>
              </w:rPr>
              <w:t>Achievement %</w:t>
            </w:r>
          </w:p>
        </w:tc>
        <w:tc>
          <w:tcPr>
            <w:tcW w:w="0" w:type="dxa"/>
            <w:vAlign w:val="bottom"/>
          </w:tcPr>
          <w:p>
            <w:pPr>
              <w:spacing w:after="0"/>
              <w:rPr>
                <w:sz w:val="1"/>
                <w:szCs w:val="1"/>
                <w:color w:val="auto"/>
              </w:rPr>
            </w:pPr>
          </w:p>
        </w:tc>
      </w:tr>
      <w:tr>
        <w:trPr>
          <w:trHeight w:val="103"/>
        </w:trPr>
        <w:tc>
          <w:tcPr>
            <w:tcW w:w="1780" w:type="dxa"/>
            <w:vAlign w:val="bottom"/>
            <w:tcBorders>
              <w:bottom w:val="single" w:sz="8" w:color="003595"/>
            </w:tcBorders>
            <w:vMerge w:val="continue"/>
            <w:shd w:val="clear" w:color="auto" w:fill="003595"/>
          </w:tcPr>
          <w:p>
            <w:pPr>
              <w:spacing w:after="0"/>
              <w:rPr>
                <w:sz w:val="8"/>
                <w:szCs w:val="8"/>
                <w:color w:val="auto"/>
              </w:rPr>
            </w:pPr>
          </w:p>
        </w:tc>
        <w:tc>
          <w:tcPr>
            <w:tcW w:w="1440" w:type="dxa"/>
            <w:vAlign w:val="bottom"/>
            <w:tcBorders>
              <w:bottom w:val="single" w:sz="8" w:color="003595"/>
            </w:tcBorders>
            <w:shd w:val="clear" w:color="auto" w:fill="003595"/>
          </w:tcPr>
          <w:p>
            <w:pPr>
              <w:spacing w:after="0"/>
              <w:rPr>
                <w:sz w:val="8"/>
                <w:szCs w:val="8"/>
                <w:color w:val="auto"/>
              </w:rPr>
            </w:pPr>
          </w:p>
        </w:tc>
        <w:tc>
          <w:tcPr>
            <w:tcW w:w="1700" w:type="dxa"/>
            <w:vAlign w:val="bottom"/>
            <w:tcBorders>
              <w:bottom w:val="single" w:sz="8" w:color="003595"/>
            </w:tcBorders>
            <w:shd w:val="clear" w:color="auto" w:fill="003595"/>
          </w:tcPr>
          <w:p>
            <w:pPr>
              <w:spacing w:after="0"/>
              <w:rPr>
                <w:sz w:val="8"/>
                <w:szCs w:val="8"/>
                <w:color w:val="auto"/>
              </w:rPr>
            </w:pPr>
          </w:p>
        </w:tc>
        <w:tc>
          <w:tcPr>
            <w:tcW w:w="1560" w:type="dxa"/>
            <w:vAlign w:val="bottom"/>
            <w:tcBorders>
              <w:bottom w:val="single" w:sz="8" w:color="003595"/>
            </w:tcBorders>
            <w:shd w:val="clear" w:color="auto" w:fill="003595"/>
          </w:tcPr>
          <w:p>
            <w:pPr>
              <w:spacing w:after="0"/>
              <w:rPr>
                <w:sz w:val="8"/>
                <w:szCs w:val="8"/>
                <w:color w:val="auto"/>
              </w:rPr>
            </w:pPr>
          </w:p>
        </w:tc>
        <w:tc>
          <w:tcPr>
            <w:tcW w:w="1600" w:type="dxa"/>
            <w:vAlign w:val="bottom"/>
            <w:tcBorders>
              <w:bottom w:val="single" w:sz="8" w:color="003595"/>
            </w:tcBorders>
            <w:shd w:val="clear" w:color="auto" w:fill="003595"/>
          </w:tcPr>
          <w:p>
            <w:pPr>
              <w:spacing w:after="0"/>
              <w:rPr>
                <w:sz w:val="8"/>
                <w:szCs w:val="8"/>
                <w:color w:val="auto"/>
              </w:rPr>
            </w:pPr>
          </w:p>
        </w:tc>
        <w:tc>
          <w:tcPr>
            <w:tcW w:w="1520" w:type="dxa"/>
            <w:vAlign w:val="bottom"/>
            <w:tcBorders>
              <w:bottom w:val="single" w:sz="8" w:color="003595"/>
            </w:tcBorders>
            <w:vMerge w:val="continue"/>
            <w:shd w:val="clear" w:color="auto" w:fill="003595"/>
          </w:tcPr>
          <w:p>
            <w:pPr>
              <w:spacing w:after="0"/>
              <w:rPr>
                <w:sz w:val="8"/>
                <w:szCs w:val="8"/>
                <w:color w:val="auto"/>
              </w:rPr>
            </w:pPr>
          </w:p>
        </w:tc>
        <w:tc>
          <w:tcPr>
            <w:tcW w:w="1640" w:type="dxa"/>
            <w:vAlign w:val="bottom"/>
            <w:tcBorders>
              <w:bottom w:val="single" w:sz="8" w:color="003595"/>
            </w:tcBorders>
            <w:vMerge w:val="continue"/>
            <w:shd w:val="clear" w:color="auto" w:fill="003595"/>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Total Revenue Growth</w:t>
            </w:r>
          </w:p>
        </w:tc>
        <w:tc>
          <w:tcPr>
            <w:tcW w:w="1440" w:type="dxa"/>
            <w:vAlign w:val="bottom"/>
            <w:tcBorders>
              <w:bottom w:val="single" w:sz="8" w:color="003595"/>
            </w:tcBorders>
          </w:tcPr>
          <w:p>
            <w:pPr>
              <w:jc w:val="center"/>
              <w:ind w:left="37"/>
              <w:spacing w:after="0"/>
              <w:rPr>
                <w:sz w:val="20"/>
                <w:szCs w:val="20"/>
                <w:color w:val="auto"/>
              </w:rPr>
            </w:pPr>
            <w:r>
              <w:rPr>
                <w:rFonts w:ascii="Arial" w:cs="Arial" w:eastAsia="Arial" w:hAnsi="Arial"/>
                <w:sz w:val="16"/>
                <w:szCs w:val="16"/>
                <w:color w:val="auto"/>
                <w:w w:val="99"/>
              </w:rPr>
              <w:t>34%</w:t>
            </w:r>
          </w:p>
        </w:tc>
        <w:tc>
          <w:tcPr>
            <w:tcW w:w="1700" w:type="dxa"/>
            <w:vAlign w:val="bottom"/>
            <w:tcBorders>
              <w:bottom w:val="single" w:sz="8" w:color="003595"/>
            </w:tcBorders>
          </w:tcPr>
          <w:p>
            <w:pPr>
              <w:jc w:val="center"/>
              <w:ind w:left="57"/>
              <w:spacing w:after="0"/>
              <w:rPr>
                <w:sz w:val="20"/>
                <w:szCs w:val="20"/>
                <w:color w:val="auto"/>
              </w:rPr>
            </w:pPr>
            <w:r>
              <w:rPr>
                <w:rFonts w:ascii="Arial" w:cs="Arial" w:eastAsia="Arial" w:hAnsi="Arial"/>
                <w:sz w:val="16"/>
                <w:szCs w:val="16"/>
                <w:color w:val="auto"/>
              </w:rPr>
              <w:t>$819.0 million</w:t>
            </w:r>
          </w:p>
        </w:tc>
        <w:tc>
          <w:tcPr>
            <w:tcW w:w="15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$910.0 million</w:t>
            </w:r>
          </w:p>
        </w:tc>
        <w:tc>
          <w:tcPr>
            <w:tcW w:w="16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$1,001.0 million</w:t>
            </w:r>
          </w:p>
        </w:tc>
        <w:tc>
          <w:tcPr>
            <w:tcW w:w="152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$824.5 million</w:t>
            </w:r>
          </w:p>
        </w:tc>
        <w:tc>
          <w:tcPr>
            <w:tcW w:w="164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6"/>
        </w:trPr>
        <w:tc>
          <w:tcPr>
            <w:tcW w:w="17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Adjusted EPS</w:t>
            </w:r>
          </w:p>
        </w:tc>
        <w:tc>
          <w:tcPr>
            <w:tcW w:w="1440" w:type="dxa"/>
            <w:vAlign w:val="bottom"/>
            <w:tcBorders>
              <w:bottom w:val="single" w:sz="8" w:color="003595"/>
            </w:tcBorders>
          </w:tcPr>
          <w:p>
            <w:pPr>
              <w:jc w:val="center"/>
              <w:ind w:left="37"/>
              <w:spacing w:after="0"/>
              <w:rPr>
                <w:sz w:val="20"/>
                <w:szCs w:val="20"/>
                <w:color w:val="auto"/>
              </w:rPr>
            </w:pPr>
            <w:r>
              <w:rPr>
                <w:rFonts w:ascii="Arial" w:cs="Arial" w:eastAsia="Arial" w:hAnsi="Arial"/>
                <w:sz w:val="16"/>
                <w:szCs w:val="16"/>
                <w:color w:val="auto"/>
                <w:w w:val="99"/>
              </w:rPr>
              <w:t>33%</w:t>
            </w:r>
          </w:p>
        </w:tc>
        <w:tc>
          <w:tcPr>
            <w:tcW w:w="1700" w:type="dxa"/>
            <w:vAlign w:val="bottom"/>
            <w:tcBorders>
              <w:bottom w:val="single" w:sz="8" w:color="003595"/>
            </w:tcBorders>
          </w:tcPr>
          <w:p>
            <w:pPr>
              <w:jc w:val="center"/>
              <w:ind w:left="37"/>
              <w:spacing w:after="0"/>
              <w:rPr>
                <w:sz w:val="20"/>
                <w:szCs w:val="20"/>
                <w:color w:val="auto"/>
              </w:rPr>
            </w:pPr>
            <w:r>
              <w:rPr>
                <w:rFonts w:ascii="Arial" w:cs="Arial" w:eastAsia="Arial" w:hAnsi="Arial"/>
                <w:sz w:val="16"/>
                <w:szCs w:val="16"/>
                <w:color w:val="auto"/>
                <w:w w:val="98"/>
              </w:rPr>
              <w:t>$(0.08)</w:t>
            </w:r>
          </w:p>
        </w:tc>
        <w:tc>
          <w:tcPr>
            <w:tcW w:w="15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$0.24</w:t>
            </w:r>
          </w:p>
        </w:tc>
        <w:tc>
          <w:tcPr>
            <w:tcW w:w="16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$0.54</w:t>
            </w:r>
          </w:p>
        </w:tc>
        <w:tc>
          <w:tcPr>
            <w:tcW w:w="152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$0.06</w:t>
            </w:r>
          </w:p>
        </w:tc>
        <w:tc>
          <w:tcPr>
            <w:tcW w:w="164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8"/>
        </w:trPr>
        <w:tc>
          <w:tcPr>
            <w:tcW w:w="1780" w:type="dxa"/>
            <w:vAlign w:val="bottom"/>
          </w:tcPr>
          <w:p>
            <w:pPr>
              <w:ind w:left="20"/>
              <w:spacing w:after="0"/>
              <w:rPr>
                <w:sz w:val="20"/>
                <w:szCs w:val="20"/>
                <w:color w:val="auto"/>
              </w:rPr>
            </w:pPr>
            <w:r>
              <w:rPr>
                <w:rFonts w:ascii="Arial" w:cs="Arial" w:eastAsia="Arial" w:hAnsi="Arial"/>
                <w:sz w:val="16"/>
                <w:szCs w:val="16"/>
                <w:color w:val="auto"/>
              </w:rPr>
              <w:t>Relative Total</w:t>
            </w:r>
          </w:p>
        </w:tc>
        <w:tc>
          <w:tcPr>
            <w:tcW w:w="1440" w:type="dxa"/>
            <w:vAlign w:val="bottom"/>
            <w:vMerge w:val="restart"/>
          </w:tcPr>
          <w:p>
            <w:pPr>
              <w:jc w:val="center"/>
              <w:ind w:left="37"/>
              <w:spacing w:after="0"/>
              <w:rPr>
                <w:sz w:val="20"/>
                <w:szCs w:val="20"/>
                <w:color w:val="auto"/>
              </w:rPr>
            </w:pPr>
            <w:r>
              <w:rPr>
                <w:rFonts w:ascii="Arial" w:cs="Arial" w:eastAsia="Arial" w:hAnsi="Arial"/>
                <w:sz w:val="16"/>
                <w:szCs w:val="16"/>
                <w:color w:val="auto"/>
                <w:w w:val="99"/>
              </w:rPr>
              <w:t>33%</w:t>
            </w:r>
          </w:p>
        </w:tc>
        <w:tc>
          <w:tcPr>
            <w:tcW w:w="1700" w:type="dxa"/>
            <w:vAlign w:val="bottom"/>
            <w:vMerge w:val="restart"/>
          </w:tcPr>
          <w:p>
            <w:pPr>
              <w:jc w:val="center"/>
              <w:ind w:left="37"/>
              <w:spacing w:after="0"/>
              <w:rPr>
                <w:sz w:val="20"/>
                <w:szCs w:val="20"/>
                <w:color w:val="auto"/>
              </w:rPr>
            </w:pPr>
            <w:r>
              <w:rPr>
                <w:rFonts w:ascii="Arial" w:cs="Arial" w:eastAsia="Arial" w:hAnsi="Arial"/>
                <w:sz w:val="16"/>
                <w:szCs w:val="16"/>
                <w:color w:val="auto"/>
              </w:rPr>
              <w:t>25th percentile</w:t>
            </w:r>
          </w:p>
        </w:tc>
        <w:tc>
          <w:tcPr>
            <w:tcW w:w="1560" w:type="dxa"/>
            <w:vAlign w:val="bottom"/>
            <w:vMerge w:val="restart"/>
          </w:tcPr>
          <w:p>
            <w:pPr>
              <w:jc w:val="center"/>
              <w:spacing w:after="0"/>
              <w:rPr>
                <w:sz w:val="20"/>
                <w:szCs w:val="20"/>
                <w:color w:val="auto"/>
              </w:rPr>
            </w:pPr>
            <w:r>
              <w:rPr>
                <w:rFonts w:ascii="Arial" w:cs="Arial" w:eastAsia="Arial" w:hAnsi="Arial"/>
                <w:sz w:val="16"/>
                <w:szCs w:val="16"/>
                <w:color w:val="auto"/>
              </w:rPr>
              <w:t>50th percentile</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rPr>
              <w:t>75th percentile</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rPr>
              <w:t>37th percentile</w:t>
            </w: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34"/>
        </w:trPr>
        <w:tc>
          <w:tcPr>
            <w:tcW w:w="1780" w:type="dxa"/>
            <w:vAlign w:val="bottom"/>
            <w:vMerge w:val="restart"/>
          </w:tcPr>
          <w:p>
            <w:pPr>
              <w:ind w:left="20"/>
              <w:spacing w:after="0"/>
              <w:rPr>
                <w:sz w:val="20"/>
                <w:szCs w:val="20"/>
                <w:color w:val="auto"/>
              </w:rPr>
            </w:pPr>
            <w:r>
              <w:rPr>
                <w:rFonts w:ascii="Arial" w:cs="Arial" w:eastAsia="Arial" w:hAnsi="Arial"/>
                <w:sz w:val="16"/>
                <w:szCs w:val="16"/>
                <w:color w:val="auto"/>
              </w:rPr>
              <w:t>Stockholder Return</w:t>
            </w:r>
          </w:p>
        </w:tc>
        <w:tc>
          <w:tcPr>
            <w:tcW w:w="14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8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780" w:type="dxa"/>
            <w:vAlign w:val="bottom"/>
            <w:tcBorders>
              <w:bottom w:val="single" w:sz="8" w:color="003595"/>
            </w:tcBorders>
          </w:tcPr>
          <w:p>
            <w:pPr>
              <w:spacing w:after="0"/>
              <w:rPr>
                <w:sz w:val="2"/>
                <w:szCs w:val="2"/>
                <w:color w:val="auto"/>
              </w:rPr>
            </w:pPr>
          </w:p>
        </w:tc>
        <w:tc>
          <w:tcPr>
            <w:tcW w:w="1440" w:type="dxa"/>
            <w:vAlign w:val="bottom"/>
            <w:tcBorders>
              <w:bottom w:val="single" w:sz="8" w:color="003595"/>
            </w:tcBorders>
          </w:tcPr>
          <w:p>
            <w:pPr>
              <w:spacing w:after="0"/>
              <w:rPr>
                <w:sz w:val="2"/>
                <w:szCs w:val="2"/>
                <w:color w:val="auto"/>
              </w:rPr>
            </w:pPr>
          </w:p>
        </w:tc>
        <w:tc>
          <w:tcPr>
            <w:tcW w:w="1700" w:type="dxa"/>
            <w:vAlign w:val="bottom"/>
            <w:tcBorders>
              <w:bottom w:val="single" w:sz="8" w:color="003595"/>
            </w:tcBorders>
          </w:tcPr>
          <w:p>
            <w:pPr>
              <w:spacing w:after="0"/>
              <w:rPr>
                <w:sz w:val="2"/>
                <w:szCs w:val="2"/>
                <w:color w:val="auto"/>
              </w:rPr>
            </w:pPr>
          </w:p>
        </w:tc>
        <w:tc>
          <w:tcPr>
            <w:tcW w:w="1560" w:type="dxa"/>
            <w:vAlign w:val="bottom"/>
            <w:tcBorders>
              <w:bottom w:val="single" w:sz="8" w:color="003595"/>
            </w:tcBorders>
          </w:tcPr>
          <w:p>
            <w:pPr>
              <w:spacing w:after="0"/>
              <w:rPr>
                <w:sz w:val="2"/>
                <w:szCs w:val="2"/>
                <w:color w:val="auto"/>
              </w:rPr>
            </w:pPr>
          </w:p>
        </w:tc>
        <w:tc>
          <w:tcPr>
            <w:tcW w:w="1600" w:type="dxa"/>
            <w:vAlign w:val="bottom"/>
            <w:tcBorders>
              <w:bottom w:val="single" w:sz="8" w:color="003595"/>
            </w:tcBorders>
          </w:tcPr>
          <w:p>
            <w:pPr>
              <w:spacing w:after="0"/>
              <w:rPr>
                <w:sz w:val="2"/>
                <w:szCs w:val="2"/>
                <w:color w:val="auto"/>
              </w:rPr>
            </w:pPr>
          </w:p>
        </w:tc>
        <w:tc>
          <w:tcPr>
            <w:tcW w:w="1520" w:type="dxa"/>
            <w:vAlign w:val="bottom"/>
            <w:tcBorders>
              <w:bottom w:val="single" w:sz="8" w:color="003595"/>
            </w:tcBorders>
          </w:tcPr>
          <w:p>
            <w:pPr>
              <w:spacing w:after="0"/>
              <w:rPr>
                <w:sz w:val="2"/>
                <w:szCs w:val="2"/>
                <w:color w:val="auto"/>
              </w:rPr>
            </w:pPr>
          </w:p>
        </w:tc>
        <w:tc>
          <w:tcPr>
            <w:tcW w:w="164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780" w:type="dxa"/>
            <w:vAlign w:val="bottom"/>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Pr>
          <w:p>
            <w:pPr>
              <w:jc w:val="center"/>
              <w:ind w:left="37"/>
              <w:spacing w:after="0"/>
              <w:rPr>
                <w:sz w:val="20"/>
                <w:szCs w:val="20"/>
                <w:color w:val="auto"/>
              </w:rPr>
            </w:pPr>
            <w:r>
              <w:rPr>
                <w:rFonts w:ascii="Arial" w:cs="Arial" w:eastAsia="Arial" w:hAnsi="Arial"/>
                <w:sz w:val="16"/>
                <w:szCs w:val="16"/>
                <w:color w:val="auto"/>
                <w:w w:val="97"/>
              </w:rPr>
              <w:t>100%</w:t>
            </w:r>
          </w:p>
        </w:tc>
        <w:tc>
          <w:tcPr>
            <w:tcW w:w="1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
        </w:trPr>
        <w:tc>
          <w:tcPr>
            <w:tcW w:w="1780" w:type="dxa"/>
            <w:vAlign w:val="bottom"/>
            <w:tcBorders>
              <w:bottom w:val="single" w:sz="8" w:color="003595"/>
            </w:tcBorders>
          </w:tcPr>
          <w:p>
            <w:pPr>
              <w:spacing w:after="0"/>
              <w:rPr>
                <w:sz w:val="2"/>
                <w:szCs w:val="2"/>
                <w:color w:val="auto"/>
              </w:rPr>
            </w:pPr>
          </w:p>
        </w:tc>
        <w:tc>
          <w:tcPr>
            <w:tcW w:w="1440" w:type="dxa"/>
            <w:vAlign w:val="bottom"/>
            <w:tcBorders>
              <w:bottom w:val="single" w:sz="8" w:color="003595"/>
            </w:tcBorders>
          </w:tcPr>
          <w:p>
            <w:pPr>
              <w:spacing w:after="0"/>
              <w:rPr>
                <w:sz w:val="2"/>
                <w:szCs w:val="2"/>
                <w:color w:val="auto"/>
              </w:rPr>
            </w:pPr>
          </w:p>
        </w:tc>
        <w:tc>
          <w:tcPr>
            <w:tcW w:w="1700" w:type="dxa"/>
            <w:vAlign w:val="bottom"/>
            <w:tcBorders>
              <w:bottom w:val="single" w:sz="8" w:color="003595"/>
            </w:tcBorders>
          </w:tcPr>
          <w:p>
            <w:pPr>
              <w:spacing w:after="0"/>
              <w:rPr>
                <w:sz w:val="2"/>
                <w:szCs w:val="2"/>
                <w:color w:val="auto"/>
              </w:rPr>
            </w:pPr>
          </w:p>
        </w:tc>
        <w:tc>
          <w:tcPr>
            <w:tcW w:w="1560" w:type="dxa"/>
            <w:vAlign w:val="bottom"/>
            <w:tcBorders>
              <w:bottom w:val="single" w:sz="8" w:color="003595"/>
            </w:tcBorders>
          </w:tcPr>
          <w:p>
            <w:pPr>
              <w:spacing w:after="0"/>
              <w:rPr>
                <w:sz w:val="2"/>
                <w:szCs w:val="2"/>
                <w:color w:val="auto"/>
              </w:rPr>
            </w:pPr>
          </w:p>
        </w:tc>
        <w:tc>
          <w:tcPr>
            <w:tcW w:w="1600" w:type="dxa"/>
            <w:vAlign w:val="bottom"/>
            <w:tcBorders>
              <w:bottom w:val="single" w:sz="8" w:color="003595"/>
            </w:tcBorders>
          </w:tcPr>
          <w:p>
            <w:pPr>
              <w:spacing w:after="0"/>
              <w:rPr>
                <w:sz w:val="2"/>
                <w:szCs w:val="2"/>
                <w:color w:val="auto"/>
              </w:rPr>
            </w:pPr>
          </w:p>
        </w:tc>
        <w:tc>
          <w:tcPr>
            <w:tcW w:w="1520" w:type="dxa"/>
            <w:vAlign w:val="bottom"/>
            <w:tcBorders>
              <w:bottom w:val="single" w:sz="8" w:color="003595"/>
            </w:tcBorders>
          </w:tcPr>
          <w:p>
            <w:pPr>
              <w:spacing w:after="0"/>
              <w:rPr>
                <w:sz w:val="2"/>
                <w:szCs w:val="2"/>
                <w:color w:val="auto"/>
              </w:rPr>
            </w:pPr>
          </w:p>
        </w:tc>
        <w:tc>
          <w:tcPr>
            <w:tcW w:w="164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number of PSUs granted to and earned by each of our NEOs in March 2023 (other than Mr. Raha, Mr. Leffler, and Mr. Donnelly, who were not employed by us at that time) are set forth in the chart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vMerge w:val="restart"/>
            <w:shd w:val="clear" w:color="auto" w:fill="003595"/>
          </w:tcPr>
          <w:p>
            <w:pPr>
              <w:ind w:left="2200"/>
              <w:spacing w:after="0"/>
              <w:rPr>
                <w:sz w:val="20"/>
                <w:szCs w:val="20"/>
                <w:color w:val="auto"/>
              </w:rPr>
            </w:pPr>
            <w:r>
              <w:rPr>
                <w:rFonts w:ascii="Arial" w:cs="Arial" w:eastAsia="Arial" w:hAnsi="Arial"/>
                <w:sz w:val="18"/>
                <w:szCs w:val="18"/>
                <w:b w:val="1"/>
                <w:bCs w:val="1"/>
                <w:color w:val="FFFFFF"/>
              </w:rPr>
              <w:t>Named Executive Officer</w:t>
            </w:r>
          </w:p>
        </w:tc>
        <w:tc>
          <w:tcPr>
            <w:tcW w:w="1680" w:type="dxa"/>
            <w:vAlign w:val="bottom"/>
            <w:shd w:val="clear" w:color="auto" w:fill="003595"/>
          </w:tcPr>
          <w:p>
            <w:pPr>
              <w:jc w:val="center"/>
              <w:spacing w:after="0"/>
              <w:rPr>
                <w:sz w:val="20"/>
                <w:szCs w:val="20"/>
                <w:color w:val="auto"/>
              </w:rPr>
            </w:pPr>
            <w:r>
              <w:rPr>
                <w:rFonts w:ascii="Arial" w:cs="Arial" w:eastAsia="Arial" w:hAnsi="Arial"/>
                <w:sz w:val="18"/>
                <w:szCs w:val="18"/>
                <w:b w:val="1"/>
                <w:bCs w:val="1"/>
                <w:color w:val="FFFFFF"/>
                <w:w w:val="99"/>
              </w:rPr>
              <w:t>2023 PSU Shares</w:t>
            </w:r>
          </w:p>
        </w:tc>
        <w:tc>
          <w:tcPr>
            <w:tcW w:w="1420" w:type="dxa"/>
            <w:vAlign w:val="bottom"/>
            <w:shd w:val="clear" w:color="auto" w:fill="003595"/>
          </w:tcPr>
          <w:p>
            <w:pPr>
              <w:jc w:val="center"/>
              <w:spacing w:after="0"/>
              <w:rPr>
                <w:sz w:val="20"/>
                <w:szCs w:val="20"/>
                <w:color w:val="auto"/>
              </w:rPr>
            </w:pPr>
            <w:r>
              <w:rPr>
                <w:rFonts w:ascii="Arial" w:cs="Arial" w:eastAsia="Arial" w:hAnsi="Arial"/>
                <w:sz w:val="18"/>
                <w:szCs w:val="18"/>
                <w:b w:val="1"/>
                <w:bCs w:val="1"/>
                <w:color w:val="FFFFFF"/>
                <w:w w:val="99"/>
              </w:rPr>
              <w:t>Final</w:t>
            </w:r>
          </w:p>
        </w:tc>
        <w:tc>
          <w:tcPr>
            <w:tcW w:w="1640" w:type="dxa"/>
            <w:vAlign w:val="bottom"/>
            <w:shd w:val="clear" w:color="auto" w:fill="003595"/>
          </w:tcPr>
          <w:p>
            <w:pPr>
              <w:jc w:val="center"/>
              <w:spacing w:after="0"/>
              <w:rPr>
                <w:sz w:val="20"/>
                <w:szCs w:val="20"/>
                <w:color w:val="auto"/>
              </w:rPr>
            </w:pPr>
            <w:r>
              <w:rPr>
                <w:rFonts w:ascii="Arial" w:cs="Arial" w:eastAsia="Arial" w:hAnsi="Arial"/>
                <w:sz w:val="18"/>
                <w:szCs w:val="18"/>
                <w:b w:val="1"/>
                <w:bCs w:val="1"/>
                <w:color w:val="FFFFFF"/>
                <w:w w:val="99"/>
              </w:rPr>
              <w:t>Final</w:t>
            </w:r>
          </w:p>
        </w:tc>
        <w:tc>
          <w:tcPr>
            <w:tcW w:w="0" w:type="dxa"/>
            <w:vAlign w:val="bottom"/>
          </w:tcPr>
          <w:p>
            <w:pPr>
              <w:spacing w:after="0"/>
              <w:rPr>
                <w:sz w:val="1"/>
                <w:szCs w:val="1"/>
                <w:color w:val="auto"/>
              </w:rPr>
            </w:pPr>
          </w:p>
        </w:tc>
      </w:tr>
      <w:tr>
        <w:trPr>
          <w:trHeight w:val="139"/>
        </w:trPr>
        <w:tc>
          <w:tcPr>
            <w:tcW w:w="6500" w:type="dxa"/>
            <w:vAlign w:val="bottom"/>
            <w:vMerge w:val="continue"/>
            <w:shd w:val="clear" w:color="auto" w:fill="003595"/>
          </w:tcPr>
          <w:p>
            <w:pPr>
              <w:spacing w:after="0"/>
              <w:rPr>
                <w:sz w:val="12"/>
                <w:szCs w:val="12"/>
                <w:color w:val="auto"/>
              </w:rPr>
            </w:pPr>
          </w:p>
        </w:tc>
        <w:tc>
          <w:tcPr>
            <w:tcW w:w="1680" w:type="dxa"/>
            <w:vAlign w:val="bottom"/>
            <w:vMerge w:val="restart"/>
            <w:shd w:val="clear" w:color="auto" w:fill="003595"/>
          </w:tcPr>
          <w:p>
            <w:pPr>
              <w:jc w:val="center"/>
              <w:spacing w:after="0"/>
              <w:rPr>
                <w:sz w:val="20"/>
                <w:szCs w:val="20"/>
                <w:color w:val="auto"/>
              </w:rPr>
            </w:pPr>
            <w:r>
              <w:rPr>
                <w:rFonts w:ascii="Arial" w:cs="Arial" w:eastAsia="Arial" w:hAnsi="Arial"/>
                <w:sz w:val="18"/>
                <w:szCs w:val="18"/>
                <w:b w:val="1"/>
                <w:bCs w:val="1"/>
                <w:color w:val="FFFFFF"/>
                <w:w w:val="99"/>
              </w:rPr>
              <w:t>Granted (#)</w:t>
            </w:r>
          </w:p>
        </w:tc>
        <w:tc>
          <w:tcPr>
            <w:tcW w:w="1420" w:type="dxa"/>
            <w:vAlign w:val="bottom"/>
            <w:vMerge w:val="restart"/>
            <w:shd w:val="clear" w:color="auto" w:fill="003595"/>
          </w:tcPr>
          <w:p>
            <w:pPr>
              <w:jc w:val="center"/>
              <w:spacing w:after="0"/>
              <w:rPr>
                <w:sz w:val="20"/>
                <w:szCs w:val="20"/>
                <w:color w:val="auto"/>
              </w:rPr>
            </w:pPr>
            <w:r>
              <w:rPr>
                <w:rFonts w:ascii="Arial" w:cs="Arial" w:eastAsia="Arial" w:hAnsi="Arial"/>
                <w:sz w:val="18"/>
                <w:szCs w:val="18"/>
                <w:b w:val="1"/>
                <w:bCs w:val="1"/>
                <w:color w:val="FFFFFF"/>
                <w:w w:val="99"/>
              </w:rPr>
              <w:t>Achievement</w:t>
            </w:r>
          </w:p>
        </w:tc>
        <w:tc>
          <w:tcPr>
            <w:tcW w:w="1640" w:type="dxa"/>
            <w:vAlign w:val="bottom"/>
            <w:vMerge w:val="restart"/>
            <w:shd w:val="clear" w:color="auto" w:fill="003595"/>
          </w:tcPr>
          <w:p>
            <w:pPr>
              <w:jc w:val="center"/>
              <w:spacing w:after="0"/>
              <w:rPr>
                <w:sz w:val="20"/>
                <w:szCs w:val="20"/>
                <w:color w:val="auto"/>
              </w:rPr>
            </w:pPr>
            <w:r>
              <w:rPr>
                <w:rFonts w:ascii="Arial" w:cs="Arial" w:eastAsia="Arial" w:hAnsi="Arial"/>
                <w:sz w:val="18"/>
                <w:szCs w:val="18"/>
                <w:b w:val="1"/>
                <w:bCs w:val="1"/>
                <w:color w:val="FFFFFF"/>
              </w:rPr>
              <w:t>Achievement %</w:t>
            </w:r>
          </w:p>
        </w:tc>
        <w:tc>
          <w:tcPr>
            <w:tcW w:w="0" w:type="dxa"/>
            <w:vAlign w:val="bottom"/>
          </w:tcPr>
          <w:p>
            <w:pPr>
              <w:spacing w:after="0"/>
              <w:rPr>
                <w:sz w:val="1"/>
                <w:szCs w:val="1"/>
                <w:color w:val="auto"/>
              </w:rPr>
            </w:pPr>
          </w:p>
        </w:tc>
      </w:tr>
      <w:tr>
        <w:trPr>
          <w:trHeight w:val="123"/>
        </w:trPr>
        <w:tc>
          <w:tcPr>
            <w:tcW w:w="6500" w:type="dxa"/>
            <w:vAlign w:val="bottom"/>
            <w:shd w:val="clear" w:color="auto" w:fill="003595"/>
          </w:tcPr>
          <w:p>
            <w:pPr>
              <w:spacing w:after="0"/>
              <w:rPr>
                <w:sz w:val="10"/>
                <w:szCs w:val="10"/>
                <w:color w:val="auto"/>
              </w:rPr>
            </w:pPr>
          </w:p>
        </w:tc>
        <w:tc>
          <w:tcPr>
            <w:tcW w:w="1680" w:type="dxa"/>
            <w:vAlign w:val="bottom"/>
            <w:vMerge w:val="continue"/>
            <w:shd w:val="clear" w:color="auto" w:fill="003595"/>
          </w:tcPr>
          <w:p>
            <w:pPr>
              <w:spacing w:after="0"/>
              <w:rPr>
                <w:sz w:val="10"/>
                <w:szCs w:val="10"/>
                <w:color w:val="auto"/>
              </w:rPr>
            </w:pPr>
          </w:p>
        </w:tc>
        <w:tc>
          <w:tcPr>
            <w:tcW w:w="1420" w:type="dxa"/>
            <w:vAlign w:val="bottom"/>
            <w:vMerge w:val="continue"/>
            <w:shd w:val="clear" w:color="auto" w:fill="003595"/>
          </w:tcPr>
          <w:p>
            <w:pPr>
              <w:spacing w:after="0"/>
              <w:rPr>
                <w:sz w:val="10"/>
                <w:szCs w:val="10"/>
                <w:color w:val="auto"/>
              </w:rPr>
            </w:pPr>
          </w:p>
        </w:tc>
        <w:tc>
          <w:tcPr>
            <w:tcW w:w="1640" w:type="dxa"/>
            <w:vAlign w:val="bottom"/>
            <w:vMerge w:val="continue"/>
            <w:shd w:val="clear" w:color="auto" w:fill="003595"/>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500" w:type="dxa"/>
            <w:vAlign w:val="bottom"/>
          </w:tcPr>
          <w:p>
            <w:pPr>
              <w:ind w:left="20"/>
              <w:spacing w:after="0"/>
              <w:rPr>
                <w:sz w:val="20"/>
                <w:szCs w:val="20"/>
                <w:color w:val="auto"/>
              </w:rPr>
            </w:pPr>
            <w:r>
              <w:rPr>
                <w:rFonts w:ascii="Arial" w:cs="Arial" w:eastAsia="Arial" w:hAnsi="Arial"/>
                <w:sz w:val="16"/>
                <w:szCs w:val="16"/>
                <w:color w:val="auto"/>
              </w:rPr>
              <w:t>Paul J. Diaz</w:t>
            </w:r>
          </w:p>
        </w:tc>
        <w:tc>
          <w:tcPr>
            <w:tcW w:w="1680" w:type="dxa"/>
            <w:vAlign w:val="bottom"/>
            <w:vMerge w:val="restart"/>
          </w:tcPr>
          <w:p>
            <w:pPr>
              <w:jc w:val="center"/>
              <w:ind w:right="16"/>
              <w:spacing w:after="0"/>
              <w:rPr>
                <w:sz w:val="20"/>
                <w:szCs w:val="20"/>
                <w:color w:val="auto"/>
              </w:rPr>
            </w:pPr>
            <w:r>
              <w:rPr>
                <w:rFonts w:ascii="Arial" w:cs="Arial" w:eastAsia="Arial" w:hAnsi="Arial"/>
                <w:sz w:val="16"/>
                <w:szCs w:val="16"/>
                <w:color w:val="auto"/>
              </w:rPr>
              <w:t>197,023</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164,059</w:t>
            </w: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34"/>
        </w:trPr>
        <w:tc>
          <w:tcPr>
            <w:tcW w:w="6500" w:type="dxa"/>
            <w:vAlign w:val="bottom"/>
            <w:vMerge w:val="restart"/>
          </w:tcPr>
          <w:p>
            <w:pPr>
              <w:ind w:left="260"/>
              <w:spacing w:after="0"/>
              <w:rPr>
                <w:sz w:val="20"/>
                <w:szCs w:val="20"/>
                <w:color w:val="auto"/>
              </w:rPr>
            </w:pPr>
            <w:r>
              <w:rPr>
                <w:rFonts w:ascii="Arial" w:cs="Arial" w:eastAsia="Arial" w:hAnsi="Arial"/>
                <w:sz w:val="16"/>
                <w:szCs w:val="16"/>
                <w:color w:val="auto"/>
              </w:rPr>
              <w:t>Former President and Chief Executive Officer</w:t>
            </w:r>
          </w:p>
        </w:tc>
        <w:tc>
          <w:tcPr>
            <w:tcW w:w="16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50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6500" w:type="dxa"/>
            <w:vAlign w:val="bottom"/>
            <w:tcBorders>
              <w:bottom w:val="single" w:sz="8" w:color="003595"/>
            </w:tcBorders>
          </w:tcPr>
          <w:p>
            <w:pPr>
              <w:spacing w:after="0"/>
              <w:rPr>
                <w:sz w:val="2"/>
                <w:szCs w:val="2"/>
                <w:color w:val="auto"/>
              </w:rPr>
            </w:pPr>
          </w:p>
        </w:tc>
        <w:tc>
          <w:tcPr>
            <w:tcW w:w="1680" w:type="dxa"/>
            <w:vAlign w:val="bottom"/>
            <w:tcBorders>
              <w:bottom w:val="single" w:sz="8" w:color="003595"/>
            </w:tcBorders>
          </w:tcPr>
          <w:p>
            <w:pPr>
              <w:spacing w:after="0"/>
              <w:rPr>
                <w:sz w:val="2"/>
                <w:szCs w:val="2"/>
                <w:color w:val="auto"/>
              </w:rPr>
            </w:pPr>
          </w:p>
        </w:tc>
        <w:tc>
          <w:tcPr>
            <w:tcW w:w="1420" w:type="dxa"/>
            <w:vAlign w:val="bottom"/>
            <w:tcBorders>
              <w:bottom w:val="single" w:sz="8" w:color="003595"/>
            </w:tcBorders>
          </w:tcPr>
          <w:p>
            <w:pPr>
              <w:spacing w:after="0"/>
              <w:rPr>
                <w:sz w:val="2"/>
                <w:szCs w:val="2"/>
                <w:color w:val="auto"/>
              </w:rPr>
            </w:pPr>
          </w:p>
        </w:tc>
        <w:tc>
          <w:tcPr>
            <w:tcW w:w="164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500" w:type="dxa"/>
            <w:vAlign w:val="bottom"/>
          </w:tcPr>
          <w:p>
            <w:pPr>
              <w:ind w:left="20"/>
              <w:spacing w:after="0" w:line="182" w:lineRule="exact"/>
              <w:rPr>
                <w:sz w:val="20"/>
                <w:szCs w:val="20"/>
                <w:color w:val="auto"/>
              </w:rPr>
            </w:pPr>
            <w:r>
              <w:rPr>
                <w:rFonts w:ascii="Arial" w:cs="Arial" w:eastAsia="Arial" w:hAnsi="Arial"/>
                <w:sz w:val="16"/>
                <w:szCs w:val="16"/>
                <w:color w:val="auto"/>
              </w:rPr>
              <w:t>Benjamin R. Wheeler</w:t>
            </w:r>
          </w:p>
        </w:tc>
        <w:tc>
          <w:tcPr>
            <w:tcW w:w="1680" w:type="dxa"/>
            <w:vAlign w:val="bottom"/>
            <w:vMerge w:val="restart"/>
          </w:tcPr>
          <w:p>
            <w:pPr>
              <w:jc w:val="center"/>
              <w:ind w:right="16"/>
              <w:spacing w:after="0"/>
              <w:rPr>
                <w:sz w:val="20"/>
                <w:szCs w:val="20"/>
                <w:color w:val="auto"/>
              </w:rPr>
            </w:pPr>
            <w:r>
              <w:rPr>
                <w:rFonts w:ascii="Arial" w:cs="Arial" w:eastAsia="Arial" w:hAnsi="Arial"/>
                <w:sz w:val="16"/>
                <w:szCs w:val="16"/>
                <w:color w:val="auto"/>
              </w:rPr>
              <w:t>6,000</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4,994</w:t>
            </w: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34"/>
        </w:trPr>
        <w:tc>
          <w:tcPr>
            <w:tcW w:w="6500" w:type="dxa"/>
            <w:vAlign w:val="bottom"/>
            <w:vMerge w:val="restart"/>
          </w:tcPr>
          <w:p>
            <w:pPr>
              <w:ind w:left="260"/>
              <w:spacing w:after="0"/>
              <w:rPr>
                <w:sz w:val="20"/>
                <w:szCs w:val="20"/>
                <w:color w:val="auto"/>
              </w:rPr>
            </w:pPr>
            <w:r>
              <w:rPr>
                <w:rFonts w:ascii="Arial" w:cs="Arial" w:eastAsia="Arial" w:hAnsi="Arial"/>
                <w:sz w:val="16"/>
                <w:szCs w:val="16"/>
                <w:color w:val="auto"/>
              </w:rPr>
              <w:t>Chief Financial Officer</w:t>
            </w:r>
          </w:p>
        </w:tc>
        <w:tc>
          <w:tcPr>
            <w:tcW w:w="16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50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6500" w:type="dxa"/>
            <w:vAlign w:val="bottom"/>
            <w:tcBorders>
              <w:bottom w:val="single" w:sz="8" w:color="003595"/>
            </w:tcBorders>
          </w:tcPr>
          <w:p>
            <w:pPr>
              <w:spacing w:after="0"/>
              <w:rPr>
                <w:sz w:val="2"/>
                <w:szCs w:val="2"/>
                <w:color w:val="auto"/>
              </w:rPr>
            </w:pPr>
          </w:p>
        </w:tc>
        <w:tc>
          <w:tcPr>
            <w:tcW w:w="1680" w:type="dxa"/>
            <w:vAlign w:val="bottom"/>
            <w:tcBorders>
              <w:bottom w:val="single" w:sz="8" w:color="003595"/>
            </w:tcBorders>
          </w:tcPr>
          <w:p>
            <w:pPr>
              <w:spacing w:after="0"/>
              <w:rPr>
                <w:sz w:val="2"/>
                <w:szCs w:val="2"/>
                <w:color w:val="auto"/>
              </w:rPr>
            </w:pPr>
          </w:p>
        </w:tc>
        <w:tc>
          <w:tcPr>
            <w:tcW w:w="1420" w:type="dxa"/>
            <w:vAlign w:val="bottom"/>
            <w:tcBorders>
              <w:bottom w:val="single" w:sz="8" w:color="003595"/>
            </w:tcBorders>
          </w:tcPr>
          <w:p>
            <w:pPr>
              <w:spacing w:after="0"/>
              <w:rPr>
                <w:sz w:val="2"/>
                <w:szCs w:val="2"/>
                <w:color w:val="auto"/>
              </w:rPr>
            </w:pPr>
          </w:p>
        </w:tc>
        <w:tc>
          <w:tcPr>
            <w:tcW w:w="164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500" w:type="dxa"/>
            <w:vAlign w:val="bottom"/>
          </w:tcPr>
          <w:p>
            <w:pPr>
              <w:ind w:left="20"/>
              <w:spacing w:after="0" w:line="182" w:lineRule="exact"/>
              <w:rPr>
                <w:sz w:val="20"/>
                <w:szCs w:val="20"/>
                <w:color w:val="auto"/>
              </w:rPr>
            </w:pPr>
            <w:r>
              <w:rPr>
                <w:rFonts w:ascii="Arial" w:cs="Arial" w:eastAsia="Arial" w:hAnsi="Arial"/>
                <w:sz w:val="16"/>
                <w:szCs w:val="16"/>
                <w:color w:val="auto"/>
              </w:rPr>
              <w:t>Mark S. Verratti</w:t>
            </w:r>
          </w:p>
        </w:tc>
        <w:tc>
          <w:tcPr>
            <w:tcW w:w="1680" w:type="dxa"/>
            <w:vAlign w:val="bottom"/>
            <w:vMerge w:val="restart"/>
          </w:tcPr>
          <w:p>
            <w:pPr>
              <w:jc w:val="center"/>
              <w:ind w:right="16"/>
              <w:spacing w:after="0"/>
              <w:rPr>
                <w:sz w:val="20"/>
                <w:szCs w:val="20"/>
                <w:color w:val="auto"/>
              </w:rPr>
            </w:pPr>
            <w:r>
              <w:rPr>
                <w:rFonts w:ascii="Arial" w:cs="Arial" w:eastAsia="Arial" w:hAnsi="Arial"/>
                <w:sz w:val="16"/>
                <w:szCs w:val="16"/>
                <w:color w:val="auto"/>
              </w:rPr>
              <w:t>39,404</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32,810</w:t>
            </w: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34"/>
        </w:trPr>
        <w:tc>
          <w:tcPr>
            <w:tcW w:w="6500" w:type="dxa"/>
            <w:vAlign w:val="bottom"/>
            <w:vMerge w:val="restart"/>
          </w:tcPr>
          <w:p>
            <w:pPr>
              <w:ind w:left="260"/>
              <w:spacing w:after="0"/>
              <w:rPr>
                <w:sz w:val="20"/>
                <w:szCs w:val="20"/>
                <w:color w:val="auto"/>
              </w:rPr>
            </w:pPr>
            <w:r>
              <w:rPr>
                <w:rFonts w:ascii="Arial" w:cs="Arial" w:eastAsia="Arial" w:hAnsi="Arial"/>
                <w:sz w:val="16"/>
                <w:szCs w:val="16"/>
                <w:color w:val="auto"/>
              </w:rPr>
              <w:t>Chief Operating Officer</w:t>
            </w:r>
          </w:p>
        </w:tc>
        <w:tc>
          <w:tcPr>
            <w:tcW w:w="16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50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6500" w:type="dxa"/>
            <w:vAlign w:val="bottom"/>
            <w:tcBorders>
              <w:bottom w:val="single" w:sz="8" w:color="003595"/>
            </w:tcBorders>
          </w:tcPr>
          <w:p>
            <w:pPr>
              <w:spacing w:after="0"/>
              <w:rPr>
                <w:sz w:val="2"/>
                <w:szCs w:val="2"/>
                <w:color w:val="auto"/>
              </w:rPr>
            </w:pPr>
          </w:p>
        </w:tc>
        <w:tc>
          <w:tcPr>
            <w:tcW w:w="1680" w:type="dxa"/>
            <w:vAlign w:val="bottom"/>
            <w:tcBorders>
              <w:bottom w:val="single" w:sz="8" w:color="003595"/>
            </w:tcBorders>
          </w:tcPr>
          <w:p>
            <w:pPr>
              <w:spacing w:after="0"/>
              <w:rPr>
                <w:sz w:val="2"/>
                <w:szCs w:val="2"/>
                <w:color w:val="auto"/>
              </w:rPr>
            </w:pPr>
          </w:p>
        </w:tc>
        <w:tc>
          <w:tcPr>
            <w:tcW w:w="1420" w:type="dxa"/>
            <w:vAlign w:val="bottom"/>
            <w:tcBorders>
              <w:bottom w:val="single" w:sz="8" w:color="003595"/>
            </w:tcBorders>
          </w:tcPr>
          <w:p>
            <w:pPr>
              <w:spacing w:after="0"/>
              <w:rPr>
                <w:sz w:val="2"/>
                <w:szCs w:val="2"/>
                <w:color w:val="auto"/>
              </w:rPr>
            </w:pPr>
          </w:p>
        </w:tc>
        <w:tc>
          <w:tcPr>
            <w:tcW w:w="164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500" w:type="dxa"/>
            <w:vAlign w:val="bottom"/>
          </w:tcPr>
          <w:p>
            <w:pPr>
              <w:ind w:left="20"/>
              <w:spacing w:after="0" w:line="182" w:lineRule="exact"/>
              <w:rPr>
                <w:sz w:val="20"/>
                <w:szCs w:val="20"/>
                <w:color w:val="auto"/>
              </w:rPr>
            </w:pPr>
            <w:r>
              <w:rPr>
                <w:rFonts w:ascii="Arial" w:cs="Arial" w:eastAsia="Arial" w:hAnsi="Arial"/>
                <w:sz w:val="16"/>
                <w:szCs w:val="16"/>
                <w:color w:val="auto"/>
              </w:rPr>
              <w:t>Dale Muzzey, Ph.D.</w:t>
            </w:r>
          </w:p>
        </w:tc>
        <w:tc>
          <w:tcPr>
            <w:tcW w:w="1680" w:type="dxa"/>
            <w:vAlign w:val="bottom"/>
            <w:vMerge w:val="restart"/>
          </w:tcPr>
          <w:p>
            <w:pPr>
              <w:jc w:val="center"/>
              <w:ind w:right="16"/>
              <w:spacing w:after="0"/>
              <w:rPr>
                <w:sz w:val="20"/>
                <w:szCs w:val="20"/>
                <w:color w:val="auto"/>
              </w:rPr>
            </w:pPr>
            <w:r>
              <w:rPr>
                <w:rFonts w:ascii="Arial" w:cs="Arial" w:eastAsia="Arial" w:hAnsi="Arial"/>
                <w:sz w:val="16"/>
                <w:szCs w:val="16"/>
                <w:color w:val="auto"/>
              </w:rPr>
              <w:t>28,459</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23,697</w:t>
            </w: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34"/>
        </w:trPr>
        <w:tc>
          <w:tcPr>
            <w:tcW w:w="6500" w:type="dxa"/>
            <w:vAlign w:val="bottom"/>
            <w:vMerge w:val="restart"/>
          </w:tcPr>
          <w:p>
            <w:pPr>
              <w:ind w:left="260"/>
              <w:spacing w:after="0"/>
              <w:rPr>
                <w:sz w:val="20"/>
                <w:szCs w:val="20"/>
                <w:color w:val="auto"/>
              </w:rPr>
            </w:pPr>
            <w:r>
              <w:rPr>
                <w:rFonts w:ascii="Arial" w:cs="Arial" w:eastAsia="Arial" w:hAnsi="Arial"/>
                <w:sz w:val="16"/>
                <w:szCs w:val="16"/>
                <w:color w:val="auto"/>
              </w:rPr>
              <w:t>Chief Scientific Officer</w:t>
            </w:r>
          </w:p>
        </w:tc>
        <w:tc>
          <w:tcPr>
            <w:tcW w:w="16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50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6500" w:type="dxa"/>
            <w:vAlign w:val="bottom"/>
            <w:tcBorders>
              <w:bottom w:val="single" w:sz="8" w:color="003595"/>
            </w:tcBorders>
          </w:tcPr>
          <w:p>
            <w:pPr>
              <w:spacing w:after="0"/>
              <w:rPr>
                <w:sz w:val="2"/>
                <w:szCs w:val="2"/>
                <w:color w:val="auto"/>
              </w:rPr>
            </w:pPr>
          </w:p>
        </w:tc>
        <w:tc>
          <w:tcPr>
            <w:tcW w:w="1680" w:type="dxa"/>
            <w:vAlign w:val="bottom"/>
            <w:tcBorders>
              <w:bottom w:val="single" w:sz="8" w:color="003595"/>
            </w:tcBorders>
          </w:tcPr>
          <w:p>
            <w:pPr>
              <w:spacing w:after="0"/>
              <w:rPr>
                <w:sz w:val="2"/>
                <w:szCs w:val="2"/>
                <w:color w:val="auto"/>
              </w:rPr>
            </w:pPr>
          </w:p>
        </w:tc>
        <w:tc>
          <w:tcPr>
            <w:tcW w:w="1420" w:type="dxa"/>
            <w:vAlign w:val="bottom"/>
            <w:tcBorders>
              <w:bottom w:val="single" w:sz="8" w:color="003595"/>
            </w:tcBorders>
          </w:tcPr>
          <w:p>
            <w:pPr>
              <w:spacing w:after="0"/>
              <w:rPr>
                <w:sz w:val="2"/>
                <w:szCs w:val="2"/>
                <w:color w:val="auto"/>
              </w:rPr>
            </w:pPr>
          </w:p>
        </w:tc>
        <w:tc>
          <w:tcPr>
            <w:tcW w:w="164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500" w:type="dxa"/>
            <w:vAlign w:val="bottom"/>
          </w:tcPr>
          <w:p>
            <w:pPr>
              <w:ind w:left="20"/>
              <w:spacing w:after="0" w:line="182" w:lineRule="exact"/>
              <w:rPr>
                <w:sz w:val="20"/>
                <w:szCs w:val="20"/>
                <w:color w:val="auto"/>
              </w:rPr>
            </w:pPr>
            <w:r>
              <w:rPr>
                <w:rFonts w:ascii="Arial" w:cs="Arial" w:eastAsia="Arial" w:hAnsi="Arial"/>
                <w:sz w:val="16"/>
                <w:szCs w:val="16"/>
                <w:color w:val="auto"/>
              </w:rPr>
              <w:t>Margaret Ancona</w:t>
            </w:r>
          </w:p>
        </w:tc>
        <w:tc>
          <w:tcPr>
            <w:tcW w:w="1680" w:type="dxa"/>
            <w:vAlign w:val="bottom"/>
            <w:vMerge w:val="restart"/>
          </w:tcPr>
          <w:p>
            <w:pPr>
              <w:jc w:val="center"/>
              <w:ind w:right="16"/>
              <w:spacing w:after="0"/>
              <w:rPr>
                <w:sz w:val="20"/>
                <w:szCs w:val="20"/>
                <w:color w:val="auto"/>
              </w:rPr>
            </w:pPr>
            <w:r>
              <w:rPr>
                <w:rFonts w:ascii="Arial" w:cs="Arial" w:eastAsia="Arial" w:hAnsi="Arial"/>
                <w:sz w:val="16"/>
                <w:szCs w:val="16"/>
                <w:color w:val="auto"/>
              </w:rPr>
              <w:t>16,418</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13,670</w:t>
            </w: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34"/>
        </w:trPr>
        <w:tc>
          <w:tcPr>
            <w:tcW w:w="6500" w:type="dxa"/>
            <w:vAlign w:val="bottom"/>
            <w:vMerge w:val="restart"/>
          </w:tcPr>
          <w:p>
            <w:pPr>
              <w:ind w:left="260"/>
              <w:spacing w:after="0"/>
              <w:rPr>
                <w:sz w:val="20"/>
                <w:szCs w:val="20"/>
                <w:color w:val="auto"/>
              </w:rPr>
            </w:pPr>
            <w:r>
              <w:rPr>
                <w:rFonts w:ascii="Arial" w:cs="Arial" w:eastAsia="Arial" w:hAnsi="Arial"/>
                <w:sz w:val="16"/>
                <w:szCs w:val="16"/>
                <w:color w:val="auto"/>
              </w:rPr>
              <w:t>Former EVP, Strategy and Transformation</w:t>
            </w:r>
          </w:p>
        </w:tc>
        <w:tc>
          <w:tcPr>
            <w:tcW w:w="16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50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6500" w:type="dxa"/>
            <w:vAlign w:val="bottom"/>
            <w:tcBorders>
              <w:bottom w:val="single" w:sz="8" w:color="003595"/>
            </w:tcBorders>
          </w:tcPr>
          <w:p>
            <w:pPr>
              <w:spacing w:after="0"/>
              <w:rPr>
                <w:sz w:val="2"/>
                <w:szCs w:val="2"/>
                <w:color w:val="auto"/>
              </w:rPr>
            </w:pPr>
          </w:p>
        </w:tc>
        <w:tc>
          <w:tcPr>
            <w:tcW w:w="1680" w:type="dxa"/>
            <w:vAlign w:val="bottom"/>
            <w:tcBorders>
              <w:bottom w:val="single" w:sz="8" w:color="003595"/>
            </w:tcBorders>
          </w:tcPr>
          <w:p>
            <w:pPr>
              <w:spacing w:after="0"/>
              <w:rPr>
                <w:sz w:val="2"/>
                <w:szCs w:val="2"/>
                <w:color w:val="auto"/>
              </w:rPr>
            </w:pPr>
          </w:p>
        </w:tc>
        <w:tc>
          <w:tcPr>
            <w:tcW w:w="1420" w:type="dxa"/>
            <w:vAlign w:val="bottom"/>
            <w:tcBorders>
              <w:bottom w:val="single" w:sz="8" w:color="003595"/>
            </w:tcBorders>
          </w:tcPr>
          <w:p>
            <w:pPr>
              <w:spacing w:after="0"/>
              <w:rPr>
                <w:sz w:val="2"/>
                <w:szCs w:val="2"/>
                <w:color w:val="auto"/>
              </w:rPr>
            </w:pPr>
          </w:p>
        </w:tc>
        <w:tc>
          <w:tcPr>
            <w:tcW w:w="164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Other Compensation</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u w:val="single" w:color="auto"/>
          <w:color w:val="auto"/>
        </w:rPr>
        <w:t>Initial Equity Awards</w:t>
      </w:r>
      <w:r>
        <w:rPr>
          <w:rFonts w:ascii="Arial" w:cs="Arial" w:eastAsia="Arial" w:hAnsi="Arial"/>
          <w:sz w:val="16"/>
          <w:szCs w:val="16"/>
          <w:color w:val="auto"/>
        </w:rPr>
        <w:t>. Executive officers are often granted equity in the form of restricted stock unit awards when he or she joins us. The amount of the initial restricted stock unit award is determined based on the executive officer’s position, analysis of the competitive practices and compensation benchmark data, and consideration of the value of any outstanding equity awards forfeited by the executive upon leaving a prior employer to join us. Generally, each initial equity award vests in equal portions on an annual basis over four years. In connection with Mr. Donnelly joining us as our Chief Commercial Officer, on May 1, 2025, he received an initial equity award of (i) 269,905 RSUs, which vest in four equal annual installments beginning on the first anniversary of the grant date and (ii) 236,167 PSUs, which vest based on the achievement of specified stock price milestones, provided that no portion of these PSUs may vest earlier than May 1, 2026, and all vesting of the RSUs and PSUs is subject to Mr. Donnelly's continued service through the applicable vesting date. The PSUs have a market condition and are valued using a Monte Carlo valuation model which resulted in a weighted-average value of $5.58.</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u w:val="single" w:color="auto"/>
          <w:color w:val="auto"/>
        </w:rPr>
        <w:t>Promotion-Related Equity Awards</w:t>
      </w:r>
      <w:r>
        <w:rPr>
          <w:rFonts w:ascii="Arial" w:cs="Arial" w:eastAsia="Arial" w:hAnsi="Arial"/>
          <w:sz w:val="16"/>
          <w:szCs w:val="16"/>
          <w:color w:val="auto"/>
        </w:rPr>
        <w:t>. Executive officers may also be granted equity awards in connection with a promotion to a position of increased responsibility or a significant change in role. Similar to our initial equity awards, the size of these promotional grants is determined based on the executive officer’s new position and an analysis of competitive market data for comparable roles within our peer group. These awards are intended to ensure that the executive’s total compensation package remains competitive, reflects their expanded leadership scope, and provides a strong retention incentive as they transition into their new responsibilities. Unless otherwise determined by the CHCC, these awards typically follow a multi-year vesting schedule to further align the executive's interests with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51" w:name="page52"/>
    <w:bookmarkEnd w:id="51"/>
    <w:p>
      <w:pPr>
        <w:jc w:val="both"/>
        <w:spacing w:after="0" w:line="245" w:lineRule="auto"/>
        <w:rPr>
          <w:sz w:val="20"/>
          <w:szCs w:val="20"/>
          <w:color w:val="auto"/>
        </w:rPr>
      </w:pPr>
      <w:r>
        <w:rPr>
          <w:rFonts w:ascii="Arial" w:cs="Arial" w:eastAsia="Arial" w:hAnsi="Arial"/>
          <w:sz w:val="16"/>
          <w:szCs w:val="16"/>
          <w:color w:val="auto"/>
        </w:rPr>
        <w:t>On April 30, 2025, in connection with his promotion to Chief Executive Officer, Mr. Raha received an equity award of 141,050 PSUs, which vest based on the achievement of specified stock price milestones. The PSUs have a market condition and are valued using a Monte Carlo valuation model which resulted in a weighted-average value of $5.58. On April 30, 2025, in connection with his promotion to Chief Operating Officer, Mr. Verratti received an award of 105,785 PSUs, which vest based on the achievement of specified stock price milestones. These PSUs have a market condition and are valued using a Monte Carlo valuation model which resulted in a weighted-average value of $5.58. In accordance with the terms of these grants, no portion of these PSUs may vest earlier than April 30, 2026, and all vesting is subject to the executive's continued service through the applicable vesting date. As disclosed above under "Long-Term Incentive Awards", on August 16, 2025, in connection with his promotion to Chief Financial Officer, Mr. Wheeler received an initial one-time grant of (i) 60,000 RSUs and (ii) 60,000 PSUs. Mr. Wheeler's RSUs are scheduled to vest in three equal installments beginning on the first anniversary of the grant date, subject to Mr. Wheeler's continued service through each vesting date. The grant date fair value of these RSUs was $5.71 per share, representing the closing price of our common stock on the Nasdaq Global Select Market on the date of grant. Mr. Wheeler's PSUs are subject to vesting upon meeting the performance metrics and time-based vesting conditions as set forth by the CHCC. Any PSUs actually earned shall vest on March 13, 2028, subject to his continued service through such vesting date. The PSUs are based on a weighted-average value per award of $5.96 (67% of the PSUs have a performance condition based on the closing price of our common stock on the Nasdaq Global Select Market on August 16, 2025 of $5.71 and the other 33% of the PSUs have a market condition and are valued using a Monte Carlo valuation model which resulted in a value of $6.46).</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u w:val="single" w:color="auto"/>
          <w:color w:val="auto"/>
        </w:rPr>
        <w:t>Benefits; Other Compensation</w:t>
      </w:r>
      <w:r>
        <w:rPr>
          <w:rFonts w:ascii="Arial" w:cs="Arial" w:eastAsia="Arial" w:hAnsi="Arial"/>
          <w:sz w:val="16"/>
          <w:szCs w:val="16"/>
          <w:color w:val="auto"/>
        </w:rPr>
        <w:t>. We maintain broad-based benefits that are provided to all employees, including health and dental insurance, life and disability insurance, and a 401(k) plan. Additionally, we may provide other benefits to new executive officers such as a relocation package or other related compensation as determined on a case-by-case basis. For example, during 2025, Mr. Donnelly received paid commuting expenses of $3,598, and prior to their respective departures from the Company, Mr. Diaz, Mr. Leffler, and Ms. Ancona received paid commuting expenses of $5,557, $20,238, and $6,422 respectively. Mr. Diaz also received $250,000 in consulting fees pursuant to Mr. Diaz's consulting agreement, which is described in more detail below.</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u w:val="single" w:color="auto"/>
          <w:color w:val="auto"/>
        </w:rPr>
        <w:t>Separation Payments</w:t>
      </w:r>
      <w:r>
        <w:rPr>
          <w:rFonts w:ascii="Arial" w:cs="Arial" w:eastAsia="Arial" w:hAnsi="Arial"/>
          <w:sz w:val="16"/>
          <w:szCs w:val="16"/>
          <w:color w:val="auto"/>
        </w:rPr>
        <w:t>. We may provide certain compensation benefits in connection with the retirement or departure of our executive officers based on their accomplishments and tenure of employment with us, in connection with their continued role with us following the end of their employment to ensure a smooth transition of their duties, as consideration for them agreeing to a customary release of claims and certain restrictive covenants, and if required to do so by the terms of their severance agreements.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February 24, 2025, Mr. Diaz announced that he would step down as President and Chief Executive Officer, and resigned from our Board, in each case, effective as of April 30, 2025 (the "Transition Effective Date"). In connection with Mr. Diaz's voluntary resignation, we entered into a Consulting Agreement with Mr. Diaz (the "Diaz Consulting Agreement"), pursuant to which Mr. Diaz agreed to serve as an advisor to us for one year following the Transition Effective Date to help ensure a smooth transition of his duties. Under the Diaz Consulting Agreement, in consideration for, among other things, his consulting services, his compliance with certain restrictive covenants, including customary non-compete, non-solicitation and non-disparagement provisions, and a typical release of claims, Mr. Diaz received a consulting fee of $375,000 (payable in 12 equal monthly installments over the consulting term) and each of Mr. Diaz's outstanding equity awards remain eligible for vesting or exercise in accordance with their respective terms through the end of the consulting term.</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August 15, 2025, Mr. Leffler ceased to serve as Chief Financial Officer of the Company, and departed the Company on September 2, 2025 (the "Leffler Separation Date"). In connection with his departure, Mr. Leffler did not receive any additional compensation beyond what he was otherwise entitled to under the standard terms of our executive severance agreements in connection with an involuntary termination without cause. On October 1, 2025, in connection with his termination, we entered into a Separation Agreement and Release of Claims Agreement (the "Leffler Separation Agreement") with Mr. Leffler, details of which are disclosed below and in the Current Report on Form 8-K filed by us on October 7, 2025.</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Further, on November 3, 2025, Ms. Ancona ceased to serve as Executive Vice President, Strategy and Transformation and departed from the Company. In connection with her departure, Ms. Ancona did not receive any additional compensation beyond what she was entitled to under the standard terms of our executive severance agreements in connection with an involuntary termination without cause. Consistent with our severance practices, we entered into a Separation Agreement and Release of Claims Agreement (the "Ancona Separation Agreement") with Ms. Ancona on November 5, 2025, details of which are described below.</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terms of the Diaz Consulting Agreement, the Leffler Separation Agreement and the Ancona Separation Agreement are set forth in more detail under "Narrative Disclosure to Summary Compensation Table and 2025 Grants of Plan-Based Awards Table" later in this proxy statement section.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Compensation Objectives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The primary objectives of our CHCC in establishing and maintaining our executive compensation programs are to:</w:t>
      </w:r>
    </w:p>
    <w:p>
      <w:pPr>
        <w:spacing w:after="0" w:line="248"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Attract and retain the best possible executive talent;</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Motivate our executive officers to enhance our growth and profitability;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Increase long-term stockholder value; and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2" w:name="page53"/>
    <w:bookmarkEnd w:id="52"/>
    <w:p>
      <w:pPr>
        <w:ind w:left="660" w:hanging="328"/>
        <w:spacing w:after="0" w:line="286"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Reward the executive officers for their contribution to our growth, profitability and increased stockholder value through the recognition of individual leadership, initiatives, achievements and other contributions.</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specific directives of the CHCC are to provide appropriate short- and long-term compensation and incentives, in the form of cash and equity, that motivate and reward the accomplishment of individual and corporate objectives and that align executive officer compensation with the creation of stockholder value. Though the greater weight in determining executive compensation will be given to objective financial metrics and Company performance, such as revenue, adjusted operating income, adjusted EPS, and relative total stockholder return, the CHCC has adopted and implemented a compensation plan where our executive officers’ short-term incentive award is based in part on a variety of factors set forth in individual strategic goals.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Role of Management in Our Compensation Program</w:t>
      </w:r>
    </w:p>
    <w:p>
      <w:pPr>
        <w:spacing w:after="0" w:line="24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management, including our Chief Executive Officer, supports the CHCC, attends portions of its meetings upon request, and performs various administrative functions at its request. Our Chief Executive Officer provides input to the CHCC on the effectiveness of our compensation program and makes specific recommendations as to the base salary amounts, short-term incentive award amounts, and equity incentive awards for the executive officers, other than for himself. At the end of each calendar year, our Chief Executive Officer evaluates the annual performance of each of our executive officers, including an assessment of the accomplishment of each executive officer’s individual strategic goals, and submits his calculations and recommendations to the CHCC which then determines a short-term incentive award amount for the concluding year, the base salary amount for the ensuing year, and long-term equity incentive compensation for each of the executive officers. The CHCC makes its review and determinations of the Chief Executive Officer's base salary, short-term incentive award, and long-term equity incentive compensation without any recommendations from him. Our Chief Executive Officer is excused from all meetings, and is not present, where decisions pertaining to his compensation are discussed, determined and approved by the CHCC.</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Termination and Change-of-Control-Based Compensation</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address the possibility of a change of control of the Company, or an abrupt termination for business necessity, and the potential that the uncertainty and questions such possibility may raise among key personnel could result in the departure or distraction of key personnel to the detriment of us and our stockholders, we entered into a Severance and Change of Control Agreement with each of our executive officers. The terms of the Severance and Change of Control Agreements include:</w:t>
      </w:r>
    </w:p>
    <w:p>
      <w:pPr>
        <w:spacing w:after="0" w:line="210"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change in ownership threshold required to constitute a change of control is 50%;</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Double-trigger vesting (</w:t>
      </w:r>
      <w:r>
        <w:rPr>
          <w:rFonts w:ascii="Arial" w:cs="Arial" w:eastAsia="Arial" w:hAnsi="Arial"/>
          <w:sz w:val="16"/>
          <w:szCs w:val="16"/>
          <w:i w:val="1"/>
          <w:iCs w:val="1"/>
          <w:color w:val="auto"/>
        </w:rPr>
        <w:t>i.e.</w:t>
      </w:r>
      <w:r>
        <w:rPr>
          <w:rFonts w:ascii="Arial" w:cs="Arial" w:eastAsia="Arial" w:hAnsi="Arial"/>
          <w:sz w:val="16"/>
          <w:szCs w:val="16"/>
          <w:color w:val="auto"/>
        </w:rPr>
        <w:t xml:space="preserve">, change of control </w:t>
      </w:r>
      <w:r>
        <w:rPr>
          <w:rFonts w:ascii="Arial" w:cs="Arial" w:eastAsia="Arial" w:hAnsi="Arial"/>
          <w:sz w:val="16"/>
          <w:szCs w:val="16"/>
          <w:i w:val="1"/>
          <w:iCs w:val="1"/>
          <w:color w:val="auto"/>
        </w:rPr>
        <w:t>and</w:t>
      </w:r>
      <w:r>
        <w:rPr>
          <w:rFonts w:ascii="Arial" w:cs="Arial" w:eastAsia="Arial" w:hAnsi="Arial"/>
          <w:sz w:val="16"/>
          <w:szCs w:val="16"/>
          <w:color w:val="auto"/>
        </w:rPr>
        <w:t xml:space="preserve"> termination required for accelerated vesting and cash severance benefits);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 of control severance payments of 1X salary and bonus (except, in the case of Mr. Raha, 2X salary and bonus);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Benefit (COBRA) payments for a maximum of 12 months (except, in the case of Mr. Raha, 18 months); and</w:t>
      </w:r>
    </w:p>
    <w:p>
      <w:pPr>
        <w:spacing w:after="0" w:line="248"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Severance payments (1X salary and bonus) (except, in the case of Mr. Raha, 2X salary and bonus) and equity acceleration (two years of vesting) upon a termination without "Cause" or for "Good Reason" </w:t>
      </w:r>
      <w:r>
        <w:rPr>
          <w:rFonts w:ascii="Arial" w:cs="Arial" w:eastAsia="Arial" w:hAnsi="Arial"/>
          <w:sz w:val="16"/>
          <w:szCs w:val="16"/>
          <w:i w:val="1"/>
          <w:iCs w:val="1"/>
          <w:color w:val="auto"/>
        </w:rPr>
        <w:t>not</w:t>
      </w:r>
      <w:r>
        <w:rPr>
          <w:rFonts w:ascii="Arial" w:cs="Arial" w:eastAsia="Arial" w:hAnsi="Arial"/>
          <w:sz w:val="16"/>
          <w:szCs w:val="16"/>
          <w:color w:val="auto"/>
        </w:rPr>
        <w:t xml:space="preserve"> in connection with a change of control.</w:t>
      </w:r>
    </w:p>
    <w:p>
      <w:pPr>
        <w:spacing w:after="0" w:line="183"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We believe that the terms of our Severance and Change of Control Agreements are consistent with those maintained by others in our industry and therefore are important for attracting and retaining key executive officers who are critical to our long-term success. The potential benefits provided under the Severance and Change of Control Agreements are in addition to the current compensation arrangements we have with our executive officers.</w:t>
      </w: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 the payments each of our NEOs is entitled to receive upon termination, including termination incident to a change of control, see “Potential Payments Upon Termination or Change of Control” later in this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Risk Assessment and Mitigation</w:t>
      </w:r>
    </w:p>
    <w:p>
      <w:pPr>
        <w:spacing w:after="0" w:line="24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CHCC has conducted an annual risk assessment of our compensation policies and practices for our employees and concluded that our policies and practices do not create risks that are reasonably likely to have a material adverse effect on the Company. The CHCC conducted its latest assessment in March 2026. For this purpose, we considered the compensation structure of the Company for its employees including executive officers, which is based on an annual salary, annual bonus (for bonus-eligible employees), sales commissions and bonuses (for sales staff and managers), and equity incentive compensation in the form of restricted stock unit grants. We do not believe that we offer any short-term incentives that would reasonably be expected to result in high-risk actions or conduct by our employees. For example, incentive compensation for executive officers in the form of an annual cash bonus are based on a predetermined formula and management objectives approved by the CHCC and is subject to a cap. In addition, annual cash bonus payments are based upon a variety of performance metrics, thereby diversifying the risk associated with any single performance indicator. There is no unique operational division or group of employees who are specially compensated, or who, as a group, are responsible for a material portion of our revenues or profits. We do not believe that the awarding of long-term incentive compensation under our equity incentive compensation in the form of restricted stock units creates any undue compensation risks to the Company. Our long-term equity compensation awards have performance or vesting periods of three or four years, which encourages executive officers to focus on the long-term performance of the Company and its stock price. Additionally, we believe that we have appropriate internal controls that support the accurate and timely recognition of Company revenues. Accordingly, we believe that we have a balanced pay and performance program that does not promote undue or excessive risk taking.</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3" w:name="page54"/>
    <w:bookmarkEnd w:id="53"/>
    <w:p>
      <w:pPr>
        <w:jc w:val="both"/>
        <w:spacing w:after="0" w:line="257" w:lineRule="auto"/>
        <w:rPr>
          <w:sz w:val="20"/>
          <w:szCs w:val="20"/>
          <w:color w:val="auto"/>
        </w:rPr>
      </w:pPr>
      <w:r>
        <w:rPr>
          <w:rFonts w:ascii="Arial" w:cs="Arial" w:eastAsia="Arial" w:hAnsi="Arial"/>
          <w:sz w:val="16"/>
          <w:szCs w:val="16"/>
          <w:u w:val="single" w:color="auto"/>
          <w:color w:val="auto"/>
        </w:rPr>
        <w:t>Clawback Policy</w:t>
      </w:r>
      <w:r>
        <w:rPr>
          <w:rFonts w:ascii="Arial" w:cs="Arial" w:eastAsia="Arial" w:hAnsi="Arial"/>
          <w:sz w:val="16"/>
          <w:szCs w:val="16"/>
          <w:color w:val="auto"/>
        </w:rPr>
        <w:t>. On September 21, 2023, our Board adopted a Clawback Policy to comply with the clawback rules and listing standards promulgated by the SEC and Nasdaq Global Select Market, respectively. The Clawback Policy requires the recoupment of certain executive compensation in the event of an accounting restatement resulting from material noncompliance with financial reporting requirements under the federal securities laws, including any required accounting restatement to correct an error in previously issued financial statements that (i) is material to the previously issued financial statements or (ii) is not material to previously issued financial statements, but that would result in a material misstatement if the error were corrected in the current period or left uncorrected in the current period. We are required to seek reimbursement or forfeiture of any excess incentive-based compensation received by a current or former executive officer during the three completed calendar years immediately preceding the date on which we are required to prepare the accounting restatement. The amount of incentive-based compensation subject to recovery is the amount the covered executive received in excess of the amount of incentive-based compensation that would have been paid to the covered executive had it been based on the restated financial statements, as determined by our Board or the CHCC. Incentive-based compensation includes any compensation that is granted, earned, or vested based wholly or in part upon the attainment of any financial reporting measures that are determined and presented in accordance with the accounting principles used in preparing our financial statements and any measures derived wholly or in part from such measures, as well as non-GAAP measures, stock price, and total stockholder return. Incentive-based compensation may also include annual cash bonuses and time-based and performance-based restricted stock units.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Insider Trading Policy and Policy Regarding Hedging and Other Prohibited Transactions</w:t>
      </w:r>
      <w:r>
        <w:rPr>
          <w:rFonts w:ascii="Times New Roman" w:cs="Times New Roman" w:eastAsia="Times New Roman" w:hAnsi="Times New Roman"/>
          <w:sz w:val="19"/>
          <w:szCs w:val="19"/>
          <w:color w:val="auto"/>
        </w:rPr>
        <w:t>.</w:t>
      </w:r>
      <w:r>
        <w:rPr>
          <w:rFonts w:ascii="Arial" w:cs="Arial" w:eastAsia="Arial" w:hAnsi="Arial"/>
          <w:sz w:val="16"/>
          <w:szCs w:val="16"/>
          <w:color w:val="auto"/>
        </w:rPr>
        <w:t xml:space="preserve"> Our Board has adopted an Insider Trading Policy (the "Insider</w:t>
      </w:r>
    </w:p>
    <w:p>
      <w:pPr>
        <w:spacing w:after="0" w:line="3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Trading Policy") that applies to all trading or other transactions involving or related to our securities by our directors, officers, and employees and their related persons. Our Insider Trading Policy, among other things, prohibits insiders who are aware of material nonpublic information from transacting in our securities and recommending that others engage in transactions in our securities. We believe that our Insider Trading Policy is reasonably designed to promote compliance with insider trading laws. A copy of our Insider Trading Policy has been filed as Exhibit 19 to our Annual Report on Form 10-K for the year ended December 31, 2025.</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Our Insider Trading Policy also provides that no director, officer, or employee may engage in any of the following activities with respect to our securities:</w:t>
      </w:r>
    </w:p>
    <w:p>
      <w:pPr>
        <w:spacing w:after="0" w:line="248" w:lineRule="exact"/>
        <w:rPr>
          <w:sz w:val="20"/>
          <w:szCs w:val="20"/>
          <w:color w:val="auto"/>
        </w:rPr>
      </w:pPr>
    </w:p>
    <w:p>
      <w:pPr>
        <w:jc w:val="both"/>
        <w:ind w:left="660" w:hanging="328"/>
        <w:spacing w:after="0" w:line="275"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Purchasing a financial instrument, or engaging in any other similar transaction, including prepaid variable forward contracts, equity swaps, collars, puts, calls or other derivative instruments, that are designed to, or that may reasonably be expected to have the effect of, hedging or offsetting any decrease in the market value of Company securities.</w:t>
      </w:r>
    </w:p>
    <w:p>
      <w:pPr>
        <w:spacing w:after="0" w:line="19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Engaging in transactions involving Company derivative securities, including options, warrants, stock appreciation rights, convertible notes, Company-based option contracts, transactions in straddles or collars, writing puts or calls or similar rights whose value is derived from the value of the Company's common stock.</w:t>
      </w:r>
    </w:p>
    <w:p>
      <w:pPr>
        <w:spacing w:after="0" w:line="191"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Purchasing any Company security on margin, holding any Company security in a margin account, or pledging any Company security as collateral to secure or guarantee any indebtedness.</w:t>
      </w:r>
    </w:p>
    <w:p>
      <w:pPr>
        <w:spacing w:after="0" w:line="1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the Insider Trading Policy prohibits Section 16 officers and directors who purchase any Company security in the open market from selling any Company security during the six months following such purchase (or vice versa).</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Although we have not adopted an insider trading policy governing our purchase, sale, and/or other disposition of our securities, as part of the oversight of risk, the Board, or one or more of its committees, approves any transaction, plan or arrangement by or with the Company with respect to our securities on a case-by-case basis, and as part of their procedures to review and approve any such transaction, plan or arrangement, the Board or committee consults with our Chief Legal Officer and/or outside legal counsel to ensure compliance with applicable insider trading laws, rules and regulations, and listing standards.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4" w:name="page55"/>
    <w:bookmarkEnd w:id="54"/>
    <w:p>
      <w:pPr>
        <w:spacing w:after="0" w:line="286" w:lineRule="auto"/>
        <w:rPr>
          <w:sz w:val="20"/>
          <w:szCs w:val="20"/>
          <w:color w:val="auto"/>
        </w:rPr>
      </w:pPr>
      <w:r>
        <w:rPr>
          <w:rFonts w:ascii="Arial" w:cs="Arial" w:eastAsia="Arial" w:hAnsi="Arial"/>
          <w:sz w:val="16"/>
          <w:szCs w:val="16"/>
          <w:u w:val="single" w:color="auto"/>
          <w:color w:val="auto"/>
        </w:rPr>
        <w:t>Stock Ownership Guidelines</w:t>
      </w:r>
      <w:r>
        <w:rPr>
          <w:rFonts w:ascii="Arial" w:cs="Arial" w:eastAsia="Arial" w:hAnsi="Arial"/>
          <w:sz w:val="16"/>
          <w:szCs w:val="16"/>
          <w:color w:val="auto"/>
        </w:rPr>
        <w:t>. The Board maintains stock ownership guidelines applicable to directors and executive officers, including our NEOs. The details of the stock ownership guidelines are outlined below.</w:t>
      </w:r>
    </w:p>
    <w:p>
      <w:pPr>
        <w:spacing w:after="0" w:line="237" w:lineRule="exact"/>
        <w:rPr>
          <w:sz w:val="20"/>
          <w:szCs w:val="20"/>
          <w:color w:val="auto"/>
        </w:rPr>
      </w:pPr>
    </w:p>
    <w:tbl>
      <w:tblPr>
        <w:tblLayout w:type="fixed"/>
        <w:tblInd w:w="620" w:type="dxa"/>
        <w:tblCellMar>
          <w:top w:w="0" w:type="dxa"/>
          <w:left w:w="0" w:type="dxa"/>
          <w:bottom w:w="0" w:type="dxa"/>
          <w:right w:w="0" w:type="dxa"/>
        </w:tblCellMar>
      </w:tblPr>
      <w:tr>
        <w:trPr>
          <w:trHeight w:val="250"/>
        </w:trPr>
        <w:tc>
          <w:tcPr>
            <w:tcW w:w="4000" w:type="dxa"/>
            <w:vAlign w:val="bottom"/>
            <w:tcBorders>
              <w:bottom w:val="single" w:sz="8" w:color="003595"/>
            </w:tcBorders>
            <w:shd w:val="clear" w:color="auto" w:fill="003595"/>
          </w:tcPr>
          <w:p>
            <w:pPr>
              <w:ind w:left="20"/>
              <w:spacing w:after="0"/>
              <w:rPr>
                <w:sz w:val="20"/>
                <w:szCs w:val="20"/>
                <w:color w:val="auto"/>
              </w:rPr>
            </w:pPr>
            <w:r>
              <w:rPr>
                <w:rFonts w:ascii="Arial" w:cs="Arial" w:eastAsia="Arial" w:hAnsi="Arial"/>
                <w:sz w:val="16"/>
                <w:szCs w:val="16"/>
                <w:b w:val="1"/>
                <w:bCs w:val="1"/>
                <w:color w:val="FFFFFF"/>
              </w:rPr>
              <w:t>Feature</w:t>
            </w:r>
          </w:p>
        </w:tc>
        <w:tc>
          <w:tcPr>
            <w:tcW w:w="6020" w:type="dxa"/>
            <w:vAlign w:val="bottom"/>
            <w:tcBorders>
              <w:bottom w:val="single" w:sz="8" w:color="003595"/>
            </w:tcBorders>
            <w:shd w:val="clear" w:color="auto" w:fill="003595"/>
          </w:tcPr>
          <w:p>
            <w:pPr>
              <w:ind w:left="20"/>
              <w:spacing w:after="0"/>
              <w:rPr>
                <w:sz w:val="20"/>
                <w:szCs w:val="20"/>
                <w:color w:val="auto"/>
              </w:rPr>
            </w:pPr>
            <w:r>
              <w:rPr>
                <w:rFonts w:ascii="Arial" w:cs="Arial" w:eastAsia="Arial" w:hAnsi="Arial"/>
                <w:sz w:val="16"/>
                <w:szCs w:val="16"/>
                <w:b w:val="1"/>
                <w:bCs w:val="1"/>
                <w:color w:val="FFFFFF"/>
              </w:rPr>
              <w:t>Guidelines</w:t>
            </w:r>
          </w:p>
        </w:tc>
      </w:tr>
      <w:tr>
        <w:trPr>
          <w:trHeight w:val="188"/>
        </w:trPr>
        <w:tc>
          <w:tcPr>
            <w:tcW w:w="4000" w:type="dxa"/>
            <w:vAlign w:val="bottom"/>
          </w:tcPr>
          <w:p>
            <w:pPr>
              <w:ind w:left="20"/>
              <w:spacing w:after="0"/>
              <w:rPr>
                <w:sz w:val="20"/>
                <w:szCs w:val="20"/>
                <w:color w:val="auto"/>
              </w:rPr>
            </w:pPr>
            <w:r>
              <w:rPr>
                <w:rFonts w:ascii="Arial" w:cs="Arial" w:eastAsia="Arial" w:hAnsi="Arial"/>
                <w:sz w:val="16"/>
                <w:szCs w:val="16"/>
                <w:color w:val="auto"/>
              </w:rPr>
              <w:t>Ownership Multiple</w:t>
            </w:r>
          </w:p>
        </w:tc>
        <w:tc>
          <w:tcPr>
            <w:tcW w:w="6020" w:type="dxa"/>
            <w:vAlign w:val="bottom"/>
          </w:tcPr>
          <w:p>
            <w:pPr>
              <w:ind w:left="20"/>
              <w:spacing w:after="0"/>
              <w:rPr>
                <w:sz w:val="20"/>
                <w:szCs w:val="20"/>
                <w:color w:val="auto"/>
              </w:rPr>
            </w:pPr>
            <w:r>
              <w:rPr>
                <w:rFonts w:ascii="Arial" w:cs="Arial" w:eastAsia="Arial" w:hAnsi="Arial"/>
                <w:sz w:val="16"/>
                <w:szCs w:val="16"/>
                <w:color w:val="auto"/>
              </w:rPr>
              <w:t>Director = 5x annual cash retainer</w:t>
            </w:r>
          </w:p>
        </w:tc>
      </w:tr>
      <w:tr>
        <w:trPr>
          <w:trHeight w:val="176"/>
        </w:trPr>
        <w:tc>
          <w:tcPr>
            <w:tcW w:w="4000" w:type="dxa"/>
            <w:vAlign w:val="bottom"/>
          </w:tcPr>
          <w:p>
            <w:pPr>
              <w:spacing w:after="0"/>
              <w:rPr>
                <w:sz w:val="15"/>
                <w:szCs w:val="15"/>
                <w:color w:val="auto"/>
              </w:rPr>
            </w:pPr>
          </w:p>
        </w:tc>
        <w:tc>
          <w:tcPr>
            <w:tcW w:w="6020" w:type="dxa"/>
            <w:vAlign w:val="bottom"/>
          </w:tcPr>
          <w:p>
            <w:pPr>
              <w:ind w:left="20"/>
              <w:spacing w:after="0" w:line="175" w:lineRule="exact"/>
              <w:rPr>
                <w:sz w:val="20"/>
                <w:szCs w:val="20"/>
                <w:color w:val="auto"/>
              </w:rPr>
            </w:pPr>
            <w:r>
              <w:rPr>
                <w:rFonts w:ascii="Arial" w:cs="Arial" w:eastAsia="Arial" w:hAnsi="Arial"/>
                <w:sz w:val="16"/>
                <w:szCs w:val="16"/>
                <w:color w:val="auto"/>
              </w:rPr>
              <w:t>CEO = 6x annual base salary</w:t>
            </w:r>
          </w:p>
        </w:tc>
      </w:tr>
      <w:tr>
        <w:trPr>
          <w:trHeight w:val="189"/>
        </w:trPr>
        <w:tc>
          <w:tcPr>
            <w:tcW w:w="4000" w:type="dxa"/>
            <w:vAlign w:val="bottom"/>
          </w:tcPr>
          <w:p>
            <w:pPr>
              <w:spacing w:after="0"/>
              <w:rPr>
                <w:sz w:val="16"/>
                <w:szCs w:val="16"/>
                <w:color w:val="auto"/>
              </w:rPr>
            </w:pPr>
          </w:p>
        </w:tc>
        <w:tc>
          <w:tcPr>
            <w:tcW w:w="6020" w:type="dxa"/>
            <w:vAlign w:val="bottom"/>
          </w:tcPr>
          <w:p>
            <w:pPr>
              <w:ind w:left="20"/>
              <w:spacing w:after="0"/>
              <w:rPr>
                <w:sz w:val="20"/>
                <w:szCs w:val="20"/>
                <w:color w:val="auto"/>
              </w:rPr>
            </w:pPr>
            <w:r>
              <w:rPr>
                <w:rFonts w:ascii="Arial" w:cs="Arial" w:eastAsia="Arial" w:hAnsi="Arial"/>
                <w:sz w:val="16"/>
                <w:szCs w:val="16"/>
                <w:color w:val="auto"/>
              </w:rPr>
              <w:t>Chief Operating Officer; Chief Commercial Officer; Chief Financial Officer: 3X</w:t>
            </w:r>
          </w:p>
        </w:tc>
      </w:tr>
      <w:tr>
        <w:trPr>
          <w:trHeight w:val="189"/>
        </w:trPr>
        <w:tc>
          <w:tcPr>
            <w:tcW w:w="4000" w:type="dxa"/>
            <w:vAlign w:val="bottom"/>
          </w:tcPr>
          <w:p>
            <w:pPr>
              <w:spacing w:after="0"/>
              <w:rPr>
                <w:sz w:val="16"/>
                <w:szCs w:val="16"/>
                <w:color w:val="auto"/>
              </w:rPr>
            </w:pPr>
          </w:p>
        </w:tc>
        <w:tc>
          <w:tcPr>
            <w:tcW w:w="6020" w:type="dxa"/>
            <w:vAlign w:val="bottom"/>
          </w:tcPr>
          <w:p>
            <w:pPr>
              <w:ind w:left="20"/>
              <w:spacing w:after="0"/>
              <w:rPr>
                <w:sz w:val="20"/>
                <w:szCs w:val="20"/>
                <w:color w:val="auto"/>
              </w:rPr>
            </w:pPr>
            <w:r>
              <w:rPr>
                <w:rFonts w:ascii="Arial" w:cs="Arial" w:eastAsia="Arial" w:hAnsi="Arial"/>
                <w:sz w:val="16"/>
                <w:szCs w:val="16"/>
                <w:color w:val="auto"/>
              </w:rPr>
              <w:t>annual base salary</w:t>
            </w:r>
          </w:p>
        </w:tc>
      </w:tr>
      <w:tr>
        <w:trPr>
          <w:trHeight w:val="215"/>
        </w:trPr>
        <w:tc>
          <w:tcPr>
            <w:tcW w:w="400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6"/>
                <w:szCs w:val="16"/>
                <w:color w:val="auto"/>
              </w:rPr>
              <w:t>Other Executive Officers = 2x annual base salary</w:t>
            </w:r>
          </w:p>
        </w:tc>
      </w:tr>
      <w:tr>
        <w:trPr>
          <w:trHeight w:val="29"/>
        </w:trPr>
        <w:tc>
          <w:tcPr>
            <w:tcW w:w="4000" w:type="dxa"/>
            <w:vAlign w:val="bottom"/>
            <w:tcBorders>
              <w:bottom w:val="single" w:sz="8" w:color="003595"/>
            </w:tcBorders>
          </w:tcPr>
          <w:p>
            <w:pPr>
              <w:spacing w:after="0"/>
              <w:rPr>
                <w:sz w:val="2"/>
                <w:szCs w:val="2"/>
                <w:color w:val="auto"/>
              </w:rPr>
            </w:pPr>
          </w:p>
        </w:tc>
        <w:tc>
          <w:tcPr>
            <w:tcW w:w="6020" w:type="dxa"/>
            <w:vAlign w:val="bottom"/>
            <w:tcBorders>
              <w:bottom w:val="single" w:sz="8" w:color="003595"/>
            </w:tcBorders>
          </w:tcPr>
          <w:p>
            <w:pPr>
              <w:spacing w:after="0"/>
              <w:rPr>
                <w:sz w:val="2"/>
                <w:szCs w:val="2"/>
                <w:color w:val="auto"/>
              </w:rPr>
            </w:pPr>
          </w:p>
        </w:tc>
      </w:tr>
      <w:tr>
        <w:trPr>
          <w:trHeight w:val="182"/>
        </w:trPr>
        <w:tc>
          <w:tcPr>
            <w:tcW w:w="4000" w:type="dxa"/>
            <w:vAlign w:val="bottom"/>
          </w:tcPr>
          <w:p>
            <w:pPr>
              <w:ind w:left="20"/>
              <w:spacing w:after="0" w:line="182" w:lineRule="exact"/>
              <w:rPr>
                <w:sz w:val="20"/>
                <w:szCs w:val="20"/>
                <w:color w:val="auto"/>
              </w:rPr>
            </w:pPr>
            <w:r>
              <w:rPr>
                <w:rFonts w:ascii="Arial" w:cs="Arial" w:eastAsia="Arial" w:hAnsi="Arial"/>
                <w:sz w:val="16"/>
                <w:szCs w:val="16"/>
                <w:color w:val="auto"/>
              </w:rPr>
              <w:t>Years to Meet Requirement</w:t>
            </w:r>
          </w:p>
        </w:tc>
        <w:tc>
          <w:tcPr>
            <w:tcW w:w="6020" w:type="dxa"/>
            <w:vAlign w:val="bottom"/>
          </w:tcPr>
          <w:p>
            <w:pPr>
              <w:ind w:left="20"/>
              <w:spacing w:after="0" w:line="182" w:lineRule="exact"/>
              <w:rPr>
                <w:sz w:val="20"/>
                <w:szCs w:val="20"/>
                <w:color w:val="auto"/>
              </w:rPr>
            </w:pPr>
            <w:r>
              <w:rPr>
                <w:rFonts w:ascii="Arial" w:cs="Arial" w:eastAsia="Arial" w:hAnsi="Arial"/>
                <w:sz w:val="16"/>
                <w:szCs w:val="16"/>
                <w:color w:val="auto"/>
              </w:rPr>
              <w:t>Five years from the date of election or appointment or initial adoption of the stock</w:t>
            </w:r>
          </w:p>
        </w:tc>
      </w:tr>
      <w:tr>
        <w:trPr>
          <w:trHeight w:val="215"/>
        </w:trPr>
        <w:tc>
          <w:tcPr>
            <w:tcW w:w="400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6"/>
                <w:szCs w:val="16"/>
                <w:color w:val="auto"/>
              </w:rPr>
              <w:t>ownership guidelines.</w:t>
            </w:r>
          </w:p>
        </w:tc>
      </w:tr>
      <w:tr>
        <w:trPr>
          <w:trHeight w:val="29"/>
        </w:trPr>
        <w:tc>
          <w:tcPr>
            <w:tcW w:w="4000" w:type="dxa"/>
            <w:vAlign w:val="bottom"/>
            <w:tcBorders>
              <w:bottom w:val="single" w:sz="8" w:color="003595"/>
            </w:tcBorders>
          </w:tcPr>
          <w:p>
            <w:pPr>
              <w:spacing w:after="0"/>
              <w:rPr>
                <w:sz w:val="2"/>
                <w:szCs w:val="2"/>
                <w:color w:val="auto"/>
              </w:rPr>
            </w:pPr>
          </w:p>
        </w:tc>
        <w:tc>
          <w:tcPr>
            <w:tcW w:w="6020" w:type="dxa"/>
            <w:vAlign w:val="bottom"/>
            <w:tcBorders>
              <w:bottom w:val="single" w:sz="8" w:color="003595"/>
            </w:tcBorders>
          </w:tcPr>
          <w:p>
            <w:pPr>
              <w:spacing w:after="0"/>
              <w:rPr>
                <w:sz w:val="2"/>
                <w:szCs w:val="2"/>
                <w:color w:val="auto"/>
              </w:rPr>
            </w:pPr>
          </w:p>
        </w:tc>
      </w:tr>
      <w:tr>
        <w:trPr>
          <w:trHeight w:val="182"/>
        </w:trPr>
        <w:tc>
          <w:tcPr>
            <w:tcW w:w="4000" w:type="dxa"/>
            <w:vAlign w:val="bottom"/>
          </w:tcPr>
          <w:p>
            <w:pPr>
              <w:ind w:left="20"/>
              <w:spacing w:after="0" w:line="182" w:lineRule="exact"/>
              <w:rPr>
                <w:sz w:val="20"/>
                <w:szCs w:val="20"/>
                <w:color w:val="auto"/>
              </w:rPr>
            </w:pPr>
            <w:r>
              <w:rPr>
                <w:rFonts w:ascii="Arial" w:cs="Arial" w:eastAsia="Arial" w:hAnsi="Arial"/>
                <w:sz w:val="16"/>
                <w:szCs w:val="16"/>
                <w:color w:val="auto"/>
              </w:rPr>
              <w:t>Shares That Count Towards Requirement</w:t>
            </w:r>
          </w:p>
        </w:tc>
        <w:tc>
          <w:tcPr>
            <w:tcW w:w="6020" w:type="dxa"/>
            <w:vAlign w:val="bottom"/>
          </w:tcPr>
          <w:p>
            <w:pPr>
              <w:ind w:left="20"/>
              <w:spacing w:after="0" w:line="182" w:lineRule="exact"/>
              <w:rPr>
                <w:sz w:val="20"/>
                <w:szCs w:val="20"/>
                <w:color w:val="auto"/>
              </w:rPr>
            </w:pPr>
            <w:r>
              <w:rPr>
                <w:rFonts w:ascii="Arial" w:cs="Arial" w:eastAsia="Arial" w:hAnsi="Arial"/>
                <w:sz w:val="16"/>
                <w:szCs w:val="16"/>
                <w:color w:val="auto"/>
              </w:rPr>
              <w:t>Shares owned directly or indirectly, including restricted stock units subject to only</w:t>
            </w:r>
          </w:p>
        </w:tc>
      </w:tr>
      <w:tr>
        <w:trPr>
          <w:trHeight w:val="176"/>
        </w:trPr>
        <w:tc>
          <w:tcPr>
            <w:tcW w:w="4000" w:type="dxa"/>
            <w:vAlign w:val="bottom"/>
          </w:tcPr>
          <w:p>
            <w:pPr>
              <w:spacing w:after="0"/>
              <w:rPr>
                <w:sz w:val="15"/>
                <w:szCs w:val="15"/>
                <w:color w:val="auto"/>
              </w:rPr>
            </w:pPr>
          </w:p>
        </w:tc>
        <w:tc>
          <w:tcPr>
            <w:tcW w:w="6020" w:type="dxa"/>
            <w:vAlign w:val="bottom"/>
          </w:tcPr>
          <w:p>
            <w:pPr>
              <w:ind w:left="20"/>
              <w:spacing w:after="0" w:line="175" w:lineRule="exact"/>
              <w:rPr>
                <w:sz w:val="20"/>
                <w:szCs w:val="20"/>
                <w:color w:val="auto"/>
              </w:rPr>
            </w:pPr>
            <w:r>
              <w:rPr>
                <w:rFonts w:ascii="Arial" w:cs="Arial" w:eastAsia="Arial" w:hAnsi="Arial"/>
                <w:sz w:val="16"/>
                <w:szCs w:val="16"/>
                <w:color w:val="auto"/>
              </w:rPr>
              <w:t>time-based vesting requirements, restricted stock, stock owned by a spouse or</w:t>
            </w:r>
          </w:p>
        </w:tc>
      </w:tr>
      <w:tr>
        <w:trPr>
          <w:trHeight w:val="189"/>
        </w:trPr>
        <w:tc>
          <w:tcPr>
            <w:tcW w:w="4000" w:type="dxa"/>
            <w:vAlign w:val="bottom"/>
          </w:tcPr>
          <w:p>
            <w:pPr>
              <w:spacing w:after="0"/>
              <w:rPr>
                <w:sz w:val="16"/>
                <w:szCs w:val="16"/>
                <w:color w:val="auto"/>
              </w:rPr>
            </w:pPr>
          </w:p>
        </w:tc>
        <w:tc>
          <w:tcPr>
            <w:tcW w:w="6020" w:type="dxa"/>
            <w:vAlign w:val="bottom"/>
          </w:tcPr>
          <w:p>
            <w:pPr>
              <w:ind w:left="20"/>
              <w:spacing w:after="0"/>
              <w:rPr>
                <w:sz w:val="20"/>
                <w:szCs w:val="20"/>
                <w:color w:val="auto"/>
              </w:rPr>
            </w:pPr>
            <w:r>
              <w:rPr>
                <w:rFonts w:ascii="Arial" w:cs="Arial" w:eastAsia="Arial" w:hAnsi="Arial"/>
                <w:sz w:val="16"/>
                <w:szCs w:val="16"/>
                <w:color w:val="auto"/>
              </w:rPr>
              <w:t>minor child, and stock held beneficially in a trust. Unexercised options and</w:t>
            </w:r>
          </w:p>
        </w:tc>
      </w:tr>
      <w:tr>
        <w:trPr>
          <w:trHeight w:val="215"/>
        </w:trPr>
        <w:tc>
          <w:tcPr>
            <w:tcW w:w="400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6"/>
                <w:szCs w:val="16"/>
                <w:color w:val="auto"/>
              </w:rPr>
              <w:t>unvested PSUs do not count towards the ownership requirement.</w:t>
            </w:r>
          </w:p>
        </w:tc>
      </w:tr>
      <w:tr>
        <w:trPr>
          <w:trHeight w:val="29"/>
        </w:trPr>
        <w:tc>
          <w:tcPr>
            <w:tcW w:w="4000" w:type="dxa"/>
            <w:vAlign w:val="bottom"/>
            <w:tcBorders>
              <w:bottom w:val="single" w:sz="8" w:color="003595"/>
            </w:tcBorders>
          </w:tcPr>
          <w:p>
            <w:pPr>
              <w:spacing w:after="0"/>
              <w:rPr>
                <w:sz w:val="2"/>
                <w:szCs w:val="2"/>
                <w:color w:val="auto"/>
              </w:rPr>
            </w:pPr>
          </w:p>
        </w:tc>
        <w:tc>
          <w:tcPr>
            <w:tcW w:w="6020" w:type="dxa"/>
            <w:vAlign w:val="bottom"/>
            <w:tcBorders>
              <w:bottom w:val="single" w:sz="8" w:color="003595"/>
            </w:tcBorders>
          </w:tcPr>
          <w:p>
            <w:pPr>
              <w:spacing w:after="0"/>
              <w:rPr>
                <w:sz w:val="2"/>
                <w:szCs w:val="2"/>
                <w:color w:val="auto"/>
              </w:rPr>
            </w:pPr>
          </w:p>
        </w:tc>
      </w:tr>
      <w:tr>
        <w:trPr>
          <w:trHeight w:val="182"/>
        </w:trPr>
        <w:tc>
          <w:tcPr>
            <w:tcW w:w="4000" w:type="dxa"/>
            <w:vAlign w:val="bottom"/>
          </w:tcPr>
          <w:p>
            <w:pPr>
              <w:ind w:left="20"/>
              <w:spacing w:after="0" w:line="182" w:lineRule="exact"/>
              <w:rPr>
                <w:sz w:val="20"/>
                <w:szCs w:val="20"/>
                <w:color w:val="auto"/>
              </w:rPr>
            </w:pPr>
            <w:r>
              <w:rPr>
                <w:rFonts w:ascii="Arial" w:cs="Arial" w:eastAsia="Arial" w:hAnsi="Arial"/>
                <w:sz w:val="16"/>
                <w:szCs w:val="16"/>
                <w:color w:val="auto"/>
              </w:rPr>
              <w:t>Calculation Method</w:t>
            </w:r>
          </w:p>
        </w:tc>
        <w:tc>
          <w:tcPr>
            <w:tcW w:w="6020" w:type="dxa"/>
            <w:vAlign w:val="bottom"/>
          </w:tcPr>
          <w:p>
            <w:pPr>
              <w:ind w:left="20"/>
              <w:spacing w:after="0" w:line="182" w:lineRule="exact"/>
              <w:rPr>
                <w:sz w:val="20"/>
                <w:szCs w:val="20"/>
                <w:color w:val="auto"/>
              </w:rPr>
            </w:pPr>
            <w:r>
              <w:rPr>
                <w:rFonts w:ascii="Arial" w:cs="Arial" w:eastAsia="Arial" w:hAnsi="Arial"/>
                <w:sz w:val="16"/>
                <w:szCs w:val="16"/>
                <w:color w:val="auto"/>
              </w:rPr>
              <w:t>Shares of common stock and other forms of ownership are valued at the common</w:t>
            </w:r>
          </w:p>
        </w:tc>
      </w:tr>
      <w:tr>
        <w:trPr>
          <w:trHeight w:val="176"/>
        </w:trPr>
        <w:tc>
          <w:tcPr>
            <w:tcW w:w="4000" w:type="dxa"/>
            <w:vAlign w:val="bottom"/>
          </w:tcPr>
          <w:p>
            <w:pPr>
              <w:spacing w:after="0"/>
              <w:rPr>
                <w:sz w:val="15"/>
                <w:szCs w:val="15"/>
                <w:color w:val="auto"/>
              </w:rPr>
            </w:pPr>
          </w:p>
        </w:tc>
        <w:tc>
          <w:tcPr>
            <w:tcW w:w="6020" w:type="dxa"/>
            <w:vAlign w:val="bottom"/>
          </w:tcPr>
          <w:p>
            <w:pPr>
              <w:ind w:left="20"/>
              <w:spacing w:after="0" w:line="175" w:lineRule="exact"/>
              <w:rPr>
                <w:sz w:val="20"/>
                <w:szCs w:val="20"/>
                <w:color w:val="auto"/>
              </w:rPr>
            </w:pPr>
            <w:r>
              <w:rPr>
                <w:rFonts w:ascii="Arial" w:cs="Arial" w:eastAsia="Arial" w:hAnsi="Arial"/>
                <w:sz w:val="16"/>
                <w:szCs w:val="16"/>
                <w:color w:val="auto"/>
              </w:rPr>
              <w:t>stock closing price as of the evaluation date. The evaluation date to determine</w:t>
            </w:r>
          </w:p>
        </w:tc>
      </w:tr>
      <w:tr>
        <w:trPr>
          <w:trHeight w:val="189"/>
        </w:trPr>
        <w:tc>
          <w:tcPr>
            <w:tcW w:w="4000" w:type="dxa"/>
            <w:vAlign w:val="bottom"/>
          </w:tcPr>
          <w:p>
            <w:pPr>
              <w:spacing w:after="0"/>
              <w:rPr>
                <w:sz w:val="16"/>
                <w:szCs w:val="16"/>
                <w:color w:val="auto"/>
              </w:rPr>
            </w:pPr>
          </w:p>
        </w:tc>
        <w:tc>
          <w:tcPr>
            <w:tcW w:w="6020" w:type="dxa"/>
            <w:vAlign w:val="bottom"/>
          </w:tcPr>
          <w:p>
            <w:pPr>
              <w:ind w:left="20"/>
              <w:spacing w:after="0"/>
              <w:rPr>
                <w:sz w:val="20"/>
                <w:szCs w:val="20"/>
                <w:color w:val="auto"/>
              </w:rPr>
            </w:pPr>
            <w:r>
              <w:rPr>
                <w:rFonts w:ascii="Arial" w:cs="Arial" w:eastAsia="Arial" w:hAnsi="Arial"/>
                <w:sz w:val="16"/>
                <w:szCs w:val="16"/>
                <w:color w:val="auto"/>
              </w:rPr>
              <w:t>common stock ownership at the end of each director's and executive officer's five-</w:t>
            </w:r>
          </w:p>
        </w:tc>
      </w:tr>
      <w:tr>
        <w:trPr>
          <w:trHeight w:val="189"/>
        </w:trPr>
        <w:tc>
          <w:tcPr>
            <w:tcW w:w="4000" w:type="dxa"/>
            <w:vAlign w:val="bottom"/>
          </w:tcPr>
          <w:p>
            <w:pPr>
              <w:spacing w:after="0"/>
              <w:rPr>
                <w:sz w:val="16"/>
                <w:szCs w:val="16"/>
                <w:color w:val="auto"/>
              </w:rPr>
            </w:pPr>
          </w:p>
        </w:tc>
        <w:tc>
          <w:tcPr>
            <w:tcW w:w="6020" w:type="dxa"/>
            <w:vAlign w:val="bottom"/>
          </w:tcPr>
          <w:p>
            <w:pPr>
              <w:ind w:left="20"/>
              <w:spacing w:after="0"/>
              <w:rPr>
                <w:sz w:val="20"/>
                <w:szCs w:val="20"/>
                <w:color w:val="auto"/>
              </w:rPr>
            </w:pPr>
            <w:r>
              <w:rPr>
                <w:rFonts w:ascii="Arial" w:cs="Arial" w:eastAsia="Arial" w:hAnsi="Arial"/>
                <w:sz w:val="16"/>
                <w:szCs w:val="16"/>
                <w:color w:val="auto"/>
              </w:rPr>
              <w:t>year phase-in period shall be measured as of the last day of the calendar year in</w:t>
            </w:r>
          </w:p>
        </w:tc>
      </w:tr>
      <w:tr>
        <w:trPr>
          <w:trHeight w:val="215"/>
        </w:trPr>
        <w:tc>
          <w:tcPr>
            <w:tcW w:w="400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6"/>
                <w:szCs w:val="16"/>
                <w:color w:val="auto"/>
              </w:rPr>
              <w:t>which such phase-in period ends.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18415</wp:posOffset>
            </wp:positionV>
            <wp:extent cx="63607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42" w:lineRule="exact"/>
        <w:rPr>
          <w:sz w:val="20"/>
          <w:szCs w:val="20"/>
          <w:color w:val="auto"/>
        </w:rPr>
      </w:pPr>
    </w:p>
    <w:p>
      <w:pPr>
        <w:ind w:left="640"/>
        <w:spacing w:after="0" w:line="286" w:lineRule="auto"/>
        <w:rPr>
          <w:sz w:val="20"/>
          <w:szCs w:val="20"/>
          <w:color w:val="auto"/>
        </w:rPr>
      </w:pPr>
      <w:r>
        <w:rPr>
          <w:rFonts w:ascii="Arial" w:cs="Arial" w:eastAsia="Arial" w:hAnsi="Arial"/>
          <w:sz w:val="16"/>
          <w:szCs w:val="16"/>
          <w:color w:val="auto"/>
        </w:rPr>
        <w:t>Restrictions on the Transfer of Shares Prior to Meeting Requirements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860"/>
        <w:spacing w:after="0" w:line="252" w:lineRule="auto"/>
        <w:rPr>
          <w:sz w:val="20"/>
          <w:szCs w:val="20"/>
          <w:color w:val="auto"/>
        </w:rPr>
      </w:pPr>
      <w:r>
        <w:rPr>
          <w:rFonts w:ascii="Arial" w:cs="Arial" w:eastAsia="Arial" w:hAnsi="Arial"/>
          <w:sz w:val="16"/>
          <w:szCs w:val="16"/>
          <w:color w:val="auto"/>
        </w:rPr>
        <w:t>Individual is required to hold 50% of any shares of common stock acquired upon the vesting of restricted stock units and the exercise of stock options which have been awarded by the Company (excluding shares sold to fund tax liabilities associated with the receipt or vesting of equity-based awards) until the required ownership multiple is met.</w:t>
      </w:r>
    </w:p>
    <w:p>
      <w:pPr>
        <w:spacing w:after="0" w:line="209" w:lineRule="exact"/>
        <w:rPr>
          <w:sz w:val="20"/>
          <w:szCs w:val="20"/>
          <w:color w:val="auto"/>
        </w:rPr>
      </w:pPr>
    </w:p>
    <w:p>
      <w:pPr>
        <w:ind w:right="780"/>
        <w:spacing w:after="0" w:line="253" w:lineRule="auto"/>
        <w:rPr>
          <w:sz w:val="20"/>
          <w:szCs w:val="20"/>
          <w:color w:val="auto"/>
        </w:rPr>
      </w:pPr>
      <w:r>
        <w:rPr>
          <w:rFonts w:ascii="Arial" w:cs="Arial" w:eastAsia="Arial" w:hAnsi="Arial"/>
          <w:sz w:val="16"/>
          <w:szCs w:val="16"/>
          <w:color w:val="auto"/>
        </w:rPr>
        <w:t>If the required ownership multiple is not met at any time following the five-year phase-in period, the individual will be prohibited from selling any shares until the required ownership multiple is met and maintained (excluding shares sold to fund tax liabilities associated with the receipt or vesting of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-2555240</wp:posOffset>
            </wp:positionH>
            <wp:positionV relativeFrom="paragraph">
              <wp:posOffset>13335</wp:posOffset>
            </wp:positionV>
            <wp:extent cx="63607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100"/>
            <w:col w:w="6600"/>
          </w:cols>
          <w:pgMar w:left="320" w:top="773" w:right="339" w:bottom="1440" w:gutter="0" w:footer="0" w:header="0"/>
          <w:type w:val="continuous"/>
        </w:sectPr>
      </w:pP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Compliance with the stock ownership guidelines is measured on the last day of each calendar year. As of December 31, 2025, all of our directors and executive officers were in compliance with the stock ownership requirements or have additional time to meet the applicable stock ownership requirements within the five-year period to achieve compliance.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2026 Executive Compensation Program for Named Executive Officers</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discussion below describes certain compensation actions recently taken by the CHCC with respect to our 2026 compensation program applicable to our NEOs. As described above, the CHCC retained WTW as the Company's new compensation consultant to help the CHCC make decisions regarding its 2026 compensation program. Our 2026 compensation program will be discussed more fully in our proxy statement for the 2027 Annual Meeting of Stockholders.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In December 2025, the CHCC increased the base salaries of our NEOs by an average of 3.5%. Mr. Raha's base salary increased 3.0% to $947,600, Mr. Wheeler's base salary increased 7.0% to $524,300, Mr. Verratti's base salary increased 3.0% to $679,800, Mr. Donnelly's base salary increased 3.0% to $576,800, and Dr. Muzzey's base salary increased 5.0% to $531,700. The base salary increases were effective as of February 1, 2026 for each NEO.</w:t>
      </w:r>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u w:val="single" w:color="auto"/>
          <w:color w:val="auto"/>
        </w:rPr>
        <w:t>2026 Short-Term Incentive Program</w:t>
      </w:r>
      <w:r>
        <w:rPr>
          <w:rFonts w:ascii="Arial" w:cs="Arial" w:eastAsia="Arial" w:hAnsi="Arial"/>
          <w:sz w:val="16"/>
          <w:szCs w:val="16"/>
          <w:color w:val="auto"/>
        </w:rPr>
        <w:t>. In February 2026, the CHCC adopted the same quantitative performance metrics for the 2026 short-term incentive program as those used in the 2025 short-term incentive program. For 2026, however, the financial metrics have a threshold, target, stretch target, and maximum target for achievement criteria. In addition, the CHCC determined that the relative weighting of the quantitative metrics and individual strategic goals should generally remain the same as those used in the 2025 short-term incentive program.</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2026 Long-Term Incentive Program</w:t>
      </w:r>
      <w:r>
        <w:rPr>
          <w:rFonts w:ascii="Arial" w:cs="Arial" w:eastAsia="Arial" w:hAnsi="Arial"/>
          <w:sz w:val="16"/>
          <w:szCs w:val="16"/>
          <w:color w:val="auto"/>
        </w:rPr>
        <w:t>. In March 2026, the CHCC granted long-term incentive awards to each of our NEOs (other than Mr. Diaz, Mr. Leffler, and Ms. Ancona). The awards granted were RSUs that vest in three equal annual installments beginning on the first anniversary of the grant date. The CHCC plans to grant PSUs to each of our NEOs (other than Mr. Diaz, Mr. Leffler, and Ms. Ancona) in June 2026 in an amount equal to the same number of RSUs received by each NEO in March 2026.</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color w:val="003595"/>
        </w:rPr>
        <w:t>Compensation and Human Capital Committee Report</w:t>
      </w:r>
    </w:p>
    <w:p>
      <w:pPr>
        <w:spacing w:after="0" w:line="26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March 2026, the Compensation and Human Capital Committee of the Board reviewed and discussed the Compensation Discussion and Analysis required by Item 402(b) of Regulation S-K, which appears elsewhere in this proxy statement, with our management. Based on this review and discussion, the Compensation and Human Capital Committee has recommended to the Board that the Compensation Discussion and Analysis be included in this proxy statement.</w:t>
      </w:r>
    </w:p>
    <w:p>
      <w:pPr>
        <w:spacing w:after="0" w:line="200" w:lineRule="exact"/>
        <w:rPr>
          <w:sz w:val="20"/>
          <w:szCs w:val="20"/>
          <w:color w:val="auto"/>
        </w:rPr>
      </w:pPr>
    </w:p>
    <w:p>
      <w:pPr>
        <w:spacing w:after="0" w:line="243"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MEMBERS OF THE COMPENSATION AND HUMAN CAPITAL COMMITTEE:</w:t>
      </w:r>
    </w:p>
    <w:p>
      <w:pPr>
        <w:spacing w:after="0" w:line="262"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Heiner Dreismann, Ph.D., Chair</w:t>
      </w:r>
    </w:p>
    <w:p>
      <w:pPr>
        <w:spacing w:after="0" w:line="21"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Paul M. Bisaro</w:t>
      </w:r>
    </w:p>
    <w:p>
      <w:pPr>
        <w:spacing w:after="0" w:line="5"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Lee N. Newcomer, M.D.</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Daniel M. Skovronsky, M.D., Ph.D.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497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003595"/>
        </w:rPr>
        <w:t>Summary Compensation Table</w:t>
      </w: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following table shows the total compensation paid or accrued during 2025</w:t>
      </w:r>
      <w:r>
        <w:rPr>
          <w:rFonts w:ascii="Times New Roman" w:cs="Times New Roman" w:eastAsia="Times New Roman" w:hAnsi="Times New Roman"/>
          <w:sz w:val="19"/>
          <w:szCs w:val="19"/>
          <w:color w:val="auto"/>
        </w:rPr>
        <w:t>,</w:t>
      </w:r>
      <w:r>
        <w:rPr>
          <w:rFonts w:ascii="Arial" w:cs="Arial" w:eastAsia="Arial" w:hAnsi="Arial"/>
          <w:sz w:val="16"/>
          <w:szCs w:val="16"/>
          <w:color w:val="auto"/>
        </w:rPr>
        <w:t xml:space="preserve"> 2024</w:t>
      </w:r>
      <w:r>
        <w:rPr>
          <w:rFonts w:ascii="Times New Roman" w:cs="Times New Roman" w:eastAsia="Times New Roman" w:hAnsi="Times New Roman"/>
          <w:sz w:val="19"/>
          <w:szCs w:val="19"/>
          <w:color w:val="auto"/>
        </w:rPr>
        <w:t>, and</w:t>
      </w:r>
      <w:r>
        <w:rPr>
          <w:rFonts w:ascii="Arial" w:cs="Arial" w:eastAsia="Arial" w:hAnsi="Arial"/>
          <w:sz w:val="16"/>
          <w:szCs w:val="16"/>
          <w:color w:val="auto"/>
        </w:rPr>
        <w:t xml:space="preserve"> 2023, as indicated, to: (1) each person who served as our Chief Executive Officer or our Chief Financial Officer during the year ended December 31, 2025, (2) our three next most highly-compensated executive officers during the year ended December 31, 2025, who were serving as executive officers as of December 31, 2025, and (3) a former executive officer of the Company who was one of our three next most highly-compensated executive officers during the year ended December 31, 2025, but was not serving as an executive officer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Borders>
              <w:top w:val="single" w:sz="8" w:color="0A2299"/>
            </w:tcBorders>
            <w:shd w:val="clear" w:color="auto" w:fill="003595"/>
          </w:tcPr>
          <w:p>
            <w:pPr>
              <w:spacing w:after="0"/>
              <w:rPr>
                <w:sz w:val="17"/>
                <w:szCs w:val="17"/>
                <w:color w:val="auto"/>
              </w:rPr>
            </w:pPr>
          </w:p>
        </w:tc>
        <w:tc>
          <w:tcPr>
            <w:tcW w:w="1360" w:type="dxa"/>
            <w:vAlign w:val="bottom"/>
            <w:tcBorders>
              <w:top w:val="single" w:sz="8" w:color="0A2299"/>
            </w:tcBorders>
            <w:shd w:val="clear" w:color="auto" w:fill="003595"/>
          </w:tcPr>
          <w:p>
            <w:pPr>
              <w:spacing w:after="0"/>
              <w:rPr>
                <w:sz w:val="17"/>
                <w:szCs w:val="17"/>
                <w:color w:val="auto"/>
              </w:rPr>
            </w:pPr>
          </w:p>
        </w:tc>
        <w:tc>
          <w:tcPr>
            <w:tcW w:w="1180" w:type="dxa"/>
            <w:vAlign w:val="bottom"/>
            <w:tcBorders>
              <w:top w:val="single" w:sz="8" w:color="0A2299"/>
            </w:tcBorders>
            <w:shd w:val="clear" w:color="auto" w:fill="003595"/>
          </w:tcPr>
          <w:p>
            <w:pPr>
              <w:spacing w:after="0"/>
              <w:rPr>
                <w:sz w:val="17"/>
                <w:szCs w:val="17"/>
                <w:color w:val="auto"/>
              </w:rPr>
            </w:pPr>
          </w:p>
        </w:tc>
        <w:tc>
          <w:tcPr>
            <w:tcW w:w="1020" w:type="dxa"/>
            <w:vAlign w:val="bottom"/>
            <w:tcBorders>
              <w:top w:val="single" w:sz="8" w:color="0A2299"/>
            </w:tcBorders>
            <w:shd w:val="clear" w:color="auto" w:fill="003595"/>
          </w:tcPr>
          <w:p>
            <w:pPr>
              <w:spacing w:after="0"/>
              <w:rPr>
                <w:sz w:val="17"/>
                <w:szCs w:val="17"/>
                <w:color w:val="auto"/>
              </w:rPr>
            </w:pPr>
          </w:p>
        </w:tc>
        <w:tc>
          <w:tcPr>
            <w:tcW w:w="1020" w:type="dxa"/>
            <w:vAlign w:val="bottom"/>
            <w:tcBorders>
              <w:top w:val="single" w:sz="8" w:color="0A2299"/>
            </w:tcBorders>
            <w:vMerge w:val="restart"/>
            <w:shd w:val="clear" w:color="auto" w:fill="003595"/>
          </w:tcPr>
          <w:p>
            <w:pPr>
              <w:jc w:val="center"/>
              <w:spacing w:after="0"/>
              <w:rPr>
                <w:sz w:val="20"/>
                <w:szCs w:val="20"/>
                <w:color w:val="auto"/>
              </w:rPr>
            </w:pPr>
            <w:r>
              <w:rPr>
                <w:rFonts w:ascii="Arial" w:cs="Arial" w:eastAsia="Arial" w:hAnsi="Arial"/>
                <w:sz w:val="15"/>
                <w:szCs w:val="15"/>
                <w:b w:val="1"/>
                <w:bCs w:val="1"/>
                <w:color w:val="FFFFFF"/>
              </w:rPr>
              <w:t>Stock</w:t>
            </w:r>
          </w:p>
        </w:tc>
        <w:tc>
          <w:tcPr>
            <w:tcW w:w="1380" w:type="dxa"/>
            <w:vAlign w:val="bottom"/>
            <w:tcBorders>
              <w:top w:val="single" w:sz="8" w:color="0A2299"/>
            </w:tcBorders>
            <w:shd w:val="clear" w:color="auto" w:fill="003595"/>
          </w:tcPr>
          <w:p>
            <w:pPr>
              <w:jc w:val="center"/>
              <w:spacing w:after="0"/>
              <w:rPr>
                <w:sz w:val="20"/>
                <w:szCs w:val="20"/>
                <w:color w:val="auto"/>
              </w:rPr>
            </w:pPr>
            <w:r>
              <w:rPr>
                <w:rFonts w:ascii="Arial" w:cs="Arial" w:eastAsia="Arial" w:hAnsi="Arial"/>
                <w:sz w:val="15"/>
                <w:szCs w:val="15"/>
                <w:b w:val="1"/>
                <w:bCs w:val="1"/>
                <w:color w:val="FFFFFF"/>
                <w:w w:val="99"/>
              </w:rPr>
              <w:t>Non-Equity</w:t>
            </w:r>
          </w:p>
        </w:tc>
        <w:tc>
          <w:tcPr>
            <w:tcW w:w="1460" w:type="dxa"/>
            <w:vAlign w:val="bottom"/>
            <w:tcBorders>
              <w:top w:val="single" w:sz="8" w:color="0A2299"/>
            </w:tcBorders>
            <w:vMerge w:val="restart"/>
            <w:shd w:val="clear" w:color="auto" w:fill="003595"/>
          </w:tcPr>
          <w:p>
            <w:pPr>
              <w:jc w:val="center"/>
              <w:spacing w:after="0"/>
              <w:rPr>
                <w:sz w:val="20"/>
                <w:szCs w:val="20"/>
                <w:color w:val="auto"/>
              </w:rPr>
            </w:pPr>
            <w:r>
              <w:rPr>
                <w:rFonts w:ascii="Arial" w:cs="Arial" w:eastAsia="Arial" w:hAnsi="Arial"/>
                <w:sz w:val="15"/>
                <w:szCs w:val="15"/>
                <w:b w:val="1"/>
                <w:bCs w:val="1"/>
                <w:color w:val="FFFFFF"/>
              </w:rPr>
              <w:t>All Other</w:t>
            </w:r>
          </w:p>
        </w:tc>
        <w:tc>
          <w:tcPr>
            <w:tcW w:w="1200" w:type="dxa"/>
            <w:vAlign w:val="bottom"/>
            <w:tcBorders>
              <w:top w:val="single" w:sz="8" w:color="0A2299"/>
            </w:tcBorders>
            <w:shd w:val="clear" w:color="auto" w:fill="003595"/>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620" w:type="dxa"/>
            <w:vAlign w:val="bottom"/>
            <w:shd w:val="clear" w:color="auto" w:fill="003595"/>
          </w:tcPr>
          <w:p>
            <w:pPr>
              <w:spacing w:after="0"/>
              <w:rPr>
                <w:sz w:val="7"/>
                <w:szCs w:val="7"/>
                <w:color w:val="auto"/>
              </w:rPr>
            </w:pPr>
          </w:p>
        </w:tc>
        <w:tc>
          <w:tcPr>
            <w:tcW w:w="1360" w:type="dxa"/>
            <w:vAlign w:val="bottom"/>
            <w:shd w:val="clear" w:color="auto" w:fill="003595"/>
          </w:tcPr>
          <w:p>
            <w:pPr>
              <w:spacing w:after="0"/>
              <w:rPr>
                <w:sz w:val="7"/>
                <w:szCs w:val="7"/>
                <w:color w:val="auto"/>
              </w:rPr>
            </w:pPr>
          </w:p>
        </w:tc>
        <w:tc>
          <w:tcPr>
            <w:tcW w:w="1180" w:type="dxa"/>
            <w:vAlign w:val="bottom"/>
            <w:vMerge w:val="restart"/>
            <w:shd w:val="clear" w:color="auto" w:fill="003595"/>
          </w:tcPr>
          <w:p>
            <w:pPr>
              <w:ind w:left="480"/>
              <w:spacing w:after="0"/>
              <w:rPr>
                <w:sz w:val="20"/>
                <w:szCs w:val="20"/>
                <w:color w:val="auto"/>
              </w:rPr>
            </w:pPr>
            <w:r>
              <w:rPr>
                <w:rFonts w:ascii="Arial" w:cs="Arial" w:eastAsia="Arial" w:hAnsi="Arial"/>
                <w:sz w:val="15"/>
                <w:szCs w:val="15"/>
                <w:b w:val="1"/>
                <w:bCs w:val="1"/>
                <w:color w:val="FFFFFF"/>
              </w:rPr>
              <w:t>Salary</w:t>
            </w:r>
          </w:p>
        </w:tc>
        <w:tc>
          <w:tcPr>
            <w:tcW w:w="1020" w:type="dxa"/>
            <w:vAlign w:val="bottom"/>
            <w:vMerge w:val="restart"/>
            <w:shd w:val="clear" w:color="auto" w:fill="003595"/>
          </w:tcPr>
          <w:p>
            <w:pPr>
              <w:ind w:left="160"/>
              <w:spacing w:after="0"/>
              <w:rPr>
                <w:sz w:val="20"/>
                <w:szCs w:val="20"/>
                <w:color w:val="auto"/>
              </w:rPr>
            </w:pPr>
            <w:r>
              <w:rPr>
                <w:rFonts w:ascii="Arial" w:cs="Arial" w:eastAsia="Arial" w:hAnsi="Arial"/>
                <w:sz w:val="15"/>
                <w:szCs w:val="15"/>
                <w:b w:val="1"/>
                <w:bCs w:val="1"/>
                <w:color w:val="FFFFFF"/>
              </w:rPr>
              <w:t>Bonus ($)</w:t>
            </w:r>
          </w:p>
        </w:tc>
        <w:tc>
          <w:tcPr>
            <w:tcW w:w="1020" w:type="dxa"/>
            <w:vAlign w:val="bottom"/>
            <w:vMerge w:val="continue"/>
            <w:shd w:val="clear" w:color="auto" w:fill="003595"/>
          </w:tcPr>
          <w:p>
            <w:pPr>
              <w:spacing w:after="0"/>
              <w:rPr>
                <w:sz w:val="7"/>
                <w:szCs w:val="7"/>
                <w:color w:val="auto"/>
              </w:rPr>
            </w:pPr>
          </w:p>
        </w:tc>
        <w:tc>
          <w:tcPr>
            <w:tcW w:w="1380" w:type="dxa"/>
            <w:vAlign w:val="bottom"/>
            <w:vMerge w:val="restart"/>
            <w:shd w:val="clear" w:color="auto" w:fill="003595"/>
          </w:tcPr>
          <w:p>
            <w:pPr>
              <w:jc w:val="center"/>
              <w:spacing w:after="0"/>
              <w:rPr>
                <w:sz w:val="20"/>
                <w:szCs w:val="20"/>
                <w:color w:val="auto"/>
              </w:rPr>
            </w:pPr>
            <w:r>
              <w:rPr>
                <w:rFonts w:ascii="Arial" w:cs="Arial" w:eastAsia="Arial" w:hAnsi="Arial"/>
                <w:sz w:val="15"/>
                <w:szCs w:val="15"/>
                <w:b w:val="1"/>
                <w:bCs w:val="1"/>
                <w:color w:val="FFFFFF"/>
              </w:rPr>
              <w:t>Incentive Plan</w:t>
            </w:r>
          </w:p>
        </w:tc>
        <w:tc>
          <w:tcPr>
            <w:tcW w:w="1460" w:type="dxa"/>
            <w:vAlign w:val="bottom"/>
            <w:vMerge w:val="continue"/>
            <w:shd w:val="clear" w:color="auto" w:fill="003595"/>
          </w:tcPr>
          <w:p>
            <w:pPr>
              <w:spacing w:after="0"/>
              <w:rPr>
                <w:sz w:val="7"/>
                <w:szCs w:val="7"/>
                <w:color w:val="auto"/>
              </w:rPr>
            </w:pPr>
          </w:p>
        </w:tc>
        <w:tc>
          <w:tcPr>
            <w:tcW w:w="1200" w:type="dxa"/>
            <w:vAlign w:val="bottom"/>
            <w:vMerge w:val="restart"/>
            <w:shd w:val="clear" w:color="auto" w:fill="003595"/>
          </w:tcPr>
          <w:p>
            <w:pPr>
              <w:ind w:left="380"/>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95"/>
        </w:trPr>
        <w:tc>
          <w:tcPr>
            <w:tcW w:w="2620" w:type="dxa"/>
            <w:vAlign w:val="bottom"/>
            <w:vMerge w:val="restart"/>
            <w:shd w:val="clear" w:color="auto" w:fill="003595"/>
          </w:tcPr>
          <w:p>
            <w:pPr>
              <w:ind w:left="280"/>
              <w:spacing w:after="0"/>
              <w:rPr>
                <w:sz w:val="20"/>
                <w:szCs w:val="20"/>
                <w:color w:val="auto"/>
              </w:rPr>
            </w:pPr>
            <w:r>
              <w:rPr>
                <w:rFonts w:ascii="Arial" w:cs="Arial" w:eastAsia="Arial" w:hAnsi="Arial"/>
                <w:sz w:val="15"/>
                <w:szCs w:val="15"/>
                <w:b w:val="1"/>
                <w:bCs w:val="1"/>
                <w:color w:val="FFFFFF"/>
              </w:rPr>
              <w:t>Name and Principal Position</w:t>
            </w:r>
          </w:p>
        </w:tc>
        <w:tc>
          <w:tcPr>
            <w:tcW w:w="1360" w:type="dxa"/>
            <w:vAlign w:val="bottom"/>
            <w:shd w:val="clear" w:color="auto" w:fill="003595"/>
          </w:tcPr>
          <w:p>
            <w:pPr>
              <w:spacing w:after="0"/>
              <w:rPr>
                <w:sz w:val="8"/>
                <w:szCs w:val="8"/>
                <w:color w:val="auto"/>
              </w:rPr>
            </w:pPr>
          </w:p>
        </w:tc>
        <w:tc>
          <w:tcPr>
            <w:tcW w:w="1180" w:type="dxa"/>
            <w:vAlign w:val="bottom"/>
            <w:vMerge w:val="continue"/>
            <w:shd w:val="clear" w:color="auto" w:fill="003595"/>
          </w:tcPr>
          <w:p>
            <w:pPr>
              <w:spacing w:after="0"/>
              <w:rPr>
                <w:sz w:val="8"/>
                <w:szCs w:val="8"/>
                <w:color w:val="auto"/>
              </w:rPr>
            </w:pPr>
          </w:p>
        </w:tc>
        <w:tc>
          <w:tcPr>
            <w:tcW w:w="1020" w:type="dxa"/>
            <w:vAlign w:val="bottom"/>
            <w:vMerge w:val="continue"/>
            <w:shd w:val="clear" w:color="auto" w:fill="003595"/>
          </w:tcPr>
          <w:p>
            <w:pPr>
              <w:spacing w:after="0"/>
              <w:rPr>
                <w:sz w:val="8"/>
                <w:szCs w:val="8"/>
                <w:color w:val="auto"/>
              </w:rPr>
            </w:pPr>
          </w:p>
        </w:tc>
        <w:tc>
          <w:tcPr>
            <w:tcW w:w="1020" w:type="dxa"/>
            <w:vAlign w:val="bottom"/>
            <w:vMerge w:val="restart"/>
            <w:shd w:val="clear" w:color="auto" w:fill="003595"/>
          </w:tcPr>
          <w:p>
            <w:pPr>
              <w:jc w:val="center"/>
              <w:spacing w:after="0"/>
              <w:rPr>
                <w:sz w:val="20"/>
                <w:szCs w:val="20"/>
                <w:color w:val="auto"/>
              </w:rPr>
            </w:pPr>
            <w:r>
              <w:rPr>
                <w:rFonts w:ascii="Arial" w:cs="Arial" w:eastAsia="Arial" w:hAnsi="Arial"/>
                <w:sz w:val="15"/>
                <w:szCs w:val="15"/>
                <w:b w:val="1"/>
                <w:bCs w:val="1"/>
                <w:color w:val="FFFFFF"/>
              </w:rPr>
              <w:t>Awards</w:t>
            </w:r>
          </w:p>
        </w:tc>
        <w:tc>
          <w:tcPr>
            <w:tcW w:w="1380" w:type="dxa"/>
            <w:vAlign w:val="bottom"/>
            <w:vMerge w:val="continue"/>
            <w:shd w:val="clear" w:color="auto" w:fill="003595"/>
          </w:tcPr>
          <w:p>
            <w:pPr>
              <w:spacing w:after="0"/>
              <w:rPr>
                <w:sz w:val="8"/>
                <w:szCs w:val="8"/>
                <w:color w:val="auto"/>
              </w:rPr>
            </w:pPr>
          </w:p>
        </w:tc>
        <w:tc>
          <w:tcPr>
            <w:tcW w:w="1460" w:type="dxa"/>
            <w:vAlign w:val="bottom"/>
            <w:vMerge w:val="restart"/>
            <w:shd w:val="clear" w:color="auto" w:fill="003595"/>
          </w:tcPr>
          <w:p>
            <w:pPr>
              <w:jc w:val="center"/>
              <w:ind w:right="15"/>
              <w:spacing w:after="0"/>
              <w:rPr>
                <w:sz w:val="20"/>
                <w:szCs w:val="20"/>
                <w:color w:val="auto"/>
              </w:rPr>
            </w:pPr>
            <w:r>
              <w:rPr>
                <w:rFonts w:ascii="Arial" w:cs="Arial" w:eastAsia="Arial" w:hAnsi="Arial"/>
                <w:sz w:val="15"/>
                <w:szCs w:val="15"/>
                <w:b w:val="1"/>
                <w:bCs w:val="1"/>
                <w:color w:val="FFFFFF"/>
              </w:rPr>
              <w:t>Compensation</w:t>
            </w:r>
          </w:p>
        </w:tc>
        <w:tc>
          <w:tcPr>
            <w:tcW w:w="1200" w:type="dxa"/>
            <w:vAlign w:val="bottom"/>
            <w:vMerge w:val="continue"/>
            <w:shd w:val="clear" w:color="auto" w:fill="003595"/>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20" w:type="dxa"/>
            <w:vAlign w:val="bottom"/>
            <w:vMerge w:val="continue"/>
            <w:shd w:val="clear" w:color="auto" w:fill="003595"/>
          </w:tcPr>
          <w:p>
            <w:pPr>
              <w:spacing w:after="0"/>
              <w:rPr>
                <w:sz w:val="8"/>
                <w:szCs w:val="8"/>
                <w:color w:val="auto"/>
              </w:rPr>
            </w:pPr>
          </w:p>
        </w:tc>
        <w:tc>
          <w:tcPr>
            <w:tcW w:w="1360" w:type="dxa"/>
            <w:vAlign w:val="bottom"/>
            <w:vMerge w:val="restart"/>
            <w:shd w:val="clear" w:color="auto" w:fill="003595"/>
          </w:tcPr>
          <w:p>
            <w:pPr>
              <w:jc w:val="center"/>
              <w:ind w:left="156"/>
              <w:spacing w:after="0"/>
              <w:rPr>
                <w:sz w:val="20"/>
                <w:szCs w:val="20"/>
                <w:color w:val="auto"/>
              </w:rPr>
            </w:pPr>
            <w:r>
              <w:rPr>
                <w:rFonts w:ascii="Arial" w:cs="Arial" w:eastAsia="Arial" w:hAnsi="Arial"/>
                <w:sz w:val="15"/>
                <w:szCs w:val="15"/>
                <w:b w:val="1"/>
                <w:bCs w:val="1"/>
                <w:color w:val="FFFFFF"/>
              </w:rPr>
              <w:t>Year</w:t>
            </w:r>
          </w:p>
        </w:tc>
        <w:tc>
          <w:tcPr>
            <w:tcW w:w="1180" w:type="dxa"/>
            <w:vAlign w:val="bottom"/>
            <w:vMerge w:val="restart"/>
            <w:shd w:val="clear" w:color="auto" w:fill="003595"/>
          </w:tcPr>
          <w:p>
            <w:pPr>
              <w:jc w:val="center"/>
              <w:ind w:left="176"/>
              <w:spacing w:after="0"/>
              <w:rPr>
                <w:sz w:val="20"/>
                <w:szCs w:val="20"/>
                <w:color w:val="auto"/>
              </w:rPr>
            </w:pPr>
            <w:r>
              <w:rPr>
                <w:rFonts w:ascii="Arial" w:cs="Arial" w:eastAsia="Arial" w:hAnsi="Arial"/>
                <w:sz w:val="15"/>
                <w:szCs w:val="15"/>
                <w:b w:val="1"/>
                <w:bCs w:val="1"/>
                <w:color w:val="FFFFFF"/>
                <w:w w:val="97"/>
              </w:rPr>
              <w:t>($)</w:t>
            </w:r>
          </w:p>
        </w:tc>
        <w:tc>
          <w:tcPr>
            <w:tcW w:w="1020" w:type="dxa"/>
            <w:vAlign w:val="bottom"/>
            <w:vMerge w:val="restart"/>
            <w:shd w:val="clear" w:color="auto" w:fill="003595"/>
          </w:tcPr>
          <w:p>
            <w:pPr>
              <w:jc w:val="center"/>
              <w:spacing w:after="0"/>
              <w:rPr>
                <w:sz w:val="20"/>
                <w:szCs w:val="20"/>
                <w:color w:val="auto"/>
              </w:rPr>
            </w:pPr>
            <w:r>
              <w:rPr>
                <w:rFonts w:ascii="Arial" w:cs="Arial" w:eastAsia="Arial" w:hAnsi="Arial"/>
                <w:sz w:val="15"/>
                <w:szCs w:val="15"/>
                <w:b w:val="1"/>
                <w:bCs w:val="1"/>
                <w:color w:val="FFFFFF"/>
                <w:w w:val="97"/>
              </w:rPr>
              <w:t>(1)</w:t>
            </w:r>
          </w:p>
        </w:tc>
        <w:tc>
          <w:tcPr>
            <w:tcW w:w="1020" w:type="dxa"/>
            <w:vAlign w:val="bottom"/>
            <w:vMerge w:val="continue"/>
            <w:shd w:val="clear" w:color="auto" w:fill="003595"/>
          </w:tcPr>
          <w:p>
            <w:pPr>
              <w:spacing w:after="0"/>
              <w:rPr>
                <w:sz w:val="8"/>
                <w:szCs w:val="8"/>
                <w:color w:val="auto"/>
              </w:rPr>
            </w:pPr>
          </w:p>
        </w:tc>
        <w:tc>
          <w:tcPr>
            <w:tcW w:w="1380" w:type="dxa"/>
            <w:vAlign w:val="bottom"/>
            <w:vMerge w:val="restart"/>
            <w:shd w:val="clear" w:color="auto" w:fill="003595"/>
          </w:tcPr>
          <w:p>
            <w:pPr>
              <w:jc w:val="center"/>
              <w:spacing w:after="0"/>
              <w:rPr>
                <w:sz w:val="20"/>
                <w:szCs w:val="20"/>
                <w:color w:val="auto"/>
              </w:rPr>
            </w:pPr>
            <w:r>
              <w:rPr>
                <w:rFonts w:ascii="Arial" w:cs="Arial" w:eastAsia="Arial" w:hAnsi="Arial"/>
                <w:sz w:val="15"/>
                <w:szCs w:val="15"/>
                <w:b w:val="1"/>
                <w:bCs w:val="1"/>
                <w:color w:val="FFFFFF"/>
              </w:rPr>
              <w:t>Compensation</w:t>
            </w:r>
          </w:p>
        </w:tc>
        <w:tc>
          <w:tcPr>
            <w:tcW w:w="1460" w:type="dxa"/>
            <w:vAlign w:val="bottom"/>
            <w:vMerge w:val="continue"/>
            <w:shd w:val="clear" w:color="auto" w:fill="003595"/>
          </w:tcPr>
          <w:p>
            <w:pPr>
              <w:spacing w:after="0"/>
              <w:rPr>
                <w:sz w:val="8"/>
                <w:szCs w:val="8"/>
                <w:color w:val="auto"/>
              </w:rPr>
            </w:pPr>
          </w:p>
        </w:tc>
        <w:tc>
          <w:tcPr>
            <w:tcW w:w="1200" w:type="dxa"/>
            <w:vAlign w:val="bottom"/>
            <w:vMerge w:val="restart"/>
            <w:shd w:val="clear" w:color="auto" w:fill="003595"/>
          </w:tcPr>
          <w:p>
            <w:pPr>
              <w:jc w:val="center"/>
              <w:spacing w:after="0"/>
              <w:rPr>
                <w:sz w:val="20"/>
                <w:szCs w:val="20"/>
                <w:color w:val="auto"/>
              </w:rPr>
            </w:pPr>
            <w:r>
              <w:rPr>
                <w:rFonts w:ascii="Arial" w:cs="Arial" w:eastAsia="Arial" w:hAnsi="Arial"/>
                <w:sz w:val="15"/>
                <w:szCs w:val="15"/>
                <w:b w:val="1"/>
                <w:bCs w:val="1"/>
                <w:color w:val="FFFFFF"/>
                <w:w w:val="97"/>
              </w:rPr>
              <w:t>($)</w:t>
            </w:r>
          </w:p>
        </w:tc>
        <w:tc>
          <w:tcPr>
            <w:tcW w:w="0" w:type="dxa"/>
            <w:vAlign w:val="bottom"/>
          </w:tcPr>
          <w:p>
            <w:pPr>
              <w:spacing w:after="0"/>
              <w:rPr>
                <w:sz w:val="1"/>
                <w:szCs w:val="1"/>
                <w:color w:val="auto"/>
              </w:rPr>
            </w:pPr>
          </w:p>
        </w:tc>
      </w:tr>
      <w:tr>
        <w:trPr>
          <w:trHeight w:val="108"/>
        </w:trPr>
        <w:tc>
          <w:tcPr>
            <w:tcW w:w="2620" w:type="dxa"/>
            <w:vAlign w:val="bottom"/>
            <w:shd w:val="clear" w:color="auto" w:fill="003595"/>
          </w:tcPr>
          <w:p>
            <w:pPr>
              <w:spacing w:after="0"/>
              <w:rPr>
                <w:sz w:val="9"/>
                <w:szCs w:val="9"/>
                <w:color w:val="auto"/>
              </w:rPr>
            </w:pPr>
          </w:p>
        </w:tc>
        <w:tc>
          <w:tcPr>
            <w:tcW w:w="1360" w:type="dxa"/>
            <w:vAlign w:val="bottom"/>
            <w:vMerge w:val="continue"/>
            <w:shd w:val="clear" w:color="auto" w:fill="003595"/>
          </w:tcPr>
          <w:p>
            <w:pPr>
              <w:spacing w:after="0"/>
              <w:rPr>
                <w:sz w:val="9"/>
                <w:szCs w:val="9"/>
                <w:color w:val="auto"/>
              </w:rPr>
            </w:pPr>
          </w:p>
        </w:tc>
        <w:tc>
          <w:tcPr>
            <w:tcW w:w="1180" w:type="dxa"/>
            <w:vAlign w:val="bottom"/>
            <w:vMerge w:val="continue"/>
            <w:shd w:val="clear" w:color="auto" w:fill="003595"/>
          </w:tcPr>
          <w:p>
            <w:pPr>
              <w:spacing w:after="0"/>
              <w:rPr>
                <w:sz w:val="9"/>
                <w:szCs w:val="9"/>
                <w:color w:val="auto"/>
              </w:rPr>
            </w:pPr>
          </w:p>
        </w:tc>
        <w:tc>
          <w:tcPr>
            <w:tcW w:w="1020" w:type="dxa"/>
            <w:vAlign w:val="bottom"/>
            <w:vMerge w:val="continue"/>
            <w:shd w:val="clear" w:color="auto" w:fill="003595"/>
          </w:tcPr>
          <w:p>
            <w:pPr>
              <w:spacing w:after="0"/>
              <w:rPr>
                <w:sz w:val="9"/>
                <w:szCs w:val="9"/>
                <w:color w:val="auto"/>
              </w:rPr>
            </w:pPr>
          </w:p>
        </w:tc>
        <w:tc>
          <w:tcPr>
            <w:tcW w:w="1020" w:type="dxa"/>
            <w:vAlign w:val="bottom"/>
            <w:vMerge w:val="restart"/>
            <w:shd w:val="clear" w:color="auto" w:fill="003595"/>
          </w:tcPr>
          <w:p>
            <w:pPr>
              <w:jc w:val="center"/>
              <w:spacing w:after="0"/>
              <w:rPr>
                <w:sz w:val="20"/>
                <w:szCs w:val="20"/>
                <w:color w:val="auto"/>
              </w:rPr>
            </w:pPr>
            <w:r>
              <w:rPr>
                <w:rFonts w:ascii="Arial" w:cs="Arial" w:eastAsia="Arial" w:hAnsi="Arial"/>
                <w:sz w:val="15"/>
                <w:szCs w:val="15"/>
                <w:b w:val="1"/>
                <w:bCs w:val="1"/>
                <w:color w:val="FFFFFF"/>
              </w:rPr>
              <w:t>($) (2)</w:t>
            </w:r>
          </w:p>
        </w:tc>
        <w:tc>
          <w:tcPr>
            <w:tcW w:w="1380" w:type="dxa"/>
            <w:vAlign w:val="bottom"/>
            <w:vMerge w:val="continue"/>
            <w:shd w:val="clear" w:color="auto" w:fill="003595"/>
          </w:tcPr>
          <w:p>
            <w:pPr>
              <w:spacing w:after="0"/>
              <w:rPr>
                <w:sz w:val="9"/>
                <w:szCs w:val="9"/>
                <w:color w:val="auto"/>
              </w:rPr>
            </w:pPr>
          </w:p>
        </w:tc>
        <w:tc>
          <w:tcPr>
            <w:tcW w:w="1460" w:type="dxa"/>
            <w:vAlign w:val="bottom"/>
            <w:vMerge w:val="restart"/>
            <w:shd w:val="clear" w:color="auto" w:fill="003595"/>
          </w:tcPr>
          <w:p>
            <w:pPr>
              <w:jc w:val="center"/>
              <w:ind w:right="15"/>
              <w:spacing w:after="0"/>
              <w:rPr>
                <w:sz w:val="20"/>
                <w:szCs w:val="20"/>
                <w:color w:val="auto"/>
              </w:rPr>
            </w:pPr>
            <w:r>
              <w:rPr>
                <w:rFonts w:ascii="Arial" w:cs="Arial" w:eastAsia="Arial" w:hAnsi="Arial"/>
                <w:sz w:val="15"/>
                <w:szCs w:val="15"/>
                <w:b w:val="1"/>
                <w:bCs w:val="1"/>
                <w:color w:val="FFFFFF"/>
              </w:rPr>
              <w:t>($) (4)</w:t>
            </w:r>
          </w:p>
        </w:tc>
        <w:tc>
          <w:tcPr>
            <w:tcW w:w="1200" w:type="dxa"/>
            <w:vAlign w:val="bottom"/>
            <w:vMerge w:val="continue"/>
            <w:shd w:val="clear" w:color="auto" w:fill="003595"/>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20" w:type="dxa"/>
            <w:vAlign w:val="bottom"/>
            <w:shd w:val="clear" w:color="auto" w:fill="003595"/>
          </w:tcPr>
          <w:p>
            <w:pPr>
              <w:spacing w:after="0"/>
              <w:rPr>
                <w:sz w:val="8"/>
                <w:szCs w:val="8"/>
                <w:color w:val="auto"/>
              </w:rPr>
            </w:pPr>
          </w:p>
        </w:tc>
        <w:tc>
          <w:tcPr>
            <w:tcW w:w="1360" w:type="dxa"/>
            <w:vAlign w:val="bottom"/>
            <w:shd w:val="clear" w:color="auto" w:fill="003595"/>
          </w:tcPr>
          <w:p>
            <w:pPr>
              <w:spacing w:after="0"/>
              <w:rPr>
                <w:sz w:val="8"/>
                <w:szCs w:val="8"/>
                <w:color w:val="auto"/>
              </w:rPr>
            </w:pPr>
          </w:p>
        </w:tc>
        <w:tc>
          <w:tcPr>
            <w:tcW w:w="1180" w:type="dxa"/>
            <w:vAlign w:val="bottom"/>
            <w:shd w:val="clear" w:color="auto" w:fill="003595"/>
          </w:tcPr>
          <w:p>
            <w:pPr>
              <w:spacing w:after="0"/>
              <w:rPr>
                <w:sz w:val="8"/>
                <w:szCs w:val="8"/>
                <w:color w:val="auto"/>
              </w:rPr>
            </w:pPr>
          </w:p>
        </w:tc>
        <w:tc>
          <w:tcPr>
            <w:tcW w:w="1020" w:type="dxa"/>
            <w:vAlign w:val="bottom"/>
            <w:shd w:val="clear" w:color="auto" w:fill="003595"/>
          </w:tcPr>
          <w:p>
            <w:pPr>
              <w:spacing w:after="0"/>
              <w:rPr>
                <w:sz w:val="8"/>
                <w:szCs w:val="8"/>
                <w:color w:val="auto"/>
              </w:rPr>
            </w:pPr>
          </w:p>
        </w:tc>
        <w:tc>
          <w:tcPr>
            <w:tcW w:w="1020" w:type="dxa"/>
            <w:vAlign w:val="bottom"/>
            <w:vMerge w:val="continue"/>
            <w:shd w:val="clear" w:color="auto" w:fill="003595"/>
          </w:tcPr>
          <w:p>
            <w:pPr>
              <w:spacing w:after="0"/>
              <w:rPr>
                <w:sz w:val="8"/>
                <w:szCs w:val="8"/>
                <w:color w:val="auto"/>
              </w:rPr>
            </w:pPr>
          </w:p>
        </w:tc>
        <w:tc>
          <w:tcPr>
            <w:tcW w:w="1380" w:type="dxa"/>
            <w:vAlign w:val="bottom"/>
            <w:vMerge w:val="restart"/>
            <w:shd w:val="clear" w:color="auto" w:fill="003595"/>
          </w:tcPr>
          <w:p>
            <w:pPr>
              <w:jc w:val="center"/>
              <w:spacing w:after="0"/>
              <w:rPr>
                <w:sz w:val="20"/>
                <w:szCs w:val="20"/>
                <w:color w:val="auto"/>
              </w:rPr>
            </w:pPr>
            <w:r>
              <w:rPr>
                <w:rFonts w:ascii="Arial" w:cs="Arial" w:eastAsia="Arial" w:hAnsi="Arial"/>
                <w:sz w:val="15"/>
                <w:szCs w:val="15"/>
                <w:b w:val="1"/>
                <w:bCs w:val="1"/>
                <w:color w:val="FFFFFF"/>
                <w:w w:val="97"/>
              </w:rPr>
              <w:t>($) (3)</w:t>
            </w:r>
          </w:p>
        </w:tc>
        <w:tc>
          <w:tcPr>
            <w:tcW w:w="1460" w:type="dxa"/>
            <w:vAlign w:val="bottom"/>
            <w:vMerge w:val="continue"/>
            <w:shd w:val="clear" w:color="auto" w:fill="003595"/>
          </w:tcPr>
          <w:p>
            <w:pPr>
              <w:spacing w:after="0"/>
              <w:rPr>
                <w:sz w:val="8"/>
                <w:szCs w:val="8"/>
                <w:color w:val="auto"/>
              </w:rPr>
            </w:pPr>
          </w:p>
        </w:tc>
        <w:tc>
          <w:tcPr>
            <w:tcW w:w="1200" w:type="dxa"/>
            <w:vAlign w:val="bottom"/>
            <w:shd w:val="clear" w:color="auto" w:fill="003595"/>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620" w:type="dxa"/>
            <w:vAlign w:val="bottom"/>
            <w:tcBorders>
              <w:bottom w:val="single" w:sz="8" w:color="0A2299"/>
            </w:tcBorders>
            <w:shd w:val="clear" w:color="auto" w:fill="003595"/>
          </w:tcPr>
          <w:p>
            <w:pPr>
              <w:spacing w:after="0"/>
              <w:rPr>
                <w:sz w:val="9"/>
                <w:szCs w:val="9"/>
                <w:color w:val="auto"/>
              </w:rPr>
            </w:pPr>
          </w:p>
        </w:tc>
        <w:tc>
          <w:tcPr>
            <w:tcW w:w="1360" w:type="dxa"/>
            <w:vAlign w:val="bottom"/>
            <w:tcBorders>
              <w:bottom w:val="single" w:sz="8" w:color="0A2299"/>
            </w:tcBorders>
            <w:shd w:val="clear" w:color="auto" w:fill="003595"/>
          </w:tcPr>
          <w:p>
            <w:pPr>
              <w:spacing w:after="0"/>
              <w:rPr>
                <w:sz w:val="9"/>
                <w:szCs w:val="9"/>
                <w:color w:val="auto"/>
              </w:rPr>
            </w:pPr>
          </w:p>
        </w:tc>
        <w:tc>
          <w:tcPr>
            <w:tcW w:w="1180" w:type="dxa"/>
            <w:vAlign w:val="bottom"/>
            <w:tcBorders>
              <w:bottom w:val="single" w:sz="8" w:color="0A2299"/>
            </w:tcBorders>
            <w:shd w:val="clear" w:color="auto" w:fill="003595"/>
          </w:tcPr>
          <w:p>
            <w:pPr>
              <w:spacing w:after="0"/>
              <w:rPr>
                <w:sz w:val="9"/>
                <w:szCs w:val="9"/>
                <w:color w:val="auto"/>
              </w:rPr>
            </w:pPr>
          </w:p>
        </w:tc>
        <w:tc>
          <w:tcPr>
            <w:tcW w:w="1020" w:type="dxa"/>
            <w:vAlign w:val="bottom"/>
            <w:tcBorders>
              <w:bottom w:val="single" w:sz="8" w:color="0A2299"/>
            </w:tcBorders>
            <w:shd w:val="clear" w:color="auto" w:fill="003595"/>
          </w:tcPr>
          <w:p>
            <w:pPr>
              <w:spacing w:after="0"/>
              <w:rPr>
                <w:sz w:val="9"/>
                <w:szCs w:val="9"/>
                <w:color w:val="auto"/>
              </w:rPr>
            </w:pPr>
          </w:p>
        </w:tc>
        <w:tc>
          <w:tcPr>
            <w:tcW w:w="1020" w:type="dxa"/>
            <w:vAlign w:val="bottom"/>
            <w:tcBorders>
              <w:bottom w:val="single" w:sz="8" w:color="0A2299"/>
            </w:tcBorders>
            <w:shd w:val="clear" w:color="auto" w:fill="003595"/>
          </w:tcPr>
          <w:p>
            <w:pPr>
              <w:spacing w:after="0"/>
              <w:rPr>
                <w:sz w:val="9"/>
                <w:szCs w:val="9"/>
                <w:color w:val="auto"/>
              </w:rPr>
            </w:pPr>
          </w:p>
        </w:tc>
        <w:tc>
          <w:tcPr>
            <w:tcW w:w="1380" w:type="dxa"/>
            <w:vAlign w:val="bottom"/>
            <w:tcBorders>
              <w:bottom w:val="single" w:sz="8" w:color="0A2299"/>
            </w:tcBorders>
            <w:vMerge w:val="continue"/>
            <w:shd w:val="clear" w:color="auto" w:fill="003595"/>
          </w:tcPr>
          <w:p>
            <w:pPr>
              <w:spacing w:after="0"/>
              <w:rPr>
                <w:sz w:val="9"/>
                <w:szCs w:val="9"/>
                <w:color w:val="auto"/>
              </w:rPr>
            </w:pPr>
          </w:p>
        </w:tc>
        <w:tc>
          <w:tcPr>
            <w:tcW w:w="1460" w:type="dxa"/>
            <w:vAlign w:val="bottom"/>
            <w:tcBorders>
              <w:bottom w:val="single" w:sz="8" w:color="0A2299"/>
            </w:tcBorders>
            <w:shd w:val="clear" w:color="auto" w:fill="003595"/>
          </w:tcPr>
          <w:p>
            <w:pPr>
              <w:spacing w:after="0"/>
              <w:rPr>
                <w:sz w:val="9"/>
                <w:szCs w:val="9"/>
                <w:color w:val="auto"/>
              </w:rPr>
            </w:pPr>
          </w:p>
        </w:tc>
        <w:tc>
          <w:tcPr>
            <w:tcW w:w="1200" w:type="dxa"/>
            <w:vAlign w:val="bottom"/>
            <w:tcBorders>
              <w:bottom w:val="single" w:sz="8" w:color="0A2299"/>
            </w:tcBorders>
            <w:shd w:val="clear" w:color="auto" w:fill="003595"/>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20"/>
              <w:spacing w:after="0"/>
              <w:rPr>
                <w:sz w:val="20"/>
                <w:szCs w:val="20"/>
                <w:color w:val="auto"/>
              </w:rPr>
            </w:pPr>
            <w:r>
              <w:rPr>
                <w:rFonts w:ascii="Arial" w:cs="Arial" w:eastAsia="Arial" w:hAnsi="Arial"/>
                <w:sz w:val="13"/>
                <w:szCs w:val="13"/>
                <w:color w:val="auto"/>
              </w:rPr>
              <w:t>Samraat S. Raha</w:t>
            </w:r>
          </w:p>
        </w:tc>
        <w:tc>
          <w:tcPr>
            <w:tcW w:w="1360" w:type="dxa"/>
            <w:vAlign w:val="bottom"/>
          </w:tcPr>
          <w:p>
            <w:pPr>
              <w:jc w:val="center"/>
              <w:ind w:left="176"/>
              <w:spacing w:after="0"/>
              <w:rPr>
                <w:sz w:val="20"/>
                <w:szCs w:val="20"/>
                <w:color w:val="auto"/>
              </w:rPr>
            </w:pPr>
            <w:r>
              <w:rPr>
                <w:rFonts w:ascii="Arial" w:cs="Arial" w:eastAsia="Arial" w:hAnsi="Arial"/>
                <w:sz w:val="13"/>
                <w:szCs w:val="13"/>
                <w:color w:val="auto"/>
                <w:w w:val="96"/>
              </w:rPr>
              <w:t>2025</w:t>
            </w:r>
          </w:p>
        </w:tc>
        <w:tc>
          <w:tcPr>
            <w:tcW w:w="1180" w:type="dxa"/>
            <w:vAlign w:val="bottom"/>
          </w:tcPr>
          <w:p>
            <w:pPr>
              <w:jc w:val="center"/>
              <w:ind w:left="176"/>
              <w:spacing w:after="0"/>
              <w:rPr>
                <w:sz w:val="20"/>
                <w:szCs w:val="20"/>
                <w:color w:val="auto"/>
              </w:rPr>
            </w:pPr>
            <w:r>
              <w:rPr>
                <w:rFonts w:ascii="Arial" w:cs="Arial" w:eastAsia="Arial" w:hAnsi="Arial"/>
                <w:sz w:val="13"/>
                <w:szCs w:val="13"/>
                <w:color w:val="auto"/>
                <w:w w:val="99"/>
              </w:rPr>
              <w:t>$856,901</w:t>
            </w:r>
          </w:p>
        </w:tc>
        <w:tc>
          <w:tcPr>
            <w:tcW w:w="10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$3,989,729</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$814,660</w:t>
            </w:r>
          </w:p>
        </w:tc>
        <w:tc>
          <w:tcPr>
            <w:tcW w:w="1460" w:type="dxa"/>
            <w:vAlign w:val="bottom"/>
          </w:tcPr>
          <w:p>
            <w:pPr>
              <w:jc w:val="center"/>
              <w:ind w:right="15"/>
              <w:spacing w:after="0"/>
              <w:rPr>
                <w:sz w:val="20"/>
                <w:szCs w:val="20"/>
                <w:color w:val="auto"/>
              </w:rPr>
            </w:pPr>
            <w:r>
              <w:rPr>
                <w:rFonts w:ascii="Arial" w:cs="Arial" w:eastAsia="Arial" w:hAnsi="Arial"/>
                <w:sz w:val="13"/>
                <w:szCs w:val="13"/>
                <w:color w:val="auto"/>
                <w:w w:val="97"/>
              </w:rPr>
              <w:t>$25,450</w:t>
            </w:r>
          </w:p>
        </w:tc>
        <w:tc>
          <w:tcPr>
            <w:tcW w:w="1200" w:type="dxa"/>
            <w:vAlign w:val="bottom"/>
          </w:tcPr>
          <w:p>
            <w:pPr>
              <w:jc w:val="center"/>
              <w:spacing w:after="0"/>
              <w:rPr>
                <w:sz w:val="20"/>
                <w:szCs w:val="20"/>
                <w:color w:val="auto"/>
              </w:rPr>
            </w:pPr>
            <w:r>
              <w:rPr>
                <w:rFonts w:ascii="Arial" w:cs="Arial" w:eastAsia="Arial" w:hAnsi="Arial"/>
                <w:sz w:val="13"/>
                <w:szCs w:val="13"/>
                <w:color w:val="auto"/>
                <w:w w:val="95"/>
              </w:rPr>
              <w:t>$5,686,740</w:t>
            </w:r>
          </w:p>
        </w:tc>
        <w:tc>
          <w:tcPr>
            <w:tcW w:w="0" w:type="dxa"/>
            <w:vAlign w:val="bottom"/>
          </w:tcPr>
          <w:p>
            <w:pPr>
              <w:spacing w:after="0"/>
              <w:rPr>
                <w:sz w:val="1"/>
                <w:szCs w:val="1"/>
                <w:color w:val="auto"/>
              </w:rPr>
            </w:pPr>
          </w:p>
        </w:tc>
      </w:tr>
      <w:tr>
        <w:trPr>
          <w:trHeight w:val="180"/>
        </w:trPr>
        <w:tc>
          <w:tcPr>
            <w:tcW w:w="2620" w:type="dxa"/>
            <w:vAlign w:val="bottom"/>
          </w:tcPr>
          <w:p>
            <w:pPr>
              <w:ind w:left="160"/>
              <w:spacing w:after="0" w:line="180" w:lineRule="exact"/>
              <w:rPr>
                <w:sz w:val="20"/>
                <w:szCs w:val="20"/>
                <w:color w:val="auto"/>
              </w:rPr>
            </w:pPr>
            <w:r>
              <w:rPr>
                <w:rFonts w:ascii="Arial" w:cs="Arial" w:eastAsia="Arial" w:hAnsi="Arial"/>
                <w:sz w:val="13"/>
                <w:szCs w:val="13"/>
                <w:color w:val="auto"/>
              </w:rPr>
              <w:t xml:space="preserve">President and Chief Executive Officer </w:t>
            </w:r>
            <w:r>
              <w:rPr>
                <w:rFonts w:ascii="Arial" w:cs="Arial" w:eastAsia="Arial" w:hAnsi="Arial"/>
                <w:sz w:val="16"/>
                <w:szCs w:val="16"/>
                <w:color w:val="auto"/>
                <w:vertAlign w:val="superscript"/>
              </w:rPr>
              <w:t>(5)</w:t>
            </w:r>
          </w:p>
        </w:tc>
        <w:tc>
          <w:tcPr>
            <w:tcW w:w="1360" w:type="dxa"/>
            <w:vAlign w:val="bottom"/>
            <w:vMerge w:val="restart"/>
          </w:tcPr>
          <w:p>
            <w:pPr>
              <w:jc w:val="center"/>
              <w:ind w:left="176"/>
              <w:spacing w:after="0"/>
              <w:rPr>
                <w:sz w:val="20"/>
                <w:szCs w:val="20"/>
                <w:color w:val="auto"/>
              </w:rPr>
            </w:pPr>
            <w:r>
              <w:rPr>
                <w:rFonts w:ascii="Arial" w:cs="Arial" w:eastAsia="Arial" w:hAnsi="Arial"/>
                <w:sz w:val="13"/>
                <w:szCs w:val="13"/>
                <w:color w:val="auto"/>
                <w:w w:val="96"/>
              </w:rPr>
              <w:t>2024</w:t>
            </w:r>
          </w:p>
        </w:tc>
        <w:tc>
          <w:tcPr>
            <w:tcW w:w="1180" w:type="dxa"/>
            <w:vAlign w:val="bottom"/>
            <w:vMerge w:val="restart"/>
          </w:tcPr>
          <w:p>
            <w:pPr>
              <w:jc w:val="center"/>
              <w:ind w:left="176"/>
              <w:spacing w:after="0"/>
              <w:rPr>
                <w:sz w:val="20"/>
                <w:szCs w:val="20"/>
                <w:color w:val="auto"/>
              </w:rPr>
            </w:pPr>
            <w:r>
              <w:rPr>
                <w:rFonts w:ascii="Arial" w:cs="Arial" w:eastAsia="Arial" w:hAnsi="Arial"/>
                <w:sz w:val="13"/>
                <w:szCs w:val="13"/>
                <w:color w:val="auto"/>
                <w:w w:val="99"/>
              </w:rPr>
              <w:t>$750,000</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8"/>
              </w:rPr>
              <w:t>$2,910,681</w:t>
            </w: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w w:val="95"/>
              </w:rPr>
              <w:t>$706,500</w:t>
            </w:r>
          </w:p>
        </w:tc>
        <w:tc>
          <w:tcPr>
            <w:tcW w:w="1460" w:type="dxa"/>
            <w:vAlign w:val="bottom"/>
            <w:vMerge w:val="restart"/>
          </w:tcPr>
          <w:p>
            <w:pPr>
              <w:jc w:val="center"/>
              <w:ind w:right="15"/>
              <w:spacing w:after="0"/>
              <w:rPr>
                <w:sz w:val="20"/>
                <w:szCs w:val="20"/>
                <w:color w:val="auto"/>
              </w:rPr>
            </w:pPr>
            <w:r>
              <w:rPr>
                <w:rFonts w:ascii="Arial" w:cs="Arial" w:eastAsia="Arial" w:hAnsi="Arial"/>
                <w:sz w:val="13"/>
                <w:szCs w:val="13"/>
                <w:color w:val="auto"/>
                <w:w w:val="97"/>
              </w:rPr>
              <w:t>$22,146</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5"/>
              </w:rPr>
              <w:t>$4,389,327</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tcPr>
          <w:p>
            <w:pPr>
              <w:spacing w:after="0"/>
              <w:rPr>
                <w:sz w:val="17"/>
                <w:szCs w:val="17"/>
                <w:color w:val="auto"/>
              </w:rPr>
            </w:pPr>
          </w:p>
        </w:tc>
        <w:tc>
          <w:tcPr>
            <w:tcW w:w="1360" w:type="dxa"/>
            <w:vAlign w:val="bottom"/>
          </w:tcPr>
          <w:p>
            <w:pPr>
              <w:jc w:val="center"/>
              <w:ind w:left="176"/>
              <w:spacing w:after="0"/>
              <w:rPr>
                <w:sz w:val="20"/>
                <w:szCs w:val="20"/>
                <w:color w:val="auto"/>
              </w:rPr>
            </w:pPr>
            <w:r>
              <w:rPr>
                <w:rFonts w:ascii="Arial" w:cs="Arial" w:eastAsia="Arial" w:hAnsi="Arial"/>
                <w:sz w:val="13"/>
                <w:szCs w:val="13"/>
                <w:color w:val="auto"/>
                <w:w w:val="96"/>
              </w:rPr>
              <w:t>2023</w:t>
            </w:r>
          </w:p>
        </w:tc>
        <w:tc>
          <w:tcPr>
            <w:tcW w:w="1180" w:type="dxa"/>
            <w:vAlign w:val="bottom"/>
          </w:tcPr>
          <w:p>
            <w:pPr>
              <w:jc w:val="center"/>
              <w:ind w:left="176"/>
              <w:spacing w:after="0"/>
              <w:rPr>
                <w:sz w:val="20"/>
                <w:szCs w:val="20"/>
                <w:color w:val="auto"/>
              </w:rPr>
            </w:pPr>
            <w:r>
              <w:rPr>
                <w:rFonts w:ascii="Arial" w:cs="Arial" w:eastAsia="Arial" w:hAnsi="Arial"/>
                <w:sz w:val="13"/>
                <w:szCs w:val="13"/>
                <w:color w:val="auto"/>
                <w:w w:val="97"/>
              </w:rPr>
              <w:t>$14,368</w:t>
            </w: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$500,000</w:t>
            </w:r>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$4,502,658</w:t>
            </w:r>
          </w:p>
        </w:tc>
        <w:tc>
          <w:tcPr>
            <w:tcW w:w="138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1460" w:type="dxa"/>
            <w:vAlign w:val="bottom"/>
          </w:tcPr>
          <w:p>
            <w:pPr>
              <w:jc w:val="center"/>
              <w:spacing w:after="0"/>
              <w:rPr>
                <w:sz w:val="20"/>
                <w:szCs w:val="20"/>
                <w:color w:val="auto"/>
              </w:rPr>
            </w:pPr>
            <w:r>
              <w:rPr>
                <w:rFonts w:ascii="Arial" w:cs="Arial" w:eastAsia="Arial" w:hAnsi="Arial"/>
                <w:sz w:val="13"/>
                <w:szCs w:val="13"/>
                <w:color w:val="auto"/>
                <w:w w:val="96"/>
              </w:rPr>
              <w:t>$390</w:t>
            </w:r>
          </w:p>
        </w:tc>
        <w:tc>
          <w:tcPr>
            <w:tcW w:w="1200" w:type="dxa"/>
            <w:vAlign w:val="bottom"/>
          </w:tcPr>
          <w:p>
            <w:pPr>
              <w:jc w:val="center"/>
              <w:spacing w:after="0"/>
              <w:rPr>
                <w:sz w:val="20"/>
                <w:szCs w:val="20"/>
                <w:color w:val="auto"/>
              </w:rPr>
            </w:pPr>
            <w:r>
              <w:rPr>
                <w:rFonts w:ascii="Arial" w:cs="Arial" w:eastAsia="Arial" w:hAnsi="Arial"/>
                <w:sz w:val="13"/>
                <w:szCs w:val="13"/>
                <w:color w:val="auto"/>
                <w:w w:val="95"/>
              </w:rPr>
              <w:t>$5,017,416</w:t>
            </w:r>
          </w:p>
        </w:tc>
        <w:tc>
          <w:tcPr>
            <w:tcW w:w="0" w:type="dxa"/>
            <w:vAlign w:val="bottom"/>
          </w:tcPr>
          <w:p>
            <w:pPr>
              <w:spacing w:after="0"/>
              <w:rPr>
                <w:sz w:val="1"/>
                <w:szCs w:val="1"/>
                <w:color w:val="auto"/>
              </w:rPr>
            </w:pPr>
          </w:p>
        </w:tc>
      </w:tr>
      <w:tr>
        <w:trPr>
          <w:trHeight w:val="28"/>
        </w:trPr>
        <w:tc>
          <w:tcPr>
            <w:tcW w:w="2620" w:type="dxa"/>
            <w:vAlign w:val="bottom"/>
            <w:tcBorders>
              <w:bottom w:val="single" w:sz="8" w:color="0A2299"/>
            </w:tcBorders>
          </w:tcPr>
          <w:p>
            <w:pPr>
              <w:spacing w:after="0"/>
              <w:rPr>
                <w:sz w:val="2"/>
                <w:szCs w:val="2"/>
                <w:color w:val="auto"/>
              </w:rPr>
            </w:pPr>
          </w:p>
        </w:tc>
        <w:tc>
          <w:tcPr>
            <w:tcW w:w="1360" w:type="dxa"/>
            <w:vAlign w:val="bottom"/>
            <w:tcBorders>
              <w:bottom w:val="single" w:sz="8" w:color="003595"/>
            </w:tcBorders>
          </w:tcPr>
          <w:p>
            <w:pPr>
              <w:spacing w:after="0"/>
              <w:rPr>
                <w:sz w:val="2"/>
                <w:szCs w:val="2"/>
                <w:color w:val="auto"/>
              </w:rPr>
            </w:pPr>
          </w:p>
        </w:tc>
        <w:tc>
          <w:tcPr>
            <w:tcW w:w="1180" w:type="dxa"/>
            <w:vAlign w:val="bottom"/>
            <w:tcBorders>
              <w:bottom w:val="single" w:sz="8" w:color="003595"/>
            </w:tcBorders>
          </w:tcPr>
          <w:p>
            <w:pPr>
              <w:spacing w:after="0"/>
              <w:rPr>
                <w:sz w:val="2"/>
                <w:szCs w:val="2"/>
                <w:color w:val="auto"/>
              </w:rPr>
            </w:pPr>
          </w:p>
        </w:tc>
        <w:tc>
          <w:tcPr>
            <w:tcW w:w="1020" w:type="dxa"/>
            <w:vAlign w:val="bottom"/>
            <w:tcBorders>
              <w:bottom w:val="single" w:sz="8" w:color="003595"/>
            </w:tcBorders>
          </w:tcPr>
          <w:p>
            <w:pPr>
              <w:spacing w:after="0"/>
              <w:rPr>
                <w:sz w:val="2"/>
                <w:szCs w:val="2"/>
                <w:color w:val="auto"/>
              </w:rPr>
            </w:pPr>
          </w:p>
        </w:tc>
        <w:tc>
          <w:tcPr>
            <w:tcW w:w="1020" w:type="dxa"/>
            <w:vAlign w:val="bottom"/>
            <w:tcBorders>
              <w:bottom w:val="single" w:sz="8" w:color="003595"/>
            </w:tcBorders>
          </w:tcPr>
          <w:p>
            <w:pPr>
              <w:spacing w:after="0"/>
              <w:rPr>
                <w:sz w:val="2"/>
                <w:szCs w:val="2"/>
                <w:color w:val="auto"/>
              </w:rPr>
            </w:pPr>
          </w:p>
        </w:tc>
        <w:tc>
          <w:tcPr>
            <w:tcW w:w="1380" w:type="dxa"/>
            <w:vAlign w:val="bottom"/>
            <w:tcBorders>
              <w:bottom w:val="single" w:sz="8" w:color="003595"/>
            </w:tcBorders>
          </w:tcPr>
          <w:p>
            <w:pPr>
              <w:spacing w:after="0"/>
              <w:rPr>
                <w:sz w:val="2"/>
                <w:szCs w:val="2"/>
                <w:color w:val="auto"/>
              </w:rPr>
            </w:pPr>
          </w:p>
        </w:tc>
        <w:tc>
          <w:tcPr>
            <w:tcW w:w="1460" w:type="dxa"/>
            <w:vAlign w:val="bottom"/>
            <w:tcBorders>
              <w:bottom w:val="single" w:sz="8" w:color="003595"/>
            </w:tcBorders>
          </w:tcPr>
          <w:p>
            <w:pPr>
              <w:spacing w:after="0"/>
              <w:rPr>
                <w:sz w:val="2"/>
                <w:szCs w:val="2"/>
                <w:color w:val="auto"/>
              </w:rPr>
            </w:pPr>
          </w:p>
        </w:tc>
        <w:tc>
          <w:tcPr>
            <w:tcW w:w="120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3"/>
                <w:szCs w:val="13"/>
                <w:color w:val="auto"/>
              </w:rPr>
              <w:t>Paul J. Diaz</w:t>
            </w:r>
          </w:p>
        </w:tc>
        <w:tc>
          <w:tcPr>
            <w:tcW w:w="1360" w:type="dxa"/>
            <w:vAlign w:val="bottom"/>
          </w:tcPr>
          <w:p>
            <w:pPr>
              <w:jc w:val="center"/>
              <w:ind w:left="176"/>
              <w:spacing w:after="0"/>
              <w:rPr>
                <w:sz w:val="20"/>
                <w:szCs w:val="20"/>
                <w:color w:val="auto"/>
              </w:rPr>
            </w:pPr>
            <w:r>
              <w:rPr>
                <w:rFonts w:ascii="Arial" w:cs="Arial" w:eastAsia="Arial" w:hAnsi="Arial"/>
                <w:sz w:val="13"/>
                <w:szCs w:val="13"/>
                <w:color w:val="auto"/>
                <w:w w:val="96"/>
              </w:rPr>
              <w:t>2025</w:t>
            </w:r>
          </w:p>
        </w:tc>
        <w:tc>
          <w:tcPr>
            <w:tcW w:w="1180" w:type="dxa"/>
            <w:vAlign w:val="bottom"/>
          </w:tcPr>
          <w:p>
            <w:pPr>
              <w:jc w:val="center"/>
              <w:ind w:left="176"/>
              <w:spacing w:after="0"/>
              <w:rPr>
                <w:sz w:val="20"/>
                <w:szCs w:val="20"/>
                <w:color w:val="auto"/>
              </w:rPr>
            </w:pPr>
            <w:r>
              <w:rPr>
                <w:rFonts w:ascii="Arial" w:cs="Arial" w:eastAsia="Arial" w:hAnsi="Arial"/>
                <w:sz w:val="13"/>
                <w:szCs w:val="13"/>
                <w:color w:val="auto"/>
                <w:w w:val="99"/>
              </w:rPr>
              <w:t>$418,103</w:t>
            </w:r>
          </w:p>
        </w:tc>
        <w:tc>
          <w:tcPr>
            <w:tcW w:w="10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138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1460" w:type="dxa"/>
            <w:vAlign w:val="bottom"/>
          </w:tcPr>
          <w:p>
            <w:pPr>
              <w:jc w:val="center"/>
              <w:spacing w:after="0"/>
              <w:rPr>
                <w:sz w:val="20"/>
                <w:szCs w:val="20"/>
                <w:color w:val="auto"/>
              </w:rPr>
            </w:pPr>
            <w:r>
              <w:rPr>
                <w:rFonts w:ascii="Arial" w:cs="Arial" w:eastAsia="Arial" w:hAnsi="Arial"/>
                <w:sz w:val="13"/>
                <w:szCs w:val="13"/>
                <w:color w:val="auto"/>
                <w:w w:val="95"/>
              </w:rPr>
              <w:t>$270,534</w:t>
            </w:r>
          </w:p>
        </w:tc>
        <w:tc>
          <w:tcPr>
            <w:tcW w:w="1200" w:type="dxa"/>
            <w:vAlign w:val="bottom"/>
          </w:tcPr>
          <w:p>
            <w:pPr>
              <w:jc w:val="center"/>
              <w:ind w:right="16"/>
              <w:spacing w:after="0"/>
              <w:rPr>
                <w:sz w:val="20"/>
                <w:szCs w:val="20"/>
                <w:color w:val="auto"/>
              </w:rPr>
            </w:pPr>
            <w:r>
              <w:rPr>
                <w:rFonts w:ascii="Arial" w:cs="Arial" w:eastAsia="Arial" w:hAnsi="Arial"/>
                <w:sz w:val="13"/>
                <w:szCs w:val="13"/>
                <w:color w:val="auto"/>
                <w:w w:val="95"/>
              </w:rPr>
              <w:t>$688,637</w:t>
            </w:r>
          </w:p>
        </w:tc>
        <w:tc>
          <w:tcPr>
            <w:tcW w:w="0" w:type="dxa"/>
            <w:vAlign w:val="bottom"/>
          </w:tcPr>
          <w:p>
            <w:pPr>
              <w:spacing w:after="0"/>
              <w:rPr>
                <w:sz w:val="1"/>
                <w:szCs w:val="1"/>
                <w:color w:val="auto"/>
              </w:rPr>
            </w:pPr>
          </w:p>
        </w:tc>
      </w:tr>
      <w:tr>
        <w:trPr>
          <w:trHeight w:val="148"/>
        </w:trPr>
        <w:tc>
          <w:tcPr>
            <w:tcW w:w="2620" w:type="dxa"/>
            <w:vAlign w:val="bottom"/>
          </w:tcPr>
          <w:p>
            <w:pPr>
              <w:ind w:left="200"/>
              <w:spacing w:after="0"/>
              <w:rPr>
                <w:sz w:val="20"/>
                <w:szCs w:val="20"/>
                <w:color w:val="auto"/>
              </w:rPr>
            </w:pPr>
            <w:r>
              <w:rPr>
                <w:rFonts w:ascii="Arial" w:cs="Arial" w:eastAsia="Arial" w:hAnsi="Arial"/>
                <w:sz w:val="13"/>
                <w:szCs w:val="13"/>
                <w:color w:val="auto"/>
              </w:rPr>
              <w:t>Former President and Chief Executive</w:t>
            </w:r>
          </w:p>
        </w:tc>
        <w:tc>
          <w:tcPr>
            <w:tcW w:w="1360" w:type="dxa"/>
            <w:vAlign w:val="bottom"/>
            <w:vMerge w:val="restart"/>
          </w:tcPr>
          <w:p>
            <w:pPr>
              <w:jc w:val="center"/>
              <w:ind w:left="176"/>
              <w:spacing w:after="0"/>
              <w:rPr>
                <w:sz w:val="20"/>
                <w:szCs w:val="20"/>
                <w:color w:val="auto"/>
              </w:rPr>
            </w:pPr>
            <w:r>
              <w:rPr>
                <w:rFonts w:ascii="Arial" w:cs="Arial" w:eastAsia="Arial" w:hAnsi="Arial"/>
                <w:sz w:val="13"/>
                <w:szCs w:val="13"/>
                <w:color w:val="auto"/>
                <w:w w:val="96"/>
              </w:rPr>
              <w:t>2024</w:t>
            </w:r>
          </w:p>
        </w:tc>
        <w:tc>
          <w:tcPr>
            <w:tcW w:w="1180" w:type="dxa"/>
            <w:vAlign w:val="bottom"/>
            <w:vMerge w:val="restart"/>
          </w:tcPr>
          <w:p>
            <w:pPr>
              <w:jc w:val="center"/>
              <w:ind w:left="176"/>
              <w:spacing w:after="0"/>
              <w:rPr>
                <w:sz w:val="20"/>
                <w:szCs w:val="20"/>
                <w:color w:val="auto"/>
              </w:rPr>
            </w:pPr>
            <w:r>
              <w:rPr>
                <w:rFonts w:ascii="Arial" w:cs="Arial" w:eastAsia="Arial" w:hAnsi="Arial"/>
                <w:sz w:val="13"/>
                <w:szCs w:val="13"/>
                <w:color w:val="auto"/>
                <w:w w:val="95"/>
              </w:rPr>
              <w:t>$1,120,875</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4"/>
              </w:rPr>
              <w:t>$11,113,514</w:t>
            </w: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w w:val="98"/>
              </w:rPr>
              <w:t>$1,356,750</w:t>
            </w:r>
          </w:p>
        </w:tc>
        <w:tc>
          <w:tcPr>
            <w:tcW w:w="1460" w:type="dxa"/>
            <w:vAlign w:val="bottom"/>
            <w:vMerge w:val="restart"/>
          </w:tcPr>
          <w:p>
            <w:pPr>
              <w:jc w:val="center"/>
              <w:ind w:right="15"/>
              <w:spacing w:after="0"/>
              <w:rPr>
                <w:sz w:val="20"/>
                <w:szCs w:val="20"/>
                <w:color w:val="auto"/>
              </w:rPr>
            </w:pPr>
            <w:r>
              <w:rPr>
                <w:rFonts w:ascii="Arial" w:cs="Arial" w:eastAsia="Arial" w:hAnsi="Arial"/>
                <w:sz w:val="13"/>
                <w:szCs w:val="13"/>
                <w:color w:val="auto"/>
                <w:w w:val="97"/>
              </w:rPr>
              <w:t>$39,461</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6"/>
              </w:rPr>
              <w:t>$13,630,599</w:t>
            </w:r>
          </w:p>
        </w:tc>
        <w:tc>
          <w:tcPr>
            <w:tcW w:w="0" w:type="dxa"/>
            <w:vAlign w:val="bottom"/>
          </w:tcPr>
          <w:p>
            <w:pPr>
              <w:spacing w:after="0"/>
              <w:rPr>
                <w:sz w:val="1"/>
                <w:szCs w:val="1"/>
                <w:color w:val="auto"/>
              </w:rPr>
            </w:pPr>
          </w:p>
        </w:tc>
      </w:tr>
      <w:tr>
        <w:trPr>
          <w:trHeight w:val="71"/>
        </w:trPr>
        <w:tc>
          <w:tcPr>
            <w:tcW w:w="2620" w:type="dxa"/>
            <w:vAlign w:val="bottom"/>
            <w:vMerge w:val="restart"/>
          </w:tcPr>
          <w:p>
            <w:pPr>
              <w:ind w:left="180"/>
              <w:spacing w:after="0"/>
              <w:rPr>
                <w:sz w:val="20"/>
                <w:szCs w:val="20"/>
                <w:color w:val="auto"/>
              </w:rPr>
            </w:pPr>
            <w:r>
              <w:rPr>
                <w:rFonts w:ascii="Arial" w:cs="Arial" w:eastAsia="Arial" w:hAnsi="Arial"/>
                <w:sz w:val="13"/>
                <w:szCs w:val="13"/>
                <w:color w:val="auto"/>
              </w:rPr>
              <w:t xml:space="preserve">Officer </w:t>
            </w:r>
            <w:r>
              <w:rPr>
                <w:rFonts w:ascii="Arial" w:cs="Arial" w:eastAsia="Arial" w:hAnsi="Arial"/>
                <w:sz w:val="16"/>
                <w:szCs w:val="16"/>
                <w:color w:val="auto"/>
                <w:vertAlign w:val="superscript"/>
              </w:rPr>
              <w:t>(6)</w:t>
            </w:r>
          </w:p>
        </w:tc>
        <w:tc>
          <w:tcPr>
            <w:tcW w:w="13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20" w:type="dxa"/>
            <w:vAlign w:val="bottom"/>
            <w:vMerge w:val="continue"/>
          </w:tcPr>
          <w:p>
            <w:pPr>
              <w:spacing w:after="0"/>
              <w:rPr>
                <w:sz w:val="13"/>
                <w:szCs w:val="13"/>
                <w:color w:val="auto"/>
              </w:rPr>
            </w:pPr>
          </w:p>
        </w:tc>
        <w:tc>
          <w:tcPr>
            <w:tcW w:w="1360" w:type="dxa"/>
            <w:vAlign w:val="bottom"/>
            <w:vMerge w:val="restart"/>
          </w:tcPr>
          <w:p>
            <w:pPr>
              <w:jc w:val="center"/>
              <w:ind w:left="176"/>
              <w:spacing w:after="0"/>
              <w:rPr>
                <w:sz w:val="20"/>
                <w:szCs w:val="20"/>
                <w:color w:val="auto"/>
              </w:rPr>
            </w:pPr>
            <w:r>
              <w:rPr>
                <w:rFonts w:ascii="Arial" w:cs="Arial" w:eastAsia="Arial" w:hAnsi="Arial"/>
                <w:sz w:val="13"/>
                <w:szCs w:val="13"/>
                <w:color w:val="auto"/>
                <w:w w:val="96"/>
              </w:rPr>
              <w:t>2023</w:t>
            </w:r>
          </w:p>
        </w:tc>
        <w:tc>
          <w:tcPr>
            <w:tcW w:w="1180" w:type="dxa"/>
            <w:vAlign w:val="bottom"/>
            <w:vMerge w:val="restart"/>
          </w:tcPr>
          <w:p>
            <w:pPr>
              <w:jc w:val="center"/>
              <w:ind w:left="176"/>
              <w:spacing w:after="0"/>
              <w:rPr>
                <w:sz w:val="20"/>
                <w:szCs w:val="20"/>
                <w:color w:val="auto"/>
              </w:rPr>
            </w:pPr>
            <w:r>
              <w:rPr>
                <w:rFonts w:ascii="Arial" w:cs="Arial" w:eastAsia="Arial" w:hAnsi="Arial"/>
                <w:sz w:val="13"/>
                <w:szCs w:val="13"/>
                <w:color w:val="auto"/>
                <w:w w:val="95"/>
              </w:rPr>
              <w:t>$1,086,750</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8"/>
              </w:rPr>
              <w:t>$9,796,451</w:t>
            </w: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w w:val="98"/>
              </w:rPr>
              <w:t>$1,168,440</w:t>
            </w:r>
          </w:p>
        </w:tc>
        <w:tc>
          <w:tcPr>
            <w:tcW w:w="1460" w:type="dxa"/>
            <w:vAlign w:val="bottom"/>
            <w:vMerge w:val="restart"/>
          </w:tcPr>
          <w:p>
            <w:pPr>
              <w:jc w:val="center"/>
              <w:ind w:right="15"/>
              <w:spacing w:after="0"/>
              <w:rPr>
                <w:sz w:val="20"/>
                <w:szCs w:val="20"/>
                <w:color w:val="auto"/>
              </w:rPr>
            </w:pPr>
            <w:r>
              <w:rPr>
                <w:rFonts w:ascii="Arial" w:cs="Arial" w:eastAsia="Arial" w:hAnsi="Arial"/>
                <w:sz w:val="13"/>
                <w:szCs w:val="13"/>
                <w:color w:val="auto"/>
                <w:w w:val="97"/>
              </w:rPr>
              <w:t>$56,718</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6"/>
              </w:rPr>
              <w:t>$12,108,359</w:t>
            </w:r>
          </w:p>
        </w:tc>
        <w:tc>
          <w:tcPr>
            <w:tcW w:w="0" w:type="dxa"/>
            <w:vAlign w:val="bottom"/>
          </w:tcPr>
          <w:p>
            <w:pPr>
              <w:spacing w:after="0"/>
              <w:rPr>
                <w:sz w:val="1"/>
                <w:szCs w:val="1"/>
                <w:color w:val="auto"/>
              </w:rPr>
            </w:pPr>
          </w:p>
        </w:tc>
      </w:tr>
      <w:tr>
        <w:trPr>
          <w:trHeight w:val="51"/>
        </w:trPr>
        <w:tc>
          <w:tcPr>
            <w:tcW w:w="26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620" w:type="dxa"/>
            <w:vAlign w:val="bottom"/>
            <w:tcBorders>
              <w:bottom w:val="single" w:sz="8" w:color="0A2299"/>
            </w:tcBorders>
          </w:tcPr>
          <w:p>
            <w:pPr>
              <w:spacing w:after="0"/>
              <w:rPr>
                <w:sz w:val="2"/>
                <w:szCs w:val="2"/>
                <w:color w:val="auto"/>
              </w:rPr>
            </w:pPr>
          </w:p>
        </w:tc>
        <w:tc>
          <w:tcPr>
            <w:tcW w:w="1360" w:type="dxa"/>
            <w:vAlign w:val="bottom"/>
            <w:tcBorders>
              <w:bottom w:val="single" w:sz="8" w:color="0A2299"/>
            </w:tcBorders>
          </w:tcPr>
          <w:p>
            <w:pPr>
              <w:spacing w:after="0"/>
              <w:rPr>
                <w:sz w:val="2"/>
                <w:szCs w:val="2"/>
                <w:color w:val="auto"/>
              </w:rPr>
            </w:pPr>
          </w:p>
        </w:tc>
        <w:tc>
          <w:tcPr>
            <w:tcW w:w="1180" w:type="dxa"/>
            <w:vAlign w:val="bottom"/>
            <w:tcBorders>
              <w:bottom w:val="single" w:sz="8" w:color="0A2299"/>
            </w:tcBorders>
          </w:tcPr>
          <w:p>
            <w:pPr>
              <w:spacing w:after="0"/>
              <w:rPr>
                <w:sz w:val="2"/>
                <w:szCs w:val="2"/>
                <w:color w:val="auto"/>
              </w:rPr>
            </w:pPr>
          </w:p>
        </w:tc>
        <w:tc>
          <w:tcPr>
            <w:tcW w:w="1020" w:type="dxa"/>
            <w:vAlign w:val="bottom"/>
            <w:tcBorders>
              <w:bottom w:val="single" w:sz="8" w:color="0A2299"/>
            </w:tcBorders>
          </w:tcPr>
          <w:p>
            <w:pPr>
              <w:spacing w:after="0"/>
              <w:rPr>
                <w:sz w:val="2"/>
                <w:szCs w:val="2"/>
                <w:color w:val="auto"/>
              </w:rPr>
            </w:pPr>
          </w:p>
        </w:tc>
        <w:tc>
          <w:tcPr>
            <w:tcW w:w="1020" w:type="dxa"/>
            <w:vAlign w:val="bottom"/>
            <w:tcBorders>
              <w:bottom w:val="single" w:sz="8" w:color="0A2299"/>
            </w:tcBorders>
          </w:tcPr>
          <w:p>
            <w:pPr>
              <w:spacing w:after="0"/>
              <w:rPr>
                <w:sz w:val="2"/>
                <w:szCs w:val="2"/>
                <w:color w:val="auto"/>
              </w:rPr>
            </w:pPr>
          </w:p>
        </w:tc>
        <w:tc>
          <w:tcPr>
            <w:tcW w:w="1380" w:type="dxa"/>
            <w:vAlign w:val="bottom"/>
            <w:tcBorders>
              <w:bottom w:val="single" w:sz="8" w:color="0A2299"/>
            </w:tcBorders>
          </w:tcPr>
          <w:p>
            <w:pPr>
              <w:spacing w:after="0"/>
              <w:rPr>
                <w:sz w:val="2"/>
                <w:szCs w:val="2"/>
                <w:color w:val="auto"/>
              </w:rPr>
            </w:pPr>
          </w:p>
        </w:tc>
        <w:tc>
          <w:tcPr>
            <w:tcW w:w="1460" w:type="dxa"/>
            <w:vAlign w:val="bottom"/>
            <w:tcBorders>
              <w:bottom w:val="single" w:sz="8" w:color="0A2299"/>
            </w:tcBorders>
          </w:tcPr>
          <w:p>
            <w:pPr>
              <w:spacing w:after="0"/>
              <w:rPr>
                <w:sz w:val="2"/>
                <w:szCs w:val="2"/>
                <w:color w:val="auto"/>
              </w:rPr>
            </w:pPr>
          </w:p>
        </w:tc>
        <w:tc>
          <w:tcPr>
            <w:tcW w:w="1200" w:type="dxa"/>
            <w:vAlign w:val="bottom"/>
            <w:tcBorders>
              <w:bottom w:val="single" w:sz="8" w:color="0A2299"/>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3"/>
                <w:szCs w:val="13"/>
                <w:color w:val="auto"/>
              </w:rPr>
              <w:t>Benjamin R. Wheeler</w:t>
            </w:r>
          </w:p>
        </w:tc>
        <w:tc>
          <w:tcPr>
            <w:tcW w:w="1360" w:type="dxa"/>
            <w:vAlign w:val="bottom"/>
            <w:vMerge w:val="restart"/>
          </w:tcPr>
          <w:p>
            <w:pPr>
              <w:jc w:val="center"/>
              <w:ind w:left="176"/>
              <w:spacing w:after="0"/>
              <w:rPr>
                <w:sz w:val="20"/>
                <w:szCs w:val="20"/>
                <w:color w:val="auto"/>
              </w:rPr>
            </w:pPr>
            <w:r>
              <w:rPr>
                <w:rFonts w:ascii="Arial" w:cs="Arial" w:eastAsia="Arial" w:hAnsi="Arial"/>
                <w:sz w:val="13"/>
                <w:szCs w:val="13"/>
                <w:color w:val="auto"/>
                <w:w w:val="96"/>
              </w:rPr>
              <w:t>2025</w:t>
            </w:r>
          </w:p>
        </w:tc>
        <w:tc>
          <w:tcPr>
            <w:tcW w:w="1180" w:type="dxa"/>
            <w:vAlign w:val="bottom"/>
            <w:vMerge w:val="restart"/>
          </w:tcPr>
          <w:p>
            <w:pPr>
              <w:jc w:val="center"/>
              <w:ind w:left="176"/>
              <w:spacing w:after="0"/>
              <w:rPr>
                <w:sz w:val="20"/>
                <w:szCs w:val="20"/>
                <w:color w:val="auto"/>
              </w:rPr>
            </w:pPr>
            <w:r>
              <w:rPr>
                <w:rFonts w:ascii="Arial" w:cs="Arial" w:eastAsia="Arial" w:hAnsi="Arial"/>
                <w:sz w:val="13"/>
                <w:szCs w:val="13"/>
                <w:color w:val="auto"/>
                <w:w w:val="99"/>
              </w:rPr>
              <w:t>$408,493</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5"/>
              </w:rPr>
              <w:t>$759,229</w:t>
            </w: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w w:val="95"/>
              </w:rPr>
              <w:t>$325,421</w:t>
            </w:r>
          </w:p>
        </w:tc>
        <w:tc>
          <w:tcPr>
            <w:tcW w:w="1460" w:type="dxa"/>
            <w:vAlign w:val="bottom"/>
            <w:vMerge w:val="restart"/>
          </w:tcPr>
          <w:p>
            <w:pPr>
              <w:jc w:val="center"/>
              <w:ind w:right="15"/>
              <w:spacing w:after="0"/>
              <w:rPr>
                <w:sz w:val="20"/>
                <w:szCs w:val="20"/>
                <w:color w:val="auto"/>
              </w:rPr>
            </w:pPr>
            <w:r>
              <w:rPr>
                <w:rFonts w:ascii="Arial" w:cs="Arial" w:eastAsia="Arial" w:hAnsi="Arial"/>
                <w:sz w:val="13"/>
                <w:szCs w:val="13"/>
                <w:color w:val="auto"/>
                <w:w w:val="97"/>
              </w:rPr>
              <w:t>$14,754</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5"/>
              </w:rPr>
              <w:t>$1,507,897</w:t>
            </w:r>
          </w:p>
        </w:tc>
        <w:tc>
          <w:tcPr>
            <w:tcW w:w="0" w:type="dxa"/>
            <w:vAlign w:val="bottom"/>
          </w:tcPr>
          <w:p>
            <w:pPr>
              <w:spacing w:after="0"/>
              <w:rPr>
                <w:sz w:val="1"/>
                <w:szCs w:val="1"/>
                <w:color w:val="auto"/>
              </w:rPr>
            </w:pPr>
          </w:p>
        </w:tc>
      </w:tr>
      <w:tr>
        <w:trPr>
          <w:trHeight w:val="85"/>
        </w:trPr>
        <w:tc>
          <w:tcPr>
            <w:tcW w:w="2620" w:type="dxa"/>
            <w:vAlign w:val="bottom"/>
            <w:vMerge w:val="restart"/>
          </w:tcPr>
          <w:p>
            <w:pPr>
              <w:ind w:left="200"/>
              <w:spacing w:after="0"/>
              <w:rPr>
                <w:sz w:val="20"/>
                <w:szCs w:val="20"/>
                <w:color w:val="auto"/>
              </w:rPr>
            </w:pPr>
            <w:r>
              <w:rPr>
                <w:rFonts w:ascii="Arial" w:cs="Arial" w:eastAsia="Arial" w:hAnsi="Arial"/>
                <w:sz w:val="13"/>
                <w:szCs w:val="13"/>
                <w:color w:val="auto"/>
              </w:rPr>
              <w:t xml:space="preserve">Chief Financial Officer </w:t>
            </w:r>
            <w:r>
              <w:rPr>
                <w:rFonts w:ascii="Arial" w:cs="Arial" w:eastAsia="Arial" w:hAnsi="Arial"/>
                <w:sz w:val="16"/>
                <w:szCs w:val="16"/>
                <w:color w:val="auto"/>
                <w:vertAlign w:val="superscript"/>
              </w:rPr>
              <w:t>(7)</w:t>
            </w:r>
          </w:p>
        </w:tc>
        <w:tc>
          <w:tcPr>
            <w:tcW w:w="13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620" w:type="dxa"/>
            <w:vAlign w:val="bottom"/>
            <w:tcBorders>
              <w:bottom w:val="single" w:sz="8" w:color="0A2299"/>
            </w:tcBorders>
            <w:vMerge w:val="continue"/>
          </w:tcPr>
          <w:p>
            <w:pPr>
              <w:spacing w:after="0"/>
              <w:rPr>
                <w:sz w:val="9"/>
                <w:szCs w:val="9"/>
                <w:color w:val="auto"/>
              </w:rPr>
            </w:pPr>
          </w:p>
        </w:tc>
        <w:tc>
          <w:tcPr>
            <w:tcW w:w="1360" w:type="dxa"/>
            <w:vAlign w:val="bottom"/>
            <w:tcBorders>
              <w:bottom w:val="single" w:sz="8" w:color="003595"/>
            </w:tcBorders>
          </w:tcPr>
          <w:p>
            <w:pPr>
              <w:spacing w:after="0"/>
              <w:rPr>
                <w:sz w:val="9"/>
                <w:szCs w:val="9"/>
                <w:color w:val="auto"/>
              </w:rPr>
            </w:pPr>
          </w:p>
        </w:tc>
        <w:tc>
          <w:tcPr>
            <w:tcW w:w="1180" w:type="dxa"/>
            <w:vAlign w:val="bottom"/>
            <w:tcBorders>
              <w:bottom w:val="single" w:sz="8" w:color="003595"/>
            </w:tcBorders>
          </w:tcPr>
          <w:p>
            <w:pPr>
              <w:spacing w:after="0"/>
              <w:rPr>
                <w:sz w:val="9"/>
                <w:szCs w:val="9"/>
                <w:color w:val="auto"/>
              </w:rPr>
            </w:pPr>
          </w:p>
        </w:tc>
        <w:tc>
          <w:tcPr>
            <w:tcW w:w="1020" w:type="dxa"/>
            <w:vAlign w:val="bottom"/>
            <w:tcBorders>
              <w:bottom w:val="single" w:sz="8" w:color="003595"/>
            </w:tcBorders>
          </w:tcPr>
          <w:p>
            <w:pPr>
              <w:spacing w:after="0"/>
              <w:rPr>
                <w:sz w:val="9"/>
                <w:szCs w:val="9"/>
                <w:color w:val="auto"/>
              </w:rPr>
            </w:pPr>
          </w:p>
        </w:tc>
        <w:tc>
          <w:tcPr>
            <w:tcW w:w="1020" w:type="dxa"/>
            <w:vAlign w:val="bottom"/>
            <w:tcBorders>
              <w:bottom w:val="single" w:sz="8" w:color="003595"/>
            </w:tcBorders>
          </w:tcPr>
          <w:p>
            <w:pPr>
              <w:spacing w:after="0"/>
              <w:rPr>
                <w:sz w:val="9"/>
                <w:szCs w:val="9"/>
                <w:color w:val="auto"/>
              </w:rPr>
            </w:pPr>
          </w:p>
        </w:tc>
        <w:tc>
          <w:tcPr>
            <w:tcW w:w="1380" w:type="dxa"/>
            <w:vAlign w:val="bottom"/>
            <w:tcBorders>
              <w:bottom w:val="single" w:sz="8" w:color="003595"/>
            </w:tcBorders>
          </w:tcPr>
          <w:p>
            <w:pPr>
              <w:spacing w:after="0"/>
              <w:rPr>
                <w:sz w:val="9"/>
                <w:szCs w:val="9"/>
                <w:color w:val="auto"/>
              </w:rPr>
            </w:pPr>
          </w:p>
        </w:tc>
        <w:tc>
          <w:tcPr>
            <w:tcW w:w="1460" w:type="dxa"/>
            <w:vAlign w:val="bottom"/>
            <w:tcBorders>
              <w:bottom w:val="single" w:sz="8" w:color="003595"/>
            </w:tcBorders>
          </w:tcPr>
          <w:p>
            <w:pPr>
              <w:spacing w:after="0"/>
              <w:rPr>
                <w:sz w:val="9"/>
                <w:szCs w:val="9"/>
                <w:color w:val="auto"/>
              </w:rPr>
            </w:pPr>
          </w:p>
        </w:tc>
        <w:tc>
          <w:tcPr>
            <w:tcW w:w="1200" w:type="dxa"/>
            <w:vAlign w:val="bottom"/>
            <w:tcBorders>
              <w:bottom w:val="single" w:sz="8" w:color="003595"/>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3"/>
                <w:szCs w:val="13"/>
                <w:color w:val="auto"/>
              </w:rPr>
              <w:t>Scott J. Leffler</w:t>
            </w:r>
          </w:p>
        </w:tc>
        <w:tc>
          <w:tcPr>
            <w:tcW w:w="1360" w:type="dxa"/>
            <w:vAlign w:val="bottom"/>
          </w:tcPr>
          <w:p>
            <w:pPr>
              <w:jc w:val="center"/>
              <w:ind w:left="176"/>
              <w:spacing w:after="0"/>
              <w:rPr>
                <w:sz w:val="20"/>
                <w:szCs w:val="20"/>
                <w:color w:val="auto"/>
              </w:rPr>
            </w:pPr>
            <w:r>
              <w:rPr>
                <w:rFonts w:ascii="Arial" w:cs="Arial" w:eastAsia="Arial" w:hAnsi="Arial"/>
                <w:sz w:val="13"/>
                <w:szCs w:val="13"/>
                <w:color w:val="auto"/>
                <w:w w:val="96"/>
              </w:rPr>
              <w:t>2025</w:t>
            </w:r>
          </w:p>
        </w:tc>
        <w:tc>
          <w:tcPr>
            <w:tcW w:w="1180" w:type="dxa"/>
            <w:vAlign w:val="bottom"/>
          </w:tcPr>
          <w:p>
            <w:pPr>
              <w:jc w:val="center"/>
              <w:ind w:left="176"/>
              <w:spacing w:after="0"/>
              <w:rPr>
                <w:sz w:val="20"/>
                <w:szCs w:val="20"/>
                <w:color w:val="auto"/>
              </w:rPr>
            </w:pPr>
            <w:r>
              <w:rPr>
                <w:rFonts w:ascii="Arial" w:cs="Arial" w:eastAsia="Arial" w:hAnsi="Arial"/>
                <w:sz w:val="13"/>
                <w:szCs w:val="13"/>
                <w:color w:val="auto"/>
                <w:w w:val="99"/>
              </w:rPr>
              <w:t>$393,798</w:t>
            </w:r>
          </w:p>
        </w:tc>
        <w:tc>
          <w:tcPr>
            <w:tcW w:w="10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$1,067,674</w:t>
            </w:r>
          </w:p>
        </w:tc>
        <w:tc>
          <w:tcPr>
            <w:tcW w:w="138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1460" w:type="dxa"/>
            <w:vAlign w:val="bottom"/>
          </w:tcPr>
          <w:p>
            <w:pPr>
              <w:jc w:val="center"/>
              <w:spacing w:after="0"/>
              <w:rPr>
                <w:sz w:val="20"/>
                <w:szCs w:val="20"/>
                <w:color w:val="auto"/>
              </w:rPr>
            </w:pPr>
            <w:r>
              <w:rPr>
                <w:rFonts w:ascii="Arial" w:cs="Arial" w:eastAsia="Arial" w:hAnsi="Arial"/>
                <w:sz w:val="13"/>
                <w:szCs w:val="13"/>
                <w:color w:val="auto"/>
                <w:w w:val="98"/>
              </w:rPr>
              <w:t>$1,275,021</w:t>
            </w:r>
          </w:p>
        </w:tc>
        <w:tc>
          <w:tcPr>
            <w:tcW w:w="1200" w:type="dxa"/>
            <w:vAlign w:val="bottom"/>
          </w:tcPr>
          <w:p>
            <w:pPr>
              <w:jc w:val="center"/>
              <w:spacing w:after="0"/>
              <w:rPr>
                <w:sz w:val="20"/>
                <w:szCs w:val="20"/>
                <w:color w:val="auto"/>
              </w:rPr>
            </w:pPr>
            <w:r>
              <w:rPr>
                <w:rFonts w:ascii="Arial" w:cs="Arial" w:eastAsia="Arial" w:hAnsi="Arial"/>
                <w:sz w:val="13"/>
                <w:szCs w:val="13"/>
                <w:color w:val="auto"/>
                <w:w w:val="95"/>
              </w:rPr>
              <w:t>$2,736,493</w:t>
            </w:r>
          </w:p>
        </w:tc>
        <w:tc>
          <w:tcPr>
            <w:tcW w:w="0" w:type="dxa"/>
            <w:vAlign w:val="bottom"/>
          </w:tcPr>
          <w:p>
            <w:pPr>
              <w:spacing w:after="0"/>
              <w:rPr>
                <w:sz w:val="1"/>
                <w:szCs w:val="1"/>
                <w:color w:val="auto"/>
              </w:rPr>
            </w:pPr>
          </w:p>
        </w:tc>
      </w:tr>
      <w:tr>
        <w:trPr>
          <w:trHeight w:val="180"/>
        </w:trPr>
        <w:tc>
          <w:tcPr>
            <w:tcW w:w="2620" w:type="dxa"/>
            <w:vAlign w:val="bottom"/>
          </w:tcPr>
          <w:p>
            <w:pPr>
              <w:ind w:left="160"/>
              <w:spacing w:after="0" w:line="180" w:lineRule="exact"/>
              <w:rPr>
                <w:sz w:val="20"/>
                <w:szCs w:val="20"/>
                <w:color w:val="auto"/>
              </w:rPr>
            </w:pPr>
            <w:r>
              <w:rPr>
                <w:rFonts w:ascii="Arial" w:cs="Arial" w:eastAsia="Arial" w:hAnsi="Arial"/>
                <w:sz w:val="13"/>
                <w:szCs w:val="13"/>
                <w:color w:val="auto"/>
              </w:rPr>
              <w:t xml:space="preserve">Former Chief Financial Officer </w:t>
            </w:r>
            <w:r>
              <w:rPr>
                <w:rFonts w:ascii="Arial" w:cs="Arial" w:eastAsia="Arial" w:hAnsi="Arial"/>
                <w:sz w:val="16"/>
                <w:szCs w:val="16"/>
                <w:color w:val="auto"/>
                <w:vertAlign w:val="superscript"/>
              </w:rPr>
              <w:t>(8)</w:t>
            </w:r>
          </w:p>
        </w:tc>
        <w:tc>
          <w:tcPr>
            <w:tcW w:w="1360" w:type="dxa"/>
            <w:vAlign w:val="bottom"/>
            <w:vMerge w:val="restart"/>
          </w:tcPr>
          <w:p>
            <w:pPr>
              <w:jc w:val="center"/>
              <w:ind w:left="176"/>
              <w:spacing w:after="0"/>
              <w:rPr>
                <w:sz w:val="20"/>
                <w:szCs w:val="20"/>
                <w:color w:val="auto"/>
              </w:rPr>
            </w:pPr>
            <w:r>
              <w:rPr>
                <w:rFonts w:ascii="Arial" w:cs="Arial" w:eastAsia="Arial" w:hAnsi="Arial"/>
                <w:sz w:val="13"/>
                <w:szCs w:val="13"/>
                <w:color w:val="auto"/>
                <w:w w:val="96"/>
              </w:rPr>
              <w:t>2024</w:t>
            </w:r>
          </w:p>
        </w:tc>
        <w:tc>
          <w:tcPr>
            <w:tcW w:w="1180" w:type="dxa"/>
            <w:vAlign w:val="bottom"/>
            <w:vMerge w:val="restart"/>
          </w:tcPr>
          <w:p>
            <w:pPr>
              <w:jc w:val="center"/>
              <w:ind w:left="176"/>
              <w:spacing w:after="0"/>
              <w:rPr>
                <w:sz w:val="20"/>
                <w:szCs w:val="20"/>
                <w:color w:val="auto"/>
              </w:rPr>
            </w:pPr>
            <w:r>
              <w:rPr>
                <w:rFonts w:ascii="Arial" w:cs="Arial" w:eastAsia="Arial" w:hAnsi="Arial"/>
                <w:sz w:val="13"/>
                <w:szCs w:val="13"/>
                <w:color w:val="auto"/>
                <w:w w:val="99"/>
              </w:rPr>
              <w:t>$487,572</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9"/>
              </w:rPr>
              <w:t>$400,000</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8"/>
              </w:rPr>
              <w:t>$4,792,601</w:t>
            </w: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w w:val="95"/>
              </w:rPr>
              <w:t>$428,539</w:t>
            </w:r>
          </w:p>
        </w:tc>
        <w:tc>
          <w:tcPr>
            <w:tcW w:w="1460" w:type="dxa"/>
            <w:vAlign w:val="bottom"/>
            <w:vMerge w:val="restart"/>
          </w:tcPr>
          <w:p>
            <w:pPr>
              <w:jc w:val="center"/>
              <w:ind w:right="15"/>
              <w:spacing w:after="0"/>
              <w:rPr>
                <w:sz w:val="20"/>
                <w:szCs w:val="20"/>
                <w:color w:val="auto"/>
              </w:rPr>
            </w:pPr>
            <w:r>
              <w:rPr>
                <w:rFonts w:ascii="Arial" w:cs="Arial" w:eastAsia="Arial" w:hAnsi="Arial"/>
                <w:sz w:val="13"/>
                <w:szCs w:val="13"/>
                <w:color w:val="auto"/>
                <w:w w:val="97"/>
              </w:rPr>
              <w:t>$44,458</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5"/>
              </w:rPr>
              <w:t>$6,153,170</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
        </w:trPr>
        <w:tc>
          <w:tcPr>
            <w:tcW w:w="2620" w:type="dxa"/>
            <w:vAlign w:val="bottom"/>
            <w:tcBorders>
              <w:bottom w:val="single" w:sz="8" w:color="0A2299"/>
            </w:tcBorders>
          </w:tcPr>
          <w:p>
            <w:pPr>
              <w:spacing w:after="0"/>
              <w:rPr>
                <w:sz w:val="2"/>
                <w:szCs w:val="2"/>
                <w:color w:val="auto"/>
              </w:rPr>
            </w:pPr>
          </w:p>
        </w:tc>
        <w:tc>
          <w:tcPr>
            <w:tcW w:w="1360" w:type="dxa"/>
            <w:vAlign w:val="bottom"/>
            <w:tcBorders>
              <w:bottom w:val="single" w:sz="8" w:color="003595"/>
            </w:tcBorders>
          </w:tcPr>
          <w:p>
            <w:pPr>
              <w:spacing w:after="0"/>
              <w:rPr>
                <w:sz w:val="2"/>
                <w:szCs w:val="2"/>
                <w:color w:val="auto"/>
              </w:rPr>
            </w:pPr>
          </w:p>
        </w:tc>
        <w:tc>
          <w:tcPr>
            <w:tcW w:w="1180" w:type="dxa"/>
            <w:vAlign w:val="bottom"/>
            <w:tcBorders>
              <w:bottom w:val="single" w:sz="8" w:color="003595"/>
            </w:tcBorders>
          </w:tcPr>
          <w:p>
            <w:pPr>
              <w:spacing w:after="0"/>
              <w:rPr>
                <w:sz w:val="2"/>
                <w:szCs w:val="2"/>
                <w:color w:val="auto"/>
              </w:rPr>
            </w:pPr>
          </w:p>
        </w:tc>
        <w:tc>
          <w:tcPr>
            <w:tcW w:w="1020" w:type="dxa"/>
            <w:vAlign w:val="bottom"/>
            <w:tcBorders>
              <w:bottom w:val="single" w:sz="8" w:color="003595"/>
            </w:tcBorders>
          </w:tcPr>
          <w:p>
            <w:pPr>
              <w:spacing w:after="0"/>
              <w:rPr>
                <w:sz w:val="2"/>
                <w:szCs w:val="2"/>
                <w:color w:val="auto"/>
              </w:rPr>
            </w:pPr>
          </w:p>
        </w:tc>
        <w:tc>
          <w:tcPr>
            <w:tcW w:w="1020" w:type="dxa"/>
            <w:vAlign w:val="bottom"/>
            <w:tcBorders>
              <w:bottom w:val="single" w:sz="8" w:color="003595"/>
            </w:tcBorders>
          </w:tcPr>
          <w:p>
            <w:pPr>
              <w:spacing w:after="0"/>
              <w:rPr>
                <w:sz w:val="2"/>
                <w:szCs w:val="2"/>
                <w:color w:val="auto"/>
              </w:rPr>
            </w:pPr>
          </w:p>
        </w:tc>
        <w:tc>
          <w:tcPr>
            <w:tcW w:w="1380" w:type="dxa"/>
            <w:vAlign w:val="bottom"/>
            <w:tcBorders>
              <w:bottom w:val="single" w:sz="8" w:color="003595"/>
            </w:tcBorders>
          </w:tcPr>
          <w:p>
            <w:pPr>
              <w:spacing w:after="0"/>
              <w:rPr>
                <w:sz w:val="2"/>
                <w:szCs w:val="2"/>
                <w:color w:val="auto"/>
              </w:rPr>
            </w:pPr>
          </w:p>
        </w:tc>
        <w:tc>
          <w:tcPr>
            <w:tcW w:w="1460" w:type="dxa"/>
            <w:vAlign w:val="bottom"/>
            <w:tcBorders>
              <w:bottom w:val="single" w:sz="8" w:color="003595"/>
            </w:tcBorders>
          </w:tcPr>
          <w:p>
            <w:pPr>
              <w:spacing w:after="0"/>
              <w:rPr>
                <w:sz w:val="2"/>
                <w:szCs w:val="2"/>
                <w:color w:val="auto"/>
              </w:rPr>
            </w:pPr>
          </w:p>
        </w:tc>
        <w:tc>
          <w:tcPr>
            <w:tcW w:w="120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3"/>
                <w:szCs w:val="13"/>
                <w:color w:val="auto"/>
              </w:rPr>
              <w:t>Mark S. Verratti</w:t>
            </w:r>
          </w:p>
        </w:tc>
        <w:tc>
          <w:tcPr>
            <w:tcW w:w="1360" w:type="dxa"/>
            <w:vAlign w:val="bottom"/>
          </w:tcPr>
          <w:p>
            <w:pPr>
              <w:jc w:val="center"/>
              <w:ind w:left="176"/>
              <w:spacing w:after="0"/>
              <w:rPr>
                <w:sz w:val="20"/>
                <w:szCs w:val="20"/>
                <w:color w:val="auto"/>
              </w:rPr>
            </w:pPr>
            <w:r>
              <w:rPr>
                <w:rFonts w:ascii="Arial" w:cs="Arial" w:eastAsia="Arial" w:hAnsi="Arial"/>
                <w:sz w:val="13"/>
                <w:szCs w:val="13"/>
                <w:color w:val="auto"/>
                <w:w w:val="96"/>
              </w:rPr>
              <w:t>2025</w:t>
            </w:r>
          </w:p>
        </w:tc>
        <w:tc>
          <w:tcPr>
            <w:tcW w:w="1180" w:type="dxa"/>
            <w:vAlign w:val="bottom"/>
          </w:tcPr>
          <w:p>
            <w:pPr>
              <w:jc w:val="center"/>
              <w:ind w:left="176"/>
              <w:spacing w:after="0"/>
              <w:rPr>
                <w:sz w:val="20"/>
                <w:szCs w:val="20"/>
                <w:color w:val="auto"/>
              </w:rPr>
            </w:pPr>
            <w:r>
              <w:rPr>
                <w:rFonts w:ascii="Arial" w:cs="Arial" w:eastAsia="Arial" w:hAnsi="Arial"/>
                <w:sz w:val="13"/>
                <w:szCs w:val="13"/>
                <w:color w:val="auto"/>
                <w:w w:val="99"/>
              </w:rPr>
              <w:t>$622,883</w:t>
            </w:r>
          </w:p>
        </w:tc>
        <w:tc>
          <w:tcPr>
            <w:tcW w:w="10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$2,058,069</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$438,323</w:t>
            </w:r>
          </w:p>
        </w:tc>
        <w:tc>
          <w:tcPr>
            <w:tcW w:w="1460" w:type="dxa"/>
            <w:vAlign w:val="bottom"/>
          </w:tcPr>
          <w:p>
            <w:pPr>
              <w:jc w:val="center"/>
              <w:ind w:right="15"/>
              <w:spacing w:after="0"/>
              <w:rPr>
                <w:sz w:val="20"/>
                <w:szCs w:val="20"/>
                <w:color w:val="auto"/>
              </w:rPr>
            </w:pPr>
            <w:r>
              <w:rPr>
                <w:rFonts w:ascii="Arial" w:cs="Arial" w:eastAsia="Arial" w:hAnsi="Arial"/>
                <w:sz w:val="13"/>
                <w:szCs w:val="13"/>
                <w:color w:val="auto"/>
                <w:w w:val="97"/>
              </w:rPr>
              <w:t>$25,976</w:t>
            </w:r>
          </w:p>
        </w:tc>
        <w:tc>
          <w:tcPr>
            <w:tcW w:w="1200" w:type="dxa"/>
            <w:vAlign w:val="bottom"/>
          </w:tcPr>
          <w:p>
            <w:pPr>
              <w:jc w:val="center"/>
              <w:spacing w:after="0"/>
              <w:rPr>
                <w:sz w:val="20"/>
                <w:szCs w:val="20"/>
                <w:color w:val="auto"/>
              </w:rPr>
            </w:pPr>
            <w:r>
              <w:rPr>
                <w:rFonts w:ascii="Arial" w:cs="Arial" w:eastAsia="Arial" w:hAnsi="Arial"/>
                <w:sz w:val="13"/>
                <w:szCs w:val="13"/>
                <w:color w:val="auto"/>
                <w:w w:val="95"/>
              </w:rPr>
              <w:t>$3,145,251</w:t>
            </w:r>
          </w:p>
        </w:tc>
        <w:tc>
          <w:tcPr>
            <w:tcW w:w="0" w:type="dxa"/>
            <w:vAlign w:val="bottom"/>
          </w:tcPr>
          <w:p>
            <w:pPr>
              <w:spacing w:after="0"/>
              <w:rPr>
                <w:sz w:val="1"/>
                <w:szCs w:val="1"/>
                <w:color w:val="auto"/>
              </w:rPr>
            </w:pPr>
          </w:p>
        </w:tc>
      </w:tr>
      <w:tr>
        <w:trPr>
          <w:trHeight w:val="180"/>
        </w:trPr>
        <w:tc>
          <w:tcPr>
            <w:tcW w:w="2620" w:type="dxa"/>
            <w:vAlign w:val="bottom"/>
          </w:tcPr>
          <w:p>
            <w:pPr>
              <w:ind w:left="160"/>
              <w:spacing w:after="0" w:line="180" w:lineRule="exact"/>
              <w:rPr>
                <w:sz w:val="20"/>
                <w:szCs w:val="20"/>
                <w:color w:val="auto"/>
              </w:rPr>
            </w:pPr>
            <w:r>
              <w:rPr>
                <w:rFonts w:ascii="Arial" w:cs="Arial" w:eastAsia="Arial" w:hAnsi="Arial"/>
                <w:sz w:val="13"/>
                <w:szCs w:val="13"/>
                <w:color w:val="auto"/>
              </w:rPr>
              <w:t xml:space="preserve">Chief Operating Officer </w:t>
            </w:r>
            <w:r>
              <w:rPr>
                <w:rFonts w:ascii="Arial" w:cs="Arial" w:eastAsia="Arial" w:hAnsi="Arial"/>
                <w:sz w:val="16"/>
                <w:szCs w:val="16"/>
                <w:color w:val="auto"/>
                <w:vertAlign w:val="superscript"/>
              </w:rPr>
              <w:t>(9)</w:t>
            </w:r>
          </w:p>
        </w:tc>
        <w:tc>
          <w:tcPr>
            <w:tcW w:w="1360" w:type="dxa"/>
            <w:vAlign w:val="bottom"/>
            <w:vMerge w:val="restart"/>
          </w:tcPr>
          <w:p>
            <w:pPr>
              <w:jc w:val="center"/>
              <w:ind w:left="176"/>
              <w:spacing w:after="0"/>
              <w:rPr>
                <w:sz w:val="20"/>
                <w:szCs w:val="20"/>
                <w:color w:val="auto"/>
              </w:rPr>
            </w:pPr>
            <w:r>
              <w:rPr>
                <w:rFonts w:ascii="Arial" w:cs="Arial" w:eastAsia="Arial" w:hAnsi="Arial"/>
                <w:sz w:val="13"/>
                <w:szCs w:val="13"/>
                <w:color w:val="auto"/>
                <w:w w:val="96"/>
              </w:rPr>
              <w:t>2024</w:t>
            </w:r>
          </w:p>
        </w:tc>
        <w:tc>
          <w:tcPr>
            <w:tcW w:w="1180" w:type="dxa"/>
            <w:vAlign w:val="bottom"/>
            <w:vMerge w:val="restart"/>
          </w:tcPr>
          <w:p>
            <w:pPr>
              <w:jc w:val="center"/>
              <w:ind w:left="176"/>
              <w:spacing w:after="0"/>
              <w:rPr>
                <w:sz w:val="20"/>
                <w:szCs w:val="20"/>
                <w:color w:val="auto"/>
              </w:rPr>
            </w:pPr>
            <w:r>
              <w:rPr>
                <w:rFonts w:ascii="Arial" w:cs="Arial" w:eastAsia="Arial" w:hAnsi="Arial"/>
                <w:sz w:val="13"/>
                <w:szCs w:val="13"/>
                <w:color w:val="auto"/>
                <w:w w:val="99"/>
              </w:rPr>
              <w:t>$552,344</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8"/>
              </w:rPr>
              <w:t>$2,646,082</w:t>
            </w: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w w:val="95"/>
              </w:rPr>
              <w:t>$489,720</w:t>
            </w:r>
          </w:p>
        </w:tc>
        <w:tc>
          <w:tcPr>
            <w:tcW w:w="1460" w:type="dxa"/>
            <w:vAlign w:val="bottom"/>
            <w:vMerge w:val="restart"/>
          </w:tcPr>
          <w:p>
            <w:pPr>
              <w:jc w:val="center"/>
              <w:ind w:right="15"/>
              <w:spacing w:after="0"/>
              <w:rPr>
                <w:sz w:val="20"/>
                <w:szCs w:val="20"/>
                <w:color w:val="auto"/>
              </w:rPr>
            </w:pPr>
            <w:r>
              <w:rPr>
                <w:rFonts w:ascii="Arial" w:cs="Arial" w:eastAsia="Arial" w:hAnsi="Arial"/>
                <w:sz w:val="13"/>
                <w:szCs w:val="13"/>
                <w:color w:val="auto"/>
                <w:w w:val="97"/>
              </w:rPr>
              <w:t>$24,072</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5"/>
              </w:rPr>
              <w:t>$3,712,217</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tcPr>
          <w:p>
            <w:pPr>
              <w:spacing w:after="0"/>
              <w:rPr>
                <w:sz w:val="17"/>
                <w:szCs w:val="17"/>
                <w:color w:val="auto"/>
              </w:rPr>
            </w:pPr>
          </w:p>
        </w:tc>
        <w:tc>
          <w:tcPr>
            <w:tcW w:w="1360" w:type="dxa"/>
            <w:vAlign w:val="bottom"/>
          </w:tcPr>
          <w:p>
            <w:pPr>
              <w:jc w:val="center"/>
              <w:ind w:left="176"/>
              <w:spacing w:after="0"/>
              <w:rPr>
                <w:sz w:val="20"/>
                <w:szCs w:val="20"/>
                <w:color w:val="auto"/>
              </w:rPr>
            </w:pPr>
            <w:r>
              <w:rPr>
                <w:rFonts w:ascii="Arial" w:cs="Arial" w:eastAsia="Arial" w:hAnsi="Arial"/>
                <w:sz w:val="13"/>
                <w:szCs w:val="13"/>
                <w:color w:val="auto"/>
                <w:w w:val="96"/>
              </w:rPr>
              <w:t>2023</w:t>
            </w:r>
          </w:p>
        </w:tc>
        <w:tc>
          <w:tcPr>
            <w:tcW w:w="1180" w:type="dxa"/>
            <w:vAlign w:val="bottom"/>
          </w:tcPr>
          <w:p>
            <w:pPr>
              <w:jc w:val="center"/>
              <w:ind w:left="176"/>
              <w:spacing w:after="0"/>
              <w:rPr>
                <w:sz w:val="20"/>
                <w:szCs w:val="20"/>
                <w:color w:val="auto"/>
              </w:rPr>
            </w:pPr>
            <w:r>
              <w:rPr>
                <w:rFonts w:ascii="Arial" w:cs="Arial" w:eastAsia="Arial" w:hAnsi="Arial"/>
                <w:sz w:val="13"/>
                <w:szCs w:val="13"/>
                <w:color w:val="auto"/>
                <w:w w:val="99"/>
              </w:rPr>
              <w:t>$495,781</w:t>
            </w:r>
          </w:p>
        </w:tc>
        <w:tc>
          <w:tcPr>
            <w:tcW w:w="10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$1,959,282</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$400,247</w:t>
            </w:r>
          </w:p>
        </w:tc>
        <w:tc>
          <w:tcPr>
            <w:tcW w:w="1460" w:type="dxa"/>
            <w:vAlign w:val="bottom"/>
          </w:tcPr>
          <w:p>
            <w:pPr>
              <w:jc w:val="center"/>
              <w:ind w:right="15"/>
              <w:spacing w:after="0"/>
              <w:rPr>
                <w:sz w:val="20"/>
                <w:szCs w:val="20"/>
                <w:color w:val="auto"/>
              </w:rPr>
            </w:pPr>
            <w:r>
              <w:rPr>
                <w:rFonts w:ascii="Arial" w:cs="Arial" w:eastAsia="Arial" w:hAnsi="Arial"/>
                <w:sz w:val="13"/>
                <w:szCs w:val="13"/>
                <w:color w:val="auto"/>
                <w:w w:val="97"/>
              </w:rPr>
              <w:t>$19,779</w:t>
            </w:r>
          </w:p>
        </w:tc>
        <w:tc>
          <w:tcPr>
            <w:tcW w:w="1200" w:type="dxa"/>
            <w:vAlign w:val="bottom"/>
          </w:tcPr>
          <w:p>
            <w:pPr>
              <w:jc w:val="center"/>
              <w:spacing w:after="0"/>
              <w:rPr>
                <w:sz w:val="20"/>
                <w:szCs w:val="20"/>
                <w:color w:val="auto"/>
              </w:rPr>
            </w:pPr>
            <w:r>
              <w:rPr>
                <w:rFonts w:ascii="Arial" w:cs="Arial" w:eastAsia="Arial" w:hAnsi="Arial"/>
                <w:sz w:val="13"/>
                <w:szCs w:val="13"/>
                <w:color w:val="auto"/>
                <w:w w:val="95"/>
              </w:rPr>
              <w:t>$2,875,089</w:t>
            </w:r>
          </w:p>
        </w:tc>
        <w:tc>
          <w:tcPr>
            <w:tcW w:w="0" w:type="dxa"/>
            <w:vAlign w:val="bottom"/>
          </w:tcPr>
          <w:p>
            <w:pPr>
              <w:spacing w:after="0"/>
              <w:rPr>
                <w:sz w:val="1"/>
                <w:szCs w:val="1"/>
                <w:color w:val="auto"/>
              </w:rPr>
            </w:pPr>
          </w:p>
        </w:tc>
      </w:tr>
      <w:tr>
        <w:trPr>
          <w:trHeight w:val="28"/>
        </w:trPr>
        <w:tc>
          <w:tcPr>
            <w:tcW w:w="2620" w:type="dxa"/>
            <w:vAlign w:val="bottom"/>
            <w:tcBorders>
              <w:bottom w:val="single" w:sz="8" w:color="0A2299"/>
            </w:tcBorders>
          </w:tcPr>
          <w:p>
            <w:pPr>
              <w:spacing w:after="0"/>
              <w:rPr>
                <w:sz w:val="2"/>
                <w:szCs w:val="2"/>
                <w:color w:val="auto"/>
              </w:rPr>
            </w:pPr>
          </w:p>
        </w:tc>
        <w:tc>
          <w:tcPr>
            <w:tcW w:w="1360" w:type="dxa"/>
            <w:vAlign w:val="bottom"/>
            <w:tcBorders>
              <w:bottom w:val="single" w:sz="8" w:color="003595"/>
            </w:tcBorders>
          </w:tcPr>
          <w:p>
            <w:pPr>
              <w:spacing w:after="0"/>
              <w:rPr>
                <w:sz w:val="2"/>
                <w:szCs w:val="2"/>
                <w:color w:val="auto"/>
              </w:rPr>
            </w:pPr>
          </w:p>
        </w:tc>
        <w:tc>
          <w:tcPr>
            <w:tcW w:w="1180" w:type="dxa"/>
            <w:vAlign w:val="bottom"/>
            <w:tcBorders>
              <w:bottom w:val="single" w:sz="8" w:color="003595"/>
            </w:tcBorders>
          </w:tcPr>
          <w:p>
            <w:pPr>
              <w:spacing w:after="0"/>
              <w:rPr>
                <w:sz w:val="2"/>
                <w:szCs w:val="2"/>
                <w:color w:val="auto"/>
              </w:rPr>
            </w:pPr>
          </w:p>
        </w:tc>
        <w:tc>
          <w:tcPr>
            <w:tcW w:w="1020" w:type="dxa"/>
            <w:vAlign w:val="bottom"/>
            <w:tcBorders>
              <w:bottom w:val="single" w:sz="8" w:color="003595"/>
            </w:tcBorders>
          </w:tcPr>
          <w:p>
            <w:pPr>
              <w:spacing w:after="0"/>
              <w:rPr>
                <w:sz w:val="2"/>
                <w:szCs w:val="2"/>
                <w:color w:val="auto"/>
              </w:rPr>
            </w:pPr>
          </w:p>
        </w:tc>
        <w:tc>
          <w:tcPr>
            <w:tcW w:w="1020" w:type="dxa"/>
            <w:vAlign w:val="bottom"/>
            <w:tcBorders>
              <w:bottom w:val="single" w:sz="8" w:color="003595"/>
            </w:tcBorders>
          </w:tcPr>
          <w:p>
            <w:pPr>
              <w:spacing w:after="0"/>
              <w:rPr>
                <w:sz w:val="2"/>
                <w:szCs w:val="2"/>
                <w:color w:val="auto"/>
              </w:rPr>
            </w:pPr>
          </w:p>
        </w:tc>
        <w:tc>
          <w:tcPr>
            <w:tcW w:w="1380" w:type="dxa"/>
            <w:vAlign w:val="bottom"/>
            <w:tcBorders>
              <w:bottom w:val="single" w:sz="8" w:color="003595"/>
            </w:tcBorders>
          </w:tcPr>
          <w:p>
            <w:pPr>
              <w:spacing w:after="0"/>
              <w:rPr>
                <w:sz w:val="2"/>
                <w:szCs w:val="2"/>
                <w:color w:val="auto"/>
              </w:rPr>
            </w:pPr>
          </w:p>
        </w:tc>
        <w:tc>
          <w:tcPr>
            <w:tcW w:w="1460" w:type="dxa"/>
            <w:vAlign w:val="bottom"/>
            <w:tcBorders>
              <w:bottom w:val="single" w:sz="8" w:color="003595"/>
            </w:tcBorders>
          </w:tcPr>
          <w:p>
            <w:pPr>
              <w:spacing w:after="0"/>
              <w:rPr>
                <w:sz w:val="2"/>
                <w:szCs w:val="2"/>
                <w:color w:val="auto"/>
              </w:rPr>
            </w:pPr>
          </w:p>
        </w:tc>
        <w:tc>
          <w:tcPr>
            <w:tcW w:w="1200" w:type="dxa"/>
            <w:vAlign w:val="bottom"/>
            <w:tcBorders>
              <w:bottom w:val="single" w:sz="8" w:color="003595"/>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3"/>
                <w:szCs w:val="13"/>
                <w:color w:val="auto"/>
              </w:rPr>
              <w:t>Brian J. Donnelly</w:t>
            </w:r>
          </w:p>
        </w:tc>
        <w:tc>
          <w:tcPr>
            <w:tcW w:w="1360" w:type="dxa"/>
            <w:vAlign w:val="bottom"/>
            <w:vMerge w:val="restart"/>
          </w:tcPr>
          <w:p>
            <w:pPr>
              <w:jc w:val="center"/>
              <w:ind w:left="176"/>
              <w:spacing w:after="0"/>
              <w:rPr>
                <w:sz w:val="20"/>
                <w:szCs w:val="20"/>
                <w:color w:val="auto"/>
              </w:rPr>
            </w:pPr>
            <w:r>
              <w:rPr>
                <w:rFonts w:ascii="Arial" w:cs="Arial" w:eastAsia="Arial" w:hAnsi="Arial"/>
                <w:sz w:val="13"/>
                <w:szCs w:val="13"/>
                <w:color w:val="auto"/>
                <w:w w:val="96"/>
              </w:rPr>
              <w:t>2025</w:t>
            </w:r>
          </w:p>
        </w:tc>
        <w:tc>
          <w:tcPr>
            <w:tcW w:w="1180" w:type="dxa"/>
            <w:vAlign w:val="bottom"/>
            <w:vMerge w:val="restart"/>
          </w:tcPr>
          <w:p>
            <w:pPr>
              <w:jc w:val="center"/>
              <w:ind w:left="176"/>
              <w:spacing w:after="0"/>
              <w:rPr>
                <w:sz w:val="20"/>
                <w:szCs w:val="20"/>
                <w:color w:val="auto"/>
              </w:rPr>
            </w:pPr>
            <w:r>
              <w:rPr>
                <w:rFonts w:ascii="Arial" w:cs="Arial" w:eastAsia="Arial" w:hAnsi="Arial"/>
                <w:sz w:val="13"/>
                <w:szCs w:val="13"/>
                <w:color w:val="auto"/>
                <w:w w:val="99"/>
              </w:rPr>
              <w:t>$350,000</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9"/>
              </w:rPr>
              <w:t>$450,000</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8"/>
              </w:rPr>
              <w:t>$4,801,898</w:t>
            </w: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w w:val="95"/>
              </w:rPr>
              <w:t>$371,910</w:t>
            </w:r>
          </w:p>
        </w:tc>
        <w:tc>
          <w:tcPr>
            <w:tcW w:w="1460" w:type="dxa"/>
            <w:vAlign w:val="bottom"/>
            <w:vMerge w:val="restart"/>
          </w:tcPr>
          <w:p>
            <w:pPr>
              <w:jc w:val="center"/>
              <w:ind w:right="15"/>
              <w:spacing w:after="0"/>
              <w:rPr>
                <w:sz w:val="20"/>
                <w:szCs w:val="20"/>
                <w:color w:val="auto"/>
              </w:rPr>
            </w:pPr>
            <w:r>
              <w:rPr>
                <w:rFonts w:ascii="Arial" w:cs="Arial" w:eastAsia="Arial" w:hAnsi="Arial"/>
                <w:sz w:val="13"/>
                <w:szCs w:val="13"/>
                <w:color w:val="auto"/>
                <w:w w:val="97"/>
              </w:rPr>
              <w:t>$26,337</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5"/>
              </w:rPr>
              <w:t>$6,000,145</w:t>
            </w:r>
          </w:p>
        </w:tc>
        <w:tc>
          <w:tcPr>
            <w:tcW w:w="0" w:type="dxa"/>
            <w:vAlign w:val="bottom"/>
          </w:tcPr>
          <w:p>
            <w:pPr>
              <w:spacing w:after="0"/>
              <w:rPr>
                <w:sz w:val="1"/>
                <w:szCs w:val="1"/>
                <w:color w:val="auto"/>
              </w:rPr>
            </w:pPr>
          </w:p>
        </w:tc>
      </w:tr>
      <w:tr>
        <w:trPr>
          <w:trHeight w:val="85"/>
        </w:trPr>
        <w:tc>
          <w:tcPr>
            <w:tcW w:w="2620" w:type="dxa"/>
            <w:vAlign w:val="bottom"/>
            <w:vMerge w:val="restart"/>
          </w:tcPr>
          <w:p>
            <w:pPr>
              <w:ind w:left="200"/>
              <w:spacing w:after="0"/>
              <w:rPr>
                <w:sz w:val="20"/>
                <w:szCs w:val="20"/>
                <w:color w:val="auto"/>
              </w:rPr>
            </w:pPr>
            <w:r>
              <w:rPr>
                <w:rFonts w:ascii="Arial" w:cs="Arial" w:eastAsia="Arial" w:hAnsi="Arial"/>
                <w:sz w:val="13"/>
                <w:szCs w:val="13"/>
                <w:color w:val="auto"/>
              </w:rPr>
              <w:t xml:space="preserve">Chief Commercial Officer </w:t>
            </w:r>
            <w:r>
              <w:rPr>
                <w:rFonts w:ascii="Arial" w:cs="Arial" w:eastAsia="Arial" w:hAnsi="Arial"/>
                <w:sz w:val="16"/>
                <w:szCs w:val="16"/>
                <w:color w:val="auto"/>
                <w:vertAlign w:val="superscript"/>
              </w:rPr>
              <w:t>(10)</w:t>
            </w:r>
          </w:p>
        </w:tc>
        <w:tc>
          <w:tcPr>
            <w:tcW w:w="13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0A2299"/>
            </w:tcBorders>
            <w:vMerge w:val="continue"/>
          </w:tcPr>
          <w:p>
            <w:pPr>
              <w:spacing w:after="0"/>
              <w:rPr>
                <w:sz w:val="9"/>
                <w:szCs w:val="9"/>
                <w:color w:val="auto"/>
              </w:rPr>
            </w:pPr>
          </w:p>
        </w:tc>
        <w:tc>
          <w:tcPr>
            <w:tcW w:w="1360" w:type="dxa"/>
            <w:vAlign w:val="bottom"/>
            <w:tcBorders>
              <w:bottom w:val="single" w:sz="8" w:color="003595"/>
            </w:tcBorders>
          </w:tcPr>
          <w:p>
            <w:pPr>
              <w:spacing w:after="0"/>
              <w:rPr>
                <w:sz w:val="9"/>
                <w:szCs w:val="9"/>
                <w:color w:val="auto"/>
              </w:rPr>
            </w:pPr>
          </w:p>
        </w:tc>
        <w:tc>
          <w:tcPr>
            <w:tcW w:w="1180" w:type="dxa"/>
            <w:vAlign w:val="bottom"/>
            <w:tcBorders>
              <w:bottom w:val="single" w:sz="8" w:color="003595"/>
            </w:tcBorders>
          </w:tcPr>
          <w:p>
            <w:pPr>
              <w:spacing w:after="0"/>
              <w:rPr>
                <w:sz w:val="9"/>
                <w:szCs w:val="9"/>
                <w:color w:val="auto"/>
              </w:rPr>
            </w:pPr>
          </w:p>
        </w:tc>
        <w:tc>
          <w:tcPr>
            <w:tcW w:w="1020" w:type="dxa"/>
            <w:vAlign w:val="bottom"/>
            <w:tcBorders>
              <w:bottom w:val="single" w:sz="8" w:color="003595"/>
            </w:tcBorders>
          </w:tcPr>
          <w:p>
            <w:pPr>
              <w:spacing w:after="0"/>
              <w:rPr>
                <w:sz w:val="9"/>
                <w:szCs w:val="9"/>
                <w:color w:val="auto"/>
              </w:rPr>
            </w:pPr>
          </w:p>
        </w:tc>
        <w:tc>
          <w:tcPr>
            <w:tcW w:w="1020" w:type="dxa"/>
            <w:vAlign w:val="bottom"/>
            <w:tcBorders>
              <w:bottom w:val="single" w:sz="8" w:color="003595"/>
            </w:tcBorders>
          </w:tcPr>
          <w:p>
            <w:pPr>
              <w:spacing w:after="0"/>
              <w:rPr>
                <w:sz w:val="9"/>
                <w:szCs w:val="9"/>
                <w:color w:val="auto"/>
              </w:rPr>
            </w:pPr>
          </w:p>
        </w:tc>
        <w:tc>
          <w:tcPr>
            <w:tcW w:w="1380" w:type="dxa"/>
            <w:vAlign w:val="bottom"/>
            <w:tcBorders>
              <w:bottom w:val="single" w:sz="8" w:color="003595"/>
            </w:tcBorders>
          </w:tcPr>
          <w:p>
            <w:pPr>
              <w:spacing w:after="0"/>
              <w:rPr>
                <w:sz w:val="9"/>
                <w:szCs w:val="9"/>
                <w:color w:val="auto"/>
              </w:rPr>
            </w:pPr>
          </w:p>
        </w:tc>
        <w:tc>
          <w:tcPr>
            <w:tcW w:w="1460" w:type="dxa"/>
            <w:vAlign w:val="bottom"/>
            <w:tcBorders>
              <w:bottom w:val="single" w:sz="8" w:color="003595"/>
            </w:tcBorders>
          </w:tcPr>
          <w:p>
            <w:pPr>
              <w:spacing w:after="0"/>
              <w:rPr>
                <w:sz w:val="9"/>
                <w:szCs w:val="9"/>
                <w:color w:val="auto"/>
              </w:rPr>
            </w:pPr>
          </w:p>
        </w:tc>
        <w:tc>
          <w:tcPr>
            <w:tcW w:w="1200" w:type="dxa"/>
            <w:vAlign w:val="bottom"/>
            <w:tcBorders>
              <w:bottom w:val="single" w:sz="8" w:color="003595"/>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3"/>
                <w:szCs w:val="13"/>
                <w:color w:val="auto"/>
              </w:rPr>
              <w:t>Dale Muzzey, Ph.D.</w:t>
            </w:r>
          </w:p>
        </w:tc>
        <w:tc>
          <w:tcPr>
            <w:tcW w:w="1360" w:type="dxa"/>
            <w:vAlign w:val="bottom"/>
          </w:tcPr>
          <w:p>
            <w:pPr>
              <w:jc w:val="center"/>
              <w:ind w:left="176"/>
              <w:spacing w:after="0"/>
              <w:rPr>
                <w:sz w:val="20"/>
                <w:szCs w:val="20"/>
                <w:color w:val="auto"/>
              </w:rPr>
            </w:pPr>
            <w:r>
              <w:rPr>
                <w:rFonts w:ascii="Arial" w:cs="Arial" w:eastAsia="Arial" w:hAnsi="Arial"/>
                <w:sz w:val="13"/>
                <w:szCs w:val="13"/>
                <w:color w:val="auto"/>
                <w:w w:val="96"/>
              </w:rPr>
              <w:t>2025</w:t>
            </w:r>
          </w:p>
        </w:tc>
        <w:tc>
          <w:tcPr>
            <w:tcW w:w="1180" w:type="dxa"/>
            <w:vAlign w:val="bottom"/>
          </w:tcPr>
          <w:p>
            <w:pPr>
              <w:jc w:val="center"/>
              <w:ind w:left="176"/>
              <w:spacing w:after="0"/>
              <w:rPr>
                <w:sz w:val="20"/>
                <w:szCs w:val="20"/>
                <w:color w:val="auto"/>
              </w:rPr>
            </w:pPr>
            <w:r>
              <w:rPr>
                <w:rFonts w:ascii="Arial" w:cs="Arial" w:eastAsia="Arial" w:hAnsi="Arial"/>
                <w:sz w:val="13"/>
                <w:szCs w:val="13"/>
                <w:color w:val="auto"/>
                <w:w w:val="99"/>
              </w:rPr>
              <w:t>$506,400</w:t>
            </w:r>
          </w:p>
        </w:tc>
        <w:tc>
          <w:tcPr>
            <w:tcW w:w="10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$1,121,054</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$221,677</w:t>
            </w:r>
          </w:p>
        </w:tc>
        <w:tc>
          <w:tcPr>
            <w:tcW w:w="1460" w:type="dxa"/>
            <w:vAlign w:val="bottom"/>
          </w:tcPr>
          <w:p>
            <w:pPr>
              <w:jc w:val="center"/>
              <w:ind w:right="15"/>
              <w:spacing w:after="0"/>
              <w:rPr>
                <w:sz w:val="20"/>
                <w:szCs w:val="20"/>
                <w:color w:val="auto"/>
              </w:rPr>
            </w:pPr>
            <w:r>
              <w:rPr>
                <w:rFonts w:ascii="Arial" w:cs="Arial" w:eastAsia="Arial" w:hAnsi="Arial"/>
                <w:sz w:val="13"/>
                <w:szCs w:val="13"/>
                <w:color w:val="auto"/>
                <w:w w:val="97"/>
              </w:rPr>
              <w:t>$13,781</w:t>
            </w:r>
          </w:p>
        </w:tc>
        <w:tc>
          <w:tcPr>
            <w:tcW w:w="1200" w:type="dxa"/>
            <w:vAlign w:val="bottom"/>
          </w:tcPr>
          <w:p>
            <w:pPr>
              <w:jc w:val="center"/>
              <w:spacing w:after="0"/>
              <w:rPr>
                <w:sz w:val="20"/>
                <w:szCs w:val="20"/>
                <w:color w:val="auto"/>
              </w:rPr>
            </w:pPr>
            <w:r>
              <w:rPr>
                <w:rFonts w:ascii="Arial" w:cs="Arial" w:eastAsia="Arial" w:hAnsi="Arial"/>
                <w:sz w:val="13"/>
                <w:szCs w:val="13"/>
                <w:color w:val="auto"/>
                <w:w w:val="95"/>
              </w:rPr>
              <w:t>$1,862,912</w:t>
            </w:r>
          </w:p>
        </w:tc>
        <w:tc>
          <w:tcPr>
            <w:tcW w:w="0" w:type="dxa"/>
            <w:vAlign w:val="bottom"/>
          </w:tcPr>
          <w:p>
            <w:pPr>
              <w:spacing w:after="0"/>
              <w:rPr>
                <w:sz w:val="1"/>
                <w:szCs w:val="1"/>
                <w:color w:val="auto"/>
              </w:rPr>
            </w:pPr>
          </w:p>
        </w:tc>
      </w:tr>
      <w:tr>
        <w:trPr>
          <w:trHeight w:val="166"/>
        </w:trPr>
        <w:tc>
          <w:tcPr>
            <w:tcW w:w="2620" w:type="dxa"/>
            <w:vAlign w:val="bottom"/>
          </w:tcPr>
          <w:p>
            <w:pPr>
              <w:ind w:left="200"/>
              <w:spacing w:after="0"/>
              <w:rPr>
                <w:sz w:val="20"/>
                <w:szCs w:val="20"/>
                <w:color w:val="auto"/>
              </w:rPr>
            </w:pPr>
            <w:r>
              <w:rPr>
                <w:rFonts w:ascii="Arial" w:cs="Arial" w:eastAsia="Arial" w:hAnsi="Arial"/>
                <w:sz w:val="13"/>
                <w:szCs w:val="13"/>
                <w:color w:val="auto"/>
              </w:rPr>
              <w:t>Chief Scientific Officer</w:t>
            </w:r>
          </w:p>
        </w:tc>
        <w:tc>
          <w:tcPr>
            <w:tcW w:w="1360" w:type="dxa"/>
            <w:vAlign w:val="bottom"/>
            <w:vMerge w:val="restart"/>
          </w:tcPr>
          <w:p>
            <w:pPr>
              <w:jc w:val="center"/>
              <w:ind w:left="176"/>
              <w:spacing w:after="0"/>
              <w:rPr>
                <w:sz w:val="20"/>
                <w:szCs w:val="20"/>
                <w:color w:val="auto"/>
              </w:rPr>
            </w:pPr>
            <w:r>
              <w:rPr>
                <w:rFonts w:ascii="Arial" w:cs="Arial" w:eastAsia="Arial" w:hAnsi="Arial"/>
                <w:sz w:val="13"/>
                <w:szCs w:val="13"/>
                <w:color w:val="auto"/>
                <w:w w:val="96"/>
              </w:rPr>
              <w:t>2024</w:t>
            </w:r>
          </w:p>
        </w:tc>
        <w:tc>
          <w:tcPr>
            <w:tcW w:w="1180" w:type="dxa"/>
            <w:vAlign w:val="bottom"/>
            <w:vMerge w:val="restart"/>
          </w:tcPr>
          <w:p>
            <w:pPr>
              <w:jc w:val="center"/>
              <w:ind w:left="176"/>
              <w:spacing w:after="0"/>
              <w:rPr>
                <w:sz w:val="20"/>
                <w:szCs w:val="20"/>
                <w:color w:val="auto"/>
              </w:rPr>
            </w:pPr>
            <w:r>
              <w:rPr>
                <w:rFonts w:ascii="Arial" w:cs="Arial" w:eastAsia="Arial" w:hAnsi="Arial"/>
                <w:sz w:val="13"/>
                <w:szCs w:val="13"/>
                <w:color w:val="auto"/>
                <w:w w:val="99"/>
              </w:rPr>
              <w:t>$499,350</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8"/>
              </w:rPr>
              <w:t>$2,222,701</w:t>
            </w: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w w:val="95"/>
              </w:rPr>
              <w:t>$265,100</w:t>
            </w:r>
          </w:p>
        </w:tc>
        <w:tc>
          <w:tcPr>
            <w:tcW w:w="1460" w:type="dxa"/>
            <w:vAlign w:val="bottom"/>
            <w:vMerge w:val="restart"/>
          </w:tcPr>
          <w:p>
            <w:pPr>
              <w:jc w:val="center"/>
              <w:ind w:right="15"/>
              <w:spacing w:after="0"/>
              <w:rPr>
                <w:sz w:val="20"/>
                <w:szCs w:val="20"/>
                <w:color w:val="auto"/>
              </w:rPr>
            </w:pPr>
            <w:r>
              <w:rPr>
                <w:rFonts w:ascii="Arial" w:cs="Arial" w:eastAsia="Arial" w:hAnsi="Arial"/>
                <w:sz w:val="13"/>
                <w:szCs w:val="13"/>
                <w:color w:val="auto"/>
                <w:w w:val="97"/>
              </w:rPr>
              <w:t>$18,727</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5"/>
              </w:rPr>
              <w:t>$3,005,878</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360" w:type="dxa"/>
            <w:vAlign w:val="bottom"/>
          </w:tcPr>
          <w:p>
            <w:pPr>
              <w:jc w:val="center"/>
              <w:ind w:left="176"/>
              <w:spacing w:after="0"/>
              <w:rPr>
                <w:sz w:val="20"/>
                <w:szCs w:val="20"/>
                <w:color w:val="auto"/>
              </w:rPr>
            </w:pPr>
            <w:r>
              <w:rPr>
                <w:rFonts w:ascii="Arial" w:cs="Arial" w:eastAsia="Arial" w:hAnsi="Arial"/>
                <w:sz w:val="13"/>
                <w:szCs w:val="13"/>
                <w:color w:val="auto"/>
                <w:w w:val="96"/>
              </w:rPr>
              <w:t>2023</w:t>
            </w:r>
          </w:p>
        </w:tc>
        <w:tc>
          <w:tcPr>
            <w:tcW w:w="1180" w:type="dxa"/>
            <w:vAlign w:val="bottom"/>
          </w:tcPr>
          <w:p>
            <w:pPr>
              <w:jc w:val="center"/>
              <w:ind w:left="176"/>
              <w:spacing w:after="0"/>
              <w:rPr>
                <w:sz w:val="20"/>
                <w:szCs w:val="20"/>
                <w:color w:val="auto"/>
              </w:rPr>
            </w:pPr>
            <w:r>
              <w:rPr>
                <w:rFonts w:ascii="Arial" w:cs="Arial" w:eastAsia="Arial" w:hAnsi="Arial"/>
                <w:sz w:val="13"/>
                <w:szCs w:val="13"/>
                <w:color w:val="auto"/>
                <w:w w:val="99"/>
              </w:rPr>
              <w:t>$443,750</w:t>
            </w:r>
          </w:p>
        </w:tc>
        <w:tc>
          <w:tcPr>
            <w:tcW w:w="1020" w:type="dxa"/>
            <w:vAlign w:val="bottom"/>
          </w:tcPr>
          <w:p>
            <w:pPr>
              <w:jc w:val="center"/>
              <w:spacing w:after="0"/>
              <w:rPr>
                <w:sz w:val="20"/>
                <w:szCs w:val="20"/>
                <w:color w:val="auto"/>
              </w:rPr>
            </w:pPr>
            <w:r>
              <w:rPr>
                <w:rFonts w:ascii="Arial" w:cs="Arial" w:eastAsia="Arial" w:hAnsi="Arial"/>
                <w:sz w:val="13"/>
                <w:szCs w:val="13"/>
                <w:color w:val="auto"/>
                <w:w w:val="92"/>
              </w:rPr>
              <w:t>$111,039</w:t>
            </w:r>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$1,415,045</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$250,650</w:t>
            </w:r>
          </w:p>
        </w:tc>
        <w:tc>
          <w:tcPr>
            <w:tcW w:w="1460" w:type="dxa"/>
            <w:vAlign w:val="bottom"/>
          </w:tcPr>
          <w:p>
            <w:pPr>
              <w:jc w:val="center"/>
              <w:spacing w:after="0"/>
              <w:rPr>
                <w:sz w:val="20"/>
                <w:szCs w:val="20"/>
                <w:color w:val="auto"/>
              </w:rPr>
            </w:pPr>
            <w:r>
              <w:rPr>
                <w:rFonts w:ascii="Arial" w:cs="Arial" w:eastAsia="Arial" w:hAnsi="Arial"/>
                <w:sz w:val="13"/>
                <w:szCs w:val="13"/>
                <w:color w:val="auto"/>
                <w:w w:val="93"/>
              </w:rPr>
              <w:t>$11,066</w:t>
            </w:r>
          </w:p>
        </w:tc>
        <w:tc>
          <w:tcPr>
            <w:tcW w:w="1200" w:type="dxa"/>
            <w:vAlign w:val="bottom"/>
          </w:tcPr>
          <w:p>
            <w:pPr>
              <w:jc w:val="center"/>
              <w:spacing w:after="0"/>
              <w:rPr>
                <w:sz w:val="20"/>
                <w:szCs w:val="20"/>
                <w:color w:val="auto"/>
              </w:rPr>
            </w:pPr>
            <w:r>
              <w:rPr>
                <w:rFonts w:ascii="Arial" w:cs="Arial" w:eastAsia="Arial" w:hAnsi="Arial"/>
                <w:sz w:val="13"/>
                <w:szCs w:val="13"/>
                <w:color w:val="auto"/>
                <w:w w:val="95"/>
              </w:rPr>
              <w:t>$2,231,550</w:t>
            </w:r>
          </w:p>
        </w:tc>
        <w:tc>
          <w:tcPr>
            <w:tcW w:w="0" w:type="dxa"/>
            <w:vAlign w:val="bottom"/>
          </w:tcPr>
          <w:p>
            <w:pPr>
              <w:spacing w:after="0"/>
              <w:rPr>
                <w:sz w:val="1"/>
                <w:szCs w:val="1"/>
                <w:color w:val="auto"/>
              </w:rPr>
            </w:pPr>
          </w:p>
        </w:tc>
      </w:tr>
      <w:tr>
        <w:trPr>
          <w:trHeight w:val="28"/>
        </w:trPr>
        <w:tc>
          <w:tcPr>
            <w:tcW w:w="2620" w:type="dxa"/>
            <w:vAlign w:val="bottom"/>
            <w:tcBorders>
              <w:bottom w:val="single" w:sz="8" w:color="0A2299"/>
            </w:tcBorders>
          </w:tcPr>
          <w:p>
            <w:pPr>
              <w:spacing w:after="0"/>
              <w:rPr>
                <w:sz w:val="2"/>
                <w:szCs w:val="2"/>
                <w:color w:val="auto"/>
              </w:rPr>
            </w:pPr>
          </w:p>
        </w:tc>
        <w:tc>
          <w:tcPr>
            <w:tcW w:w="1360" w:type="dxa"/>
            <w:vAlign w:val="bottom"/>
            <w:tcBorders>
              <w:bottom w:val="single" w:sz="8" w:color="0A2299"/>
            </w:tcBorders>
          </w:tcPr>
          <w:p>
            <w:pPr>
              <w:spacing w:after="0"/>
              <w:rPr>
                <w:sz w:val="2"/>
                <w:szCs w:val="2"/>
                <w:color w:val="auto"/>
              </w:rPr>
            </w:pPr>
          </w:p>
        </w:tc>
        <w:tc>
          <w:tcPr>
            <w:tcW w:w="1180" w:type="dxa"/>
            <w:vAlign w:val="bottom"/>
            <w:tcBorders>
              <w:bottom w:val="single" w:sz="8" w:color="0A2299"/>
            </w:tcBorders>
          </w:tcPr>
          <w:p>
            <w:pPr>
              <w:spacing w:after="0"/>
              <w:rPr>
                <w:sz w:val="2"/>
                <w:szCs w:val="2"/>
                <w:color w:val="auto"/>
              </w:rPr>
            </w:pPr>
          </w:p>
        </w:tc>
        <w:tc>
          <w:tcPr>
            <w:tcW w:w="1020" w:type="dxa"/>
            <w:vAlign w:val="bottom"/>
            <w:tcBorders>
              <w:bottom w:val="single" w:sz="8" w:color="0A2299"/>
            </w:tcBorders>
          </w:tcPr>
          <w:p>
            <w:pPr>
              <w:spacing w:after="0"/>
              <w:rPr>
                <w:sz w:val="2"/>
                <w:szCs w:val="2"/>
                <w:color w:val="auto"/>
              </w:rPr>
            </w:pPr>
          </w:p>
        </w:tc>
        <w:tc>
          <w:tcPr>
            <w:tcW w:w="1020" w:type="dxa"/>
            <w:vAlign w:val="bottom"/>
            <w:tcBorders>
              <w:bottom w:val="single" w:sz="8" w:color="0A2299"/>
            </w:tcBorders>
          </w:tcPr>
          <w:p>
            <w:pPr>
              <w:spacing w:after="0"/>
              <w:rPr>
                <w:sz w:val="2"/>
                <w:szCs w:val="2"/>
                <w:color w:val="auto"/>
              </w:rPr>
            </w:pPr>
          </w:p>
        </w:tc>
        <w:tc>
          <w:tcPr>
            <w:tcW w:w="1380" w:type="dxa"/>
            <w:vAlign w:val="bottom"/>
            <w:tcBorders>
              <w:bottom w:val="single" w:sz="8" w:color="0A2299"/>
            </w:tcBorders>
          </w:tcPr>
          <w:p>
            <w:pPr>
              <w:spacing w:after="0"/>
              <w:rPr>
                <w:sz w:val="2"/>
                <w:szCs w:val="2"/>
                <w:color w:val="auto"/>
              </w:rPr>
            </w:pPr>
          </w:p>
        </w:tc>
        <w:tc>
          <w:tcPr>
            <w:tcW w:w="1460" w:type="dxa"/>
            <w:vAlign w:val="bottom"/>
            <w:tcBorders>
              <w:bottom w:val="single" w:sz="8" w:color="0A2299"/>
            </w:tcBorders>
          </w:tcPr>
          <w:p>
            <w:pPr>
              <w:spacing w:after="0"/>
              <w:rPr>
                <w:sz w:val="2"/>
                <w:szCs w:val="2"/>
                <w:color w:val="auto"/>
              </w:rPr>
            </w:pPr>
          </w:p>
        </w:tc>
        <w:tc>
          <w:tcPr>
            <w:tcW w:w="1200" w:type="dxa"/>
            <w:vAlign w:val="bottom"/>
            <w:tcBorders>
              <w:bottom w:val="single" w:sz="8" w:color="0A2299"/>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
              <w:spacing w:after="0"/>
              <w:rPr>
                <w:sz w:val="20"/>
                <w:szCs w:val="20"/>
                <w:color w:val="auto"/>
              </w:rPr>
            </w:pPr>
            <w:r>
              <w:rPr>
                <w:rFonts w:ascii="Arial" w:cs="Arial" w:eastAsia="Arial" w:hAnsi="Arial"/>
                <w:sz w:val="13"/>
                <w:szCs w:val="13"/>
                <w:color w:val="auto"/>
              </w:rPr>
              <w:t>Margaret Ancona</w:t>
            </w:r>
          </w:p>
        </w:tc>
        <w:tc>
          <w:tcPr>
            <w:tcW w:w="1360" w:type="dxa"/>
            <w:vAlign w:val="bottom"/>
            <w:vMerge w:val="restart"/>
          </w:tcPr>
          <w:p>
            <w:pPr>
              <w:jc w:val="center"/>
              <w:ind w:left="176"/>
              <w:spacing w:after="0"/>
              <w:rPr>
                <w:sz w:val="20"/>
                <w:szCs w:val="20"/>
                <w:color w:val="auto"/>
              </w:rPr>
            </w:pPr>
            <w:r>
              <w:rPr>
                <w:rFonts w:ascii="Arial" w:cs="Arial" w:eastAsia="Arial" w:hAnsi="Arial"/>
                <w:sz w:val="13"/>
                <w:szCs w:val="13"/>
                <w:color w:val="auto"/>
                <w:w w:val="96"/>
              </w:rPr>
              <w:t>2025</w:t>
            </w:r>
          </w:p>
        </w:tc>
        <w:tc>
          <w:tcPr>
            <w:tcW w:w="1180" w:type="dxa"/>
            <w:vAlign w:val="bottom"/>
            <w:vMerge w:val="restart"/>
          </w:tcPr>
          <w:p>
            <w:pPr>
              <w:jc w:val="center"/>
              <w:ind w:left="176"/>
              <w:spacing w:after="0"/>
              <w:rPr>
                <w:sz w:val="20"/>
                <w:szCs w:val="20"/>
                <w:color w:val="auto"/>
              </w:rPr>
            </w:pPr>
            <w:r>
              <w:rPr>
                <w:rFonts w:ascii="Arial" w:cs="Arial" w:eastAsia="Arial" w:hAnsi="Arial"/>
                <w:sz w:val="13"/>
                <w:szCs w:val="13"/>
                <w:color w:val="auto"/>
                <w:w w:val="99"/>
              </w:rPr>
              <w:t>$330,850</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5"/>
              </w:rPr>
              <w:t>$800,754</w:t>
            </w: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w w:val="98"/>
              </w:rPr>
              <w:t>$—</w:t>
            </w:r>
          </w:p>
        </w:tc>
        <w:tc>
          <w:tcPr>
            <w:tcW w:w="1460" w:type="dxa"/>
            <w:vAlign w:val="bottom"/>
            <w:vMerge w:val="restart"/>
          </w:tcPr>
          <w:p>
            <w:pPr>
              <w:jc w:val="center"/>
              <w:spacing w:after="0"/>
              <w:rPr>
                <w:sz w:val="20"/>
                <w:szCs w:val="20"/>
                <w:color w:val="auto"/>
              </w:rPr>
            </w:pPr>
            <w:r>
              <w:rPr>
                <w:rFonts w:ascii="Arial" w:cs="Arial" w:eastAsia="Arial" w:hAnsi="Arial"/>
                <w:sz w:val="13"/>
                <w:szCs w:val="13"/>
                <w:color w:val="auto"/>
                <w:w w:val="95"/>
              </w:rPr>
              <w:t>$763,561</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5"/>
              </w:rPr>
              <w:t>$1,895,166</w:t>
            </w:r>
          </w:p>
        </w:tc>
        <w:tc>
          <w:tcPr>
            <w:tcW w:w="0" w:type="dxa"/>
            <w:vAlign w:val="bottom"/>
          </w:tcPr>
          <w:p>
            <w:pPr>
              <w:spacing w:after="0"/>
              <w:rPr>
                <w:sz w:val="1"/>
                <w:szCs w:val="1"/>
                <w:color w:val="auto"/>
              </w:rPr>
            </w:pPr>
          </w:p>
        </w:tc>
      </w:tr>
      <w:tr>
        <w:trPr>
          <w:trHeight w:val="126"/>
        </w:trPr>
        <w:tc>
          <w:tcPr>
            <w:tcW w:w="2620" w:type="dxa"/>
            <w:vAlign w:val="bottom"/>
          </w:tcPr>
          <w:p>
            <w:pPr>
              <w:ind w:left="200"/>
              <w:spacing w:after="0" w:line="126" w:lineRule="exact"/>
              <w:rPr>
                <w:sz w:val="20"/>
                <w:szCs w:val="20"/>
                <w:color w:val="auto"/>
              </w:rPr>
            </w:pPr>
            <w:r>
              <w:rPr>
                <w:rFonts w:ascii="Arial" w:cs="Arial" w:eastAsia="Arial" w:hAnsi="Arial"/>
                <w:sz w:val="13"/>
                <w:szCs w:val="13"/>
                <w:color w:val="auto"/>
                <w:w w:val="98"/>
              </w:rPr>
              <w:t>Former EVP, Strategy and Transformation</w:t>
            </w:r>
          </w:p>
        </w:tc>
        <w:tc>
          <w:tcPr>
            <w:tcW w:w="13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20" w:type="dxa"/>
            <w:vAlign w:val="bottom"/>
          </w:tcPr>
          <w:p>
            <w:pPr>
              <w:ind w:left="180"/>
              <w:spacing w:after="0"/>
              <w:rPr>
                <w:sz w:val="20"/>
                <w:szCs w:val="20"/>
                <w:color w:val="auto"/>
              </w:rPr>
            </w:pPr>
            <w:r>
              <w:rPr>
                <w:rFonts w:ascii="Arial" w:cs="Arial" w:eastAsia="Arial" w:hAnsi="Arial"/>
                <w:sz w:val="8"/>
                <w:szCs w:val="8"/>
                <w:color w:val="auto"/>
              </w:rPr>
              <w:t>(11)</w:t>
            </w: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620" w:type="dxa"/>
            <w:vAlign w:val="bottom"/>
            <w:tcBorders>
              <w:bottom w:val="single" w:sz="8" w:color="0A2299"/>
            </w:tcBorders>
          </w:tcPr>
          <w:p>
            <w:pPr>
              <w:spacing w:after="0"/>
              <w:rPr>
                <w:sz w:val="5"/>
                <w:szCs w:val="5"/>
                <w:color w:val="auto"/>
              </w:rPr>
            </w:pPr>
          </w:p>
        </w:tc>
        <w:tc>
          <w:tcPr>
            <w:tcW w:w="1360" w:type="dxa"/>
            <w:vAlign w:val="bottom"/>
            <w:tcBorders>
              <w:bottom w:val="single" w:sz="8" w:color="003595"/>
            </w:tcBorders>
          </w:tcPr>
          <w:p>
            <w:pPr>
              <w:spacing w:after="0"/>
              <w:rPr>
                <w:sz w:val="5"/>
                <w:szCs w:val="5"/>
                <w:color w:val="auto"/>
              </w:rPr>
            </w:pPr>
          </w:p>
        </w:tc>
        <w:tc>
          <w:tcPr>
            <w:tcW w:w="1180" w:type="dxa"/>
            <w:vAlign w:val="bottom"/>
            <w:tcBorders>
              <w:bottom w:val="single" w:sz="8" w:color="003595"/>
            </w:tcBorders>
          </w:tcPr>
          <w:p>
            <w:pPr>
              <w:spacing w:after="0"/>
              <w:rPr>
                <w:sz w:val="5"/>
                <w:szCs w:val="5"/>
                <w:color w:val="auto"/>
              </w:rPr>
            </w:pPr>
          </w:p>
        </w:tc>
        <w:tc>
          <w:tcPr>
            <w:tcW w:w="1020" w:type="dxa"/>
            <w:vAlign w:val="bottom"/>
            <w:tcBorders>
              <w:bottom w:val="single" w:sz="8" w:color="003595"/>
            </w:tcBorders>
          </w:tcPr>
          <w:p>
            <w:pPr>
              <w:spacing w:after="0"/>
              <w:rPr>
                <w:sz w:val="5"/>
                <w:szCs w:val="5"/>
                <w:color w:val="auto"/>
              </w:rPr>
            </w:pPr>
          </w:p>
        </w:tc>
        <w:tc>
          <w:tcPr>
            <w:tcW w:w="1020" w:type="dxa"/>
            <w:vAlign w:val="bottom"/>
            <w:tcBorders>
              <w:bottom w:val="single" w:sz="8" w:color="003595"/>
            </w:tcBorders>
          </w:tcPr>
          <w:p>
            <w:pPr>
              <w:spacing w:after="0"/>
              <w:rPr>
                <w:sz w:val="5"/>
                <w:szCs w:val="5"/>
                <w:color w:val="auto"/>
              </w:rPr>
            </w:pPr>
          </w:p>
        </w:tc>
        <w:tc>
          <w:tcPr>
            <w:tcW w:w="1380" w:type="dxa"/>
            <w:vAlign w:val="bottom"/>
            <w:tcBorders>
              <w:bottom w:val="single" w:sz="8" w:color="003595"/>
            </w:tcBorders>
          </w:tcPr>
          <w:p>
            <w:pPr>
              <w:spacing w:after="0"/>
              <w:rPr>
                <w:sz w:val="5"/>
                <w:szCs w:val="5"/>
                <w:color w:val="auto"/>
              </w:rPr>
            </w:pPr>
          </w:p>
        </w:tc>
        <w:tc>
          <w:tcPr>
            <w:tcW w:w="1460" w:type="dxa"/>
            <w:vAlign w:val="bottom"/>
            <w:tcBorders>
              <w:bottom w:val="single" w:sz="8" w:color="003595"/>
            </w:tcBorders>
          </w:tcPr>
          <w:p>
            <w:pPr>
              <w:spacing w:after="0"/>
              <w:rPr>
                <w:sz w:val="5"/>
                <w:szCs w:val="5"/>
                <w:color w:val="auto"/>
              </w:rPr>
            </w:pPr>
          </w:p>
        </w:tc>
        <w:tc>
          <w:tcPr>
            <w:tcW w:w="1200" w:type="dxa"/>
            <w:vAlign w:val="bottom"/>
            <w:tcBorders>
              <w:bottom w:val="single" w:sz="8" w:color="003595"/>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60" w:hanging="328"/>
        <w:spacing w:after="0" w:line="254" w:lineRule="auto"/>
        <w:tabs>
          <w:tab w:leader="none" w:pos="652" w:val="left"/>
        </w:tabs>
        <w:numPr>
          <w:ilvl w:val="0"/>
          <w:numId w:val="54"/>
        </w:numPr>
        <w:rPr>
          <w:rFonts w:ascii="Arial" w:cs="Arial" w:eastAsia="Arial" w:hAnsi="Arial"/>
          <w:sz w:val="13"/>
          <w:szCs w:val="13"/>
          <w:color w:val="auto"/>
        </w:rPr>
      </w:pPr>
      <w:r>
        <w:rPr>
          <w:rFonts w:ascii="Arial" w:cs="Arial" w:eastAsia="Arial" w:hAnsi="Arial"/>
          <w:sz w:val="13"/>
          <w:szCs w:val="13"/>
          <w:color w:val="auto"/>
        </w:rPr>
        <w:t>During 2025, Mr. Donnelly received a sign-on bonus of $450,000, which was paid in May 2025. Mr. Donnelly's sign-on bonus or a portion thereof is subject to clawback in the event of a termination of his employment for certain reasons before the first and second anniversaries of the commencement of Mr. Donnelly's employment. During 2024, Mr. Leffler received a sign-on bonus of $400,000. During 2023, Dr. Muzzey received a one-time retention bonus of $111,039. In connection with the commencement of Mr. Raha's employment in December 2023, Mr. Raha received a sign-on bonus of $500,000, which was paid in January 2024.</w:t>
      </w:r>
    </w:p>
    <w:p>
      <w:pPr>
        <w:spacing w:after="0" w:line="217" w:lineRule="exact"/>
        <w:rPr>
          <w:rFonts w:ascii="Arial" w:cs="Arial" w:eastAsia="Arial" w:hAnsi="Arial"/>
          <w:sz w:val="13"/>
          <w:szCs w:val="13"/>
          <w:color w:val="auto"/>
        </w:rPr>
      </w:pPr>
    </w:p>
    <w:p>
      <w:pPr>
        <w:jc w:val="both"/>
        <w:ind w:left="660" w:hanging="328"/>
        <w:spacing w:after="0" w:line="245" w:lineRule="auto"/>
        <w:tabs>
          <w:tab w:leader="none" w:pos="652" w:val="left"/>
        </w:tabs>
        <w:numPr>
          <w:ilvl w:val="0"/>
          <w:numId w:val="54"/>
        </w:numPr>
        <w:rPr>
          <w:rFonts w:ascii="Arial" w:cs="Arial" w:eastAsia="Arial" w:hAnsi="Arial"/>
          <w:sz w:val="13"/>
          <w:szCs w:val="13"/>
          <w:color w:val="auto"/>
        </w:rPr>
      </w:pPr>
      <w:r>
        <w:rPr>
          <w:rFonts w:ascii="Arial" w:cs="Arial" w:eastAsia="Arial" w:hAnsi="Arial"/>
          <w:sz w:val="13"/>
          <w:szCs w:val="13"/>
          <w:color w:val="auto"/>
        </w:rPr>
        <w:t>Amounts shown reflect the aggregate grant date fair value of restricted stock unit awards granted or modified in 2025, 2024, and 2023, in each case calculated in accordance with FASB ASC Topic 718. All stock awards, other than PSUs with market conditions, are based on the closing price of our common stock on the Nasdaq Global Select Market on the grant date of the award. The PSUs with market conditions are based on a Monte Carlo valuation. For 2025, 2024, and 2023, amounts reflect the potential value of the restricted stock unit awards assuming the target level of performance associated with the award. For 2025, the potential value of the restricted stock unit awards assuming maximum level of performance is as follows: Mr. Raha: $4,541,242, Mr. Wheeler: $948,144, Mr. Leffler: $1,251,513, Mr. Verratti: $2,310,847, Mr. Donnelly: $5,127,030, Dr. Muzzey: $1,314,082, and Ms. Ancona $938,630. For 2024, the potential value of the restricted stock unit awards assuming maximum level of performance is as follows: Mr. Raha: $3,678,516, Mr. Diaz: $14,045,268, Mr. Leffler: $5,351,027, Mr. Verratti: $3,344,117 and Dr. Muzzey $2,809,047. For 2023, the potential value of the restricted stock unit awards assuming maximum level of performance is as follows: Mr. Raha: $4,502,658, Mr. Diaz: $12,396,403, Mr. Verratti: $2,479,264, and Dr. Muzzey: $1,790,594. On April 30, 2025, in connection with their respective promotions to Chief Executive Officer and Chief Commercial Officer, Mr. Raha received an equity award of 141,050 PSUs and Mr. Verratti received an award of 105,785 PSUs. These awards vest based on the achievement of specified stock price milestones and were valued using a Monte Carlo valuation model resulting in a weighted-average value of $5.58. Similarly, on May 1, 2025, Mr. Donnelly received an initial equity award of 269,905 RSUs (vesting in four equal annual installments) and 236,167 PSUs subject the same stock price milestone conditions and Monte Carlo valuation ($5.58 weighted-average value). In accordance with the terms of these grants, no portion of these PSUs may vest earlier than one year from the grant date, and all vesting is subject to the executive's continued service through the applicable vesting date</w:t>
      </w:r>
      <w:r>
        <w:rPr>
          <w:rFonts w:ascii="Arial" w:cs="Arial" w:eastAsia="Arial" w:hAnsi="Arial"/>
          <w:sz w:val="16"/>
          <w:szCs w:val="16"/>
          <w:color w:val="auto"/>
        </w:rPr>
        <w:t>.</w:t>
      </w:r>
      <w:r>
        <w:rPr>
          <w:rFonts w:ascii="Arial" w:cs="Arial" w:eastAsia="Arial" w:hAnsi="Arial"/>
          <w:sz w:val="13"/>
          <w:szCs w:val="13"/>
          <w:color w:val="auto"/>
        </w:rPr>
        <w:t xml:space="preserve"> The stock awards for Mr. Leffler during 2025 consist of 72,165 RSUs and 72,165 PSUs with an aggregate grant date fair value of $1,067,674 (of which 14,033 RSUs and all of the PSUs, with an aggregate grant date fair value of $491,172, were forfeited in connection with his departure from us). The stock awards for Ms. Ancona during 2025 consist of 54,124 RSUs and 54,123 PSUs with an aggregate grant date fair value of $800,754 (of which 7,517 RSUs and all of the PSUs, with an aggregate grant date fair value of $339,200, were forfeited in connection with her departure from us).</w:t>
      </w:r>
    </w:p>
    <w:p>
      <w:pPr>
        <w:spacing w:after="0" w:line="223" w:lineRule="exact"/>
        <w:rPr>
          <w:rFonts w:ascii="Arial" w:cs="Arial" w:eastAsia="Arial" w:hAnsi="Arial"/>
          <w:sz w:val="13"/>
          <w:szCs w:val="13"/>
          <w:color w:val="auto"/>
        </w:rPr>
      </w:pPr>
    </w:p>
    <w:p>
      <w:pPr>
        <w:ind w:left="640" w:hanging="308"/>
        <w:spacing w:after="0"/>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For 2023, 2024 and 2025, the amounts reported in this column reflect the actual cash incentive awards paid.</w:t>
      </w:r>
    </w:p>
    <w:p>
      <w:pPr>
        <w:spacing w:after="0" w:line="255" w:lineRule="exact"/>
        <w:rPr>
          <w:rFonts w:ascii="Arial" w:cs="Arial" w:eastAsia="Arial" w:hAnsi="Arial"/>
          <w:sz w:val="13"/>
          <w:szCs w:val="13"/>
          <w:color w:val="auto"/>
        </w:rPr>
      </w:pPr>
    </w:p>
    <w:p>
      <w:pPr>
        <w:jc w:val="both"/>
        <w:ind w:left="660" w:hanging="328"/>
        <w:spacing w:after="0" w:line="229" w:lineRule="auto"/>
        <w:tabs>
          <w:tab w:leader="none" w:pos="652" w:val="left"/>
        </w:tabs>
        <w:numPr>
          <w:ilvl w:val="0"/>
          <w:numId w:val="54"/>
        </w:numPr>
        <w:rPr>
          <w:rFonts w:ascii="Arial" w:cs="Arial" w:eastAsia="Arial" w:hAnsi="Arial"/>
          <w:sz w:val="13"/>
          <w:szCs w:val="13"/>
          <w:color w:val="auto"/>
        </w:rPr>
      </w:pPr>
      <w:r>
        <w:rPr>
          <w:rFonts w:ascii="Arial" w:cs="Arial" w:eastAsia="Arial" w:hAnsi="Arial"/>
          <w:sz w:val="13"/>
          <w:szCs w:val="13"/>
          <w:color w:val="auto"/>
        </w:rPr>
        <w:t>During 2025, Mr. Diaz received paid commuting expenses of $5,557 and $250,000 in consulting fees under the Diaz Consulting Agreement. During 2025, Mr. Donnelly received paid commuting expense of $3,598. During 2025, Mr. Leffler received (i) paid commuting expenses of $20,238 and (ii) a lump sum separation payment of $1,239,384 paid in connection with his departure on September 2, 2025, pursuant to the terms of the Leffler Separation Agreement. During 2025, Ms. Ancona received (i) paid commuting expenses of $6,422, (ii) a lump sum separation payment of $739,411 paid in connection with her departure on November 3, 2025, pursuant to the terms of the Ancona Separation Agreement, and (iii) $2,917 in COBRA premium payments. Amounts shown for 2025 for each NEO include short-term and long-term disability insurance premium payments, life insurance premium payments, tax "gross-up" payments with respect to certain expenses associated with attendance by our NEOs (other than Mr. Diaz, Mr. Wheeler, Mr. Leffler, Dr. Muzzey, and Ms. Ancona) at our annual President's Club event to recognize our highest performing sales employees, and contributions made under our Health Savings Account and 401(k) plans on behalf of each NEO. Each of our NEOs (other than Mr. Wheeler, Mr. Donnelly, Dr. Muzzey, and Ms. Ancona) received $14,000 in matching contributions under our 401(k) plan during 2025. Each of Mr. Wheeler, Mr. Donnelly, and Dr. Muzzey received $11,750, and Ms. Ancona received $13,287 in matching contributions under our 401(k) plan during 2025.</w:t>
      </w:r>
    </w:p>
    <w:p>
      <w:pPr>
        <w:spacing w:after="0" w:line="228" w:lineRule="exact"/>
        <w:rPr>
          <w:rFonts w:ascii="Arial" w:cs="Arial" w:eastAsia="Arial" w:hAnsi="Arial"/>
          <w:sz w:val="13"/>
          <w:szCs w:val="13"/>
          <w:color w:val="auto"/>
        </w:rPr>
      </w:pPr>
    </w:p>
    <w:p>
      <w:pPr>
        <w:ind w:left="640" w:hanging="308"/>
        <w:spacing w:after="0"/>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Mr. Raha was promoted to President and Chief Executive Officer effective April 30, 2025.</w:t>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57" w:name="page58"/>
    <w:bookmarkEnd w:id="57"/>
    <w:p>
      <w:pPr>
        <w:ind w:left="660" w:hanging="328"/>
        <w:spacing w:after="0" w:line="264" w:lineRule="auto"/>
        <w:tabs>
          <w:tab w:leader="none" w:pos="652" w:val="left"/>
        </w:tabs>
        <w:numPr>
          <w:ilvl w:val="0"/>
          <w:numId w:val="55"/>
        </w:numPr>
        <w:rPr>
          <w:rFonts w:ascii="Arial" w:cs="Arial" w:eastAsia="Arial" w:hAnsi="Arial"/>
          <w:sz w:val="13"/>
          <w:szCs w:val="13"/>
          <w:color w:val="auto"/>
        </w:rPr>
      </w:pPr>
      <w:r>
        <w:rPr>
          <w:rFonts w:ascii="Arial" w:cs="Arial" w:eastAsia="Arial" w:hAnsi="Arial"/>
          <w:sz w:val="13"/>
          <w:szCs w:val="13"/>
          <w:color w:val="auto"/>
        </w:rPr>
        <w:t>Mr. Diaz resigned from his position as President and Chief Executive Officer effective April 30, 2025. Thereafter, Mr. Diaz transitioned to providing consulting services to the Company and received a monthly consulting fee of $31,250.</w:t>
      </w:r>
    </w:p>
    <w:p>
      <w:pPr>
        <w:spacing w:after="0" w:line="211" w:lineRule="exact"/>
        <w:rPr>
          <w:rFonts w:ascii="Arial" w:cs="Arial" w:eastAsia="Arial" w:hAnsi="Arial"/>
          <w:sz w:val="13"/>
          <w:szCs w:val="13"/>
          <w:color w:val="auto"/>
        </w:rPr>
      </w:pPr>
    </w:p>
    <w:p>
      <w:pPr>
        <w:ind w:left="640" w:hanging="308"/>
        <w:spacing w:after="0"/>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Mr. Wheeler was promoted to Chief Financial Officer effective August 16, 2025.</w:t>
      </w:r>
    </w:p>
    <w:p>
      <w:pPr>
        <w:spacing w:after="0" w:line="255" w:lineRule="exact"/>
        <w:rPr>
          <w:rFonts w:ascii="Arial" w:cs="Arial" w:eastAsia="Arial" w:hAnsi="Arial"/>
          <w:sz w:val="13"/>
          <w:szCs w:val="13"/>
          <w:color w:val="auto"/>
        </w:rPr>
      </w:pPr>
    </w:p>
    <w:p>
      <w:pPr>
        <w:ind w:left="640" w:hanging="308"/>
        <w:spacing w:after="0"/>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Mr. Leffler departed from his position as Chief Financial Officer effective August 15, 2025.</w:t>
      </w:r>
    </w:p>
    <w:p>
      <w:pPr>
        <w:spacing w:after="0" w:line="228" w:lineRule="exact"/>
        <w:rPr>
          <w:rFonts w:ascii="Arial" w:cs="Arial" w:eastAsia="Arial" w:hAnsi="Arial"/>
          <w:sz w:val="13"/>
          <w:szCs w:val="13"/>
          <w:color w:val="auto"/>
        </w:rPr>
      </w:pPr>
    </w:p>
    <w:p>
      <w:pPr>
        <w:ind w:left="640" w:hanging="308"/>
        <w:spacing w:after="0"/>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Mr. Verratti was promoted to Chief Operating Officer effective April 30, 2025.</w:t>
      </w:r>
    </w:p>
    <w:p>
      <w:pPr>
        <w:spacing w:after="0" w:line="228" w:lineRule="exact"/>
        <w:rPr>
          <w:rFonts w:ascii="Arial" w:cs="Arial" w:eastAsia="Arial" w:hAnsi="Arial"/>
          <w:sz w:val="13"/>
          <w:szCs w:val="13"/>
          <w:color w:val="auto"/>
        </w:rPr>
      </w:pPr>
    </w:p>
    <w:p>
      <w:pPr>
        <w:ind w:left="660" w:hanging="328"/>
        <w:spacing w:after="0"/>
        <w:tabs>
          <w:tab w:leader="none" w:pos="6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Mr. Donnelly commenced employment with the Company as Chief Commercial Officer on May 1, 2025.</w:t>
      </w:r>
    </w:p>
    <w:p>
      <w:pPr>
        <w:spacing w:after="0" w:line="242" w:lineRule="exact"/>
        <w:rPr>
          <w:rFonts w:ascii="Arial" w:cs="Arial" w:eastAsia="Arial" w:hAnsi="Arial"/>
          <w:sz w:val="13"/>
          <w:szCs w:val="13"/>
          <w:color w:val="auto"/>
        </w:rPr>
      </w:pPr>
    </w:p>
    <w:p>
      <w:pPr>
        <w:ind w:left="640" w:hanging="308"/>
        <w:spacing w:after="0"/>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Ms. Ancona departed from her position as Executive Vice President, Strategy and Transformation effective November 3,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2025 Grants of Plan-Based Awards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tables show information regarding grants of non-equity and equity awards that we made during the year ended December 31, 2025 to each of the executive officers (except for Mr. Diaz, who resigned from his position as President and Chief Executive officer, effective April 30, 2025, and did not receive any such awards) named in the Summary Compensation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820" w:type="dxa"/>
            <w:vAlign w:val="bottom"/>
            <w:shd w:val="clear" w:color="auto" w:fill="003595"/>
          </w:tcPr>
          <w:p>
            <w:pPr>
              <w:spacing w:after="0"/>
              <w:rPr>
                <w:sz w:val="15"/>
                <w:szCs w:val="15"/>
                <w:color w:val="auto"/>
              </w:rPr>
            </w:pPr>
          </w:p>
        </w:tc>
        <w:tc>
          <w:tcPr>
            <w:tcW w:w="2080" w:type="dxa"/>
            <w:vAlign w:val="bottom"/>
            <w:shd w:val="clear" w:color="auto" w:fill="003595"/>
          </w:tcPr>
          <w:p>
            <w:pPr>
              <w:spacing w:after="0"/>
              <w:rPr>
                <w:sz w:val="15"/>
                <w:szCs w:val="15"/>
                <w:color w:val="auto"/>
              </w:rPr>
            </w:pPr>
          </w:p>
        </w:tc>
        <w:tc>
          <w:tcPr>
            <w:tcW w:w="840" w:type="dxa"/>
            <w:vAlign w:val="bottom"/>
            <w:shd w:val="clear" w:color="auto" w:fill="003595"/>
          </w:tcPr>
          <w:p>
            <w:pPr>
              <w:spacing w:after="0"/>
              <w:rPr>
                <w:sz w:val="15"/>
                <w:szCs w:val="15"/>
                <w:color w:val="auto"/>
              </w:rPr>
            </w:pPr>
          </w:p>
        </w:tc>
        <w:tc>
          <w:tcPr>
            <w:tcW w:w="820" w:type="dxa"/>
            <w:vAlign w:val="bottom"/>
            <w:shd w:val="clear" w:color="auto" w:fill="003595"/>
          </w:tcPr>
          <w:p>
            <w:pPr>
              <w:spacing w:after="0"/>
              <w:rPr>
                <w:sz w:val="15"/>
                <w:szCs w:val="15"/>
                <w:color w:val="auto"/>
              </w:rPr>
            </w:pPr>
          </w:p>
        </w:tc>
        <w:tc>
          <w:tcPr>
            <w:tcW w:w="660" w:type="dxa"/>
            <w:vAlign w:val="bottom"/>
            <w:shd w:val="clear" w:color="auto" w:fill="003595"/>
          </w:tcPr>
          <w:p>
            <w:pPr>
              <w:spacing w:after="0"/>
              <w:rPr>
                <w:sz w:val="15"/>
                <w:szCs w:val="15"/>
                <w:color w:val="auto"/>
              </w:rPr>
            </w:pPr>
          </w:p>
        </w:tc>
        <w:tc>
          <w:tcPr>
            <w:tcW w:w="860" w:type="dxa"/>
            <w:vAlign w:val="bottom"/>
            <w:shd w:val="clear" w:color="auto" w:fill="003595"/>
          </w:tcPr>
          <w:p>
            <w:pPr>
              <w:spacing w:after="0"/>
              <w:rPr>
                <w:sz w:val="15"/>
                <w:szCs w:val="15"/>
                <w:color w:val="auto"/>
              </w:rPr>
            </w:pPr>
          </w:p>
        </w:tc>
        <w:tc>
          <w:tcPr>
            <w:tcW w:w="2320" w:type="dxa"/>
            <w:vAlign w:val="bottom"/>
            <w:gridSpan w:val="3"/>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7"/>
              </w:rPr>
              <w:t>Estimated Future</w:t>
            </w:r>
          </w:p>
        </w:tc>
        <w:tc>
          <w:tcPr>
            <w:tcW w:w="800" w:type="dxa"/>
            <w:vAlign w:val="bottom"/>
            <w:shd w:val="clear" w:color="auto" w:fill="003595"/>
          </w:tcPr>
          <w:p>
            <w:pPr>
              <w:jc w:val="center"/>
              <w:spacing w:after="0"/>
              <w:rPr>
                <w:sz w:val="20"/>
                <w:szCs w:val="20"/>
                <w:color w:val="auto"/>
              </w:rPr>
            </w:pPr>
            <w:r>
              <w:rPr>
                <w:rFonts w:ascii="Arial" w:cs="Arial" w:eastAsia="Arial" w:hAnsi="Arial"/>
                <w:sz w:val="12"/>
                <w:szCs w:val="12"/>
                <w:b w:val="1"/>
                <w:bCs w:val="1"/>
                <w:color w:val="FFFFFF"/>
                <w:w w:val="94"/>
              </w:rPr>
              <w:t>All Other</w:t>
            </w:r>
          </w:p>
        </w:tc>
        <w:tc>
          <w:tcPr>
            <w:tcW w:w="1040" w:type="dxa"/>
            <w:vAlign w:val="bottom"/>
            <w:shd w:val="clear" w:color="auto" w:fill="003595"/>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20" w:type="dxa"/>
            <w:vAlign w:val="bottom"/>
            <w:shd w:val="clear" w:color="auto" w:fill="003595"/>
          </w:tcPr>
          <w:p>
            <w:pPr>
              <w:spacing w:after="0"/>
              <w:rPr>
                <w:sz w:val="8"/>
                <w:szCs w:val="8"/>
                <w:color w:val="auto"/>
              </w:rPr>
            </w:pPr>
          </w:p>
        </w:tc>
        <w:tc>
          <w:tcPr>
            <w:tcW w:w="2080" w:type="dxa"/>
            <w:vAlign w:val="bottom"/>
            <w:shd w:val="clear" w:color="auto" w:fill="003595"/>
          </w:tcPr>
          <w:p>
            <w:pPr>
              <w:spacing w:after="0"/>
              <w:rPr>
                <w:sz w:val="8"/>
                <w:szCs w:val="8"/>
                <w:color w:val="auto"/>
              </w:rPr>
            </w:pPr>
          </w:p>
        </w:tc>
        <w:tc>
          <w:tcPr>
            <w:tcW w:w="840" w:type="dxa"/>
            <w:vAlign w:val="bottom"/>
            <w:shd w:val="clear" w:color="auto" w:fill="003595"/>
          </w:tcPr>
          <w:p>
            <w:pPr>
              <w:spacing w:after="0"/>
              <w:rPr>
                <w:sz w:val="8"/>
                <w:szCs w:val="8"/>
                <w:color w:val="auto"/>
              </w:rPr>
            </w:pPr>
          </w:p>
        </w:tc>
        <w:tc>
          <w:tcPr>
            <w:tcW w:w="820" w:type="dxa"/>
            <w:vAlign w:val="bottom"/>
            <w:shd w:val="clear" w:color="auto" w:fill="003595"/>
          </w:tcPr>
          <w:p>
            <w:pPr>
              <w:spacing w:after="0"/>
              <w:rPr>
                <w:sz w:val="8"/>
                <w:szCs w:val="8"/>
                <w:color w:val="auto"/>
              </w:rPr>
            </w:pPr>
          </w:p>
        </w:tc>
        <w:tc>
          <w:tcPr>
            <w:tcW w:w="660" w:type="dxa"/>
            <w:vAlign w:val="bottom"/>
            <w:shd w:val="clear" w:color="auto" w:fill="003595"/>
          </w:tcPr>
          <w:p>
            <w:pPr>
              <w:spacing w:after="0"/>
              <w:rPr>
                <w:sz w:val="8"/>
                <w:szCs w:val="8"/>
                <w:color w:val="auto"/>
              </w:rPr>
            </w:pPr>
          </w:p>
        </w:tc>
        <w:tc>
          <w:tcPr>
            <w:tcW w:w="860" w:type="dxa"/>
            <w:vAlign w:val="bottom"/>
            <w:shd w:val="clear" w:color="auto" w:fill="003595"/>
          </w:tcPr>
          <w:p>
            <w:pPr>
              <w:spacing w:after="0"/>
              <w:rPr>
                <w:sz w:val="8"/>
                <w:szCs w:val="8"/>
                <w:color w:val="auto"/>
              </w:rPr>
            </w:pPr>
          </w:p>
        </w:tc>
        <w:tc>
          <w:tcPr>
            <w:tcW w:w="2320" w:type="dxa"/>
            <w:vAlign w:val="bottom"/>
            <w:gridSpan w:val="3"/>
            <w:vMerge w:val="continue"/>
            <w:shd w:val="clear" w:color="auto" w:fill="003595"/>
          </w:tcPr>
          <w:p>
            <w:pPr>
              <w:spacing w:after="0"/>
              <w:rPr>
                <w:sz w:val="8"/>
                <w:szCs w:val="8"/>
                <w:color w:val="auto"/>
              </w:rPr>
            </w:pPr>
          </w:p>
        </w:tc>
        <w:tc>
          <w:tcPr>
            <w:tcW w:w="800" w:type="dxa"/>
            <w:vAlign w:val="bottom"/>
            <w:vMerge w:val="restart"/>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7"/>
              </w:rPr>
              <w:t>Stock</w:t>
            </w:r>
          </w:p>
        </w:tc>
        <w:tc>
          <w:tcPr>
            <w:tcW w:w="104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7"/>
              </w:rPr>
              <w:t>Grant Date</w:t>
            </w:r>
          </w:p>
        </w:tc>
        <w:tc>
          <w:tcPr>
            <w:tcW w:w="0" w:type="dxa"/>
            <w:vAlign w:val="bottom"/>
          </w:tcPr>
          <w:p>
            <w:pPr>
              <w:spacing w:after="0"/>
              <w:rPr>
                <w:sz w:val="1"/>
                <w:szCs w:val="1"/>
                <w:color w:val="auto"/>
              </w:rPr>
            </w:pPr>
          </w:p>
        </w:tc>
      </w:tr>
      <w:tr>
        <w:trPr>
          <w:trHeight w:val="40"/>
        </w:trPr>
        <w:tc>
          <w:tcPr>
            <w:tcW w:w="1820" w:type="dxa"/>
            <w:vAlign w:val="bottom"/>
            <w:shd w:val="clear" w:color="auto" w:fill="003595"/>
          </w:tcPr>
          <w:p>
            <w:pPr>
              <w:spacing w:after="0"/>
              <w:rPr>
                <w:sz w:val="3"/>
                <w:szCs w:val="3"/>
                <w:color w:val="auto"/>
              </w:rPr>
            </w:pPr>
          </w:p>
        </w:tc>
        <w:tc>
          <w:tcPr>
            <w:tcW w:w="2080" w:type="dxa"/>
            <w:vAlign w:val="bottom"/>
            <w:shd w:val="clear" w:color="auto" w:fill="003595"/>
          </w:tcPr>
          <w:p>
            <w:pPr>
              <w:spacing w:after="0"/>
              <w:rPr>
                <w:sz w:val="3"/>
                <w:szCs w:val="3"/>
                <w:color w:val="auto"/>
              </w:rPr>
            </w:pPr>
          </w:p>
        </w:tc>
        <w:tc>
          <w:tcPr>
            <w:tcW w:w="840" w:type="dxa"/>
            <w:vAlign w:val="bottom"/>
            <w:shd w:val="clear" w:color="auto" w:fill="003595"/>
          </w:tcPr>
          <w:p>
            <w:pPr>
              <w:spacing w:after="0"/>
              <w:rPr>
                <w:sz w:val="3"/>
                <w:szCs w:val="3"/>
                <w:color w:val="auto"/>
              </w:rPr>
            </w:pPr>
          </w:p>
        </w:tc>
        <w:tc>
          <w:tcPr>
            <w:tcW w:w="2340" w:type="dxa"/>
            <w:vAlign w:val="bottom"/>
            <w:gridSpan w:val="3"/>
            <w:vMerge w:val="restart"/>
            <w:shd w:val="clear" w:color="auto" w:fill="003595"/>
          </w:tcPr>
          <w:p>
            <w:pPr>
              <w:jc w:val="center"/>
              <w:spacing w:after="0" w:line="122" w:lineRule="exact"/>
              <w:rPr>
                <w:sz w:val="20"/>
                <w:szCs w:val="20"/>
                <w:color w:val="auto"/>
              </w:rPr>
            </w:pPr>
            <w:r>
              <w:rPr>
                <w:rFonts w:ascii="Arial" w:cs="Arial" w:eastAsia="Arial" w:hAnsi="Arial"/>
                <w:sz w:val="12"/>
                <w:szCs w:val="12"/>
                <w:b w:val="1"/>
                <w:bCs w:val="1"/>
                <w:color w:val="FFFFFF"/>
                <w:w w:val="97"/>
              </w:rPr>
              <w:t>Estimated Future Payouts Under</w:t>
            </w:r>
          </w:p>
        </w:tc>
        <w:tc>
          <w:tcPr>
            <w:tcW w:w="2320" w:type="dxa"/>
            <w:vAlign w:val="bottom"/>
            <w:gridSpan w:val="3"/>
            <w:vMerge w:val="restart"/>
            <w:shd w:val="clear" w:color="auto" w:fill="003595"/>
          </w:tcPr>
          <w:p>
            <w:pPr>
              <w:jc w:val="center"/>
              <w:spacing w:after="0" w:line="122" w:lineRule="exact"/>
              <w:rPr>
                <w:sz w:val="20"/>
                <w:szCs w:val="20"/>
                <w:color w:val="auto"/>
              </w:rPr>
            </w:pPr>
            <w:r>
              <w:rPr>
                <w:rFonts w:ascii="Arial" w:cs="Arial" w:eastAsia="Arial" w:hAnsi="Arial"/>
                <w:sz w:val="12"/>
                <w:szCs w:val="12"/>
                <w:b w:val="1"/>
                <w:bCs w:val="1"/>
                <w:color w:val="FFFFFF"/>
                <w:w w:val="97"/>
              </w:rPr>
              <w:t>Payouts Under Equity</w:t>
            </w:r>
          </w:p>
        </w:tc>
        <w:tc>
          <w:tcPr>
            <w:tcW w:w="800" w:type="dxa"/>
            <w:vAlign w:val="bottom"/>
            <w:vMerge w:val="continue"/>
            <w:shd w:val="clear" w:color="auto" w:fill="003595"/>
          </w:tcPr>
          <w:p>
            <w:pPr>
              <w:spacing w:after="0"/>
              <w:rPr>
                <w:sz w:val="3"/>
                <w:szCs w:val="3"/>
                <w:color w:val="auto"/>
              </w:rPr>
            </w:pPr>
          </w:p>
        </w:tc>
        <w:tc>
          <w:tcPr>
            <w:tcW w:w="1040" w:type="dxa"/>
            <w:vAlign w:val="bottom"/>
            <w:vMerge w:val="continue"/>
            <w:shd w:val="clear" w:color="auto" w:fill="003595"/>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820" w:type="dxa"/>
            <w:vAlign w:val="bottom"/>
            <w:shd w:val="clear" w:color="auto" w:fill="003595"/>
          </w:tcPr>
          <w:p>
            <w:pPr>
              <w:spacing w:after="0"/>
              <w:rPr>
                <w:sz w:val="7"/>
                <w:szCs w:val="7"/>
                <w:color w:val="auto"/>
              </w:rPr>
            </w:pPr>
          </w:p>
        </w:tc>
        <w:tc>
          <w:tcPr>
            <w:tcW w:w="2080" w:type="dxa"/>
            <w:vAlign w:val="bottom"/>
            <w:shd w:val="clear" w:color="auto" w:fill="003595"/>
          </w:tcPr>
          <w:p>
            <w:pPr>
              <w:spacing w:after="0"/>
              <w:rPr>
                <w:sz w:val="7"/>
                <w:szCs w:val="7"/>
                <w:color w:val="auto"/>
              </w:rPr>
            </w:pPr>
          </w:p>
        </w:tc>
        <w:tc>
          <w:tcPr>
            <w:tcW w:w="840" w:type="dxa"/>
            <w:vAlign w:val="bottom"/>
            <w:shd w:val="clear" w:color="auto" w:fill="003595"/>
          </w:tcPr>
          <w:p>
            <w:pPr>
              <w:spacing w:after="0"/>
              <w:rPr>
                <w:sz w:val="7"/>
                <w:szCs w:val="7"/>
                <w:color w:val="auto"/>
              </w:rPr>
            </w:pPr>
          </w:p>
        </w:tc>
        <w:tc>
          <w:tcPr>
            <w:tcW w:w="2340" w:type="dxa"/>
            <w:vAlign w:val="bottom"/>
            <w:gridSpan w:val="3"/>
            <w:vMerge w:val="continue"/>
            <w:shd w:val="clear" w:color="auto" w:fill="003595"/>
          </w:tcPr>
          <w:p>
            <w:pPr>
              <w:spacing w:after="0"/>
              <w:rPr>
                <w:sz w:val="7"/>
                <w:szCs w:val="7"/>
                <w:color w:val="auto"/>
              </w:rPr>
            </w:pPr>
          </w:p>
        </w:tc>
        <w:tc>
          <w:tcPr>
            <w:tcW w:w="2320" w:type="dxa"/>
            <w:vAlign w:val="bottom"/>
            <w:gridSpan w:val="3"/>
            <w:vMerge w:val="continue"/>
            <w:shd w:val="clear" w:color="auto" w:fill="003595"/>
          </w:tcPr>
          <w:p>
            <w:pPr>
              <w:spacing w:after="0"/>
              <w:rPr>
                <w:sz w:val="7"/>
                <w:szCs w:val="7"/>
                <w:color w:val="auto"/>
              </w:rPr>
            </w:pPr>
          </w:p>
        </w:tc>
        <w:tc>
          <w:tcPr>
            <w:tcW w:w="80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7"/>
              </w:rPr>
              <w:t>Awards:</w:t>
            </w:r>
          </w:p>
        </w:tc>
        <w:tc>
          <w:tcPr>
            <w:tcW w:w="1040" w:type="dxa"/>
            <w:vAlign w:val="bottom"/>
            <w:vMerge w:val="continue"/>
            <w:shd w:val="clear" w:color="auto" w:fill="003595"/>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820" w:type="dxa"/>
            <w:vAlign w:val="bottom"/>
            <w:shd w:val="clear" w:color="auto" w:fill="003595"/>
          </w:tcPr>
          <w:p>
            <w:pPr>
              <w:spacing w:after="0"/>
              <w:rPr>
                <w:sz w:val="5"/>
                <w:szCs w:val="5"/>
                <w:color w:val="auto"/>
              </w:rPr>
            </w:pPr>
          </w:p>
        </w:tc>
        <w:tc>
          <w:tcPr>
            <w:tcW w:w="2080" w:type="dxa"/>
            <w:vAlign w:val="bottom"/>
            <w:shd w:val="clear" w:color="auto" w:fill="003595"/>
          </w:tcPr>
          <w:p>
            <w:pPr>
              <w:spacing w:after="0"/>
              <w:rPr>
                <w:sz w:val="5"/>
                <w:szCs w:val="5"/>
                <w:color w:val="auto"/>
              </w:rPr>
            </w:pPr>
          </w:p>
        </w:tc>
        <w:tc>
          <w:tcPr>
            <w:tcW w:w="840" w:type="dxa"/>
            <w:vAlign w:val="bottom"/>
            <w:shd w:val="clear" w:color="auto" w:fill="003595"/>
          </w:tcPr>
          <w:p>
            <w:pPr>
              <w:spacing w:after="0"/>
              <w:rPr>
                <w:sz w:val="5"/>
                <w:szCs w:val="5"/>
                <w:color w:val="auto"/>
              </w:rPr>
            </w:pPr>
          </w:p>
        </w:tc>
        <w:tc>
          <w:tcPr>
            <w:tcW w:w="2340" w:type="dxa"/>
            <w:vAlign w:val="bottom"/>
            <w:gridSpan w:val="3"/>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6"/>
              </w:rPr>
              <w:t>Non-Equity Incentive Plan Awards (1)</w:t>
            </w:r>
          </w:p>
        </w:tc>
        <w:tc>
          <w:tcPr>
            <w:tcW w:w="740" w:type="dxa"/>
            <w:vAlign w:val="bottom"/>
            <w:shd w:val="clear" w:color="auto" w:fill="003595"/>
          </w:tcPr>
          <w:p>
            <w:pPr>
              <w:spacing w:after="0"/>
              <w:rPr>
                <w:sz w:val="5"/>
                <w:szCs w:val="5"/>
                <w:color w:val="auto"/>
              </w:rPr>
            </w:pPr>
          </w:p>
        </w:tc>
        <w:tc>
          <w:tcPr>
            <w:tcW w:w="84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6"/>
              </w:rPr>
              <w:t>Incentive Plan</w:t>
            </w:r>
          </w:p>
        </w:tc>
        <w:tc>
          <w:tcPr>
            <w:tcW w:w="740" w:type="dxa"/>
            <w:vAlign w:val="bottom"/>
            <w:shd w:val="clear" w:color="auto" w:fill="003595"/>
          </w:tcPr>
          <w:p>
            <w:pPr>
              <w:spacing w:after="0"/>
              <w:rPr>
                <w:sz w:val="5"/>
                <w:szCs w:val="5"/>
                <w:color w:val="auto"/>
              </w:rPr>
            </w:pPr>
          </w:p>
        </w:tc>
        <w:tc>
          <w:tcPr>
            <w:tcW w:w="800" w:type="dxa"/>
            <w:vAlign w:val="bottom"/>
            <w:vMerge w:val="continue"/>
            <w:shd w:val="clear" w:color="auto" w:fill="003595"/>
          </w:tcPr>
          <w:p>
            <w:pPr>
              <w:spacing w:after="0"/>
              <w:rPr>
                <w:sz w:val="5"/>
                <w:szCs w:val="5"/>
                <w:color w:val="auto"/>
              </w:rPr>
            </w:pPr>
          </w:p>
        </w:tc>
        <w:tc>
          <w:tcPr>
            <w:tcW w:w="104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7"/>
              </w:rPr>
              <w:t>Fair Value</w:t>
            </w:r>
          </w:p>
        </w:tc>
        <w:tc>
          <w:tcPr>
            <w:tcW w:w="0" w:type="dxa"/>
            <w:vAlign w:val="bottom"/>
          </w:tcPr>
          <w:p>
            <w:pPr>
              <w:spacing w:after="0"/>
              <w:rPr>
                <w:sz w:val="1"/>
                <w:szCs w:val="1"/>
                <w:color w:val="auto"/>
              </w:rPr>
            </w:pPr>
          </w:p>
        </w:tc>
      </w:tr>
      <w:tr>
        <w:trPr>
          <w:trHeight w:val="77"/>
        </w:trPr>
        <w:tc>
          <w:tcPr>
            <w:tcW w:w="1820" w:type="dxa"/>
            <w:vAlign w:val="bottom"/>
            <w:shd w:val="clear" w:color="auto" w:fill="003595"/>
          </w:tcPr>
          <w:p>
            <w:pPr>
              <w:spacing w:after="0"/>
              <w:rPr>
                <w:sz w:val="6"/>
                <w:szCs w:val="6"/>
                <w:color w:val="auto"/>
              </w:rPr>
            </w:pPr>
          </w:p>
        </w:tc>
        <w:tc>
          <w:tcPr>
            <w:tcW w:w="2080" w:type="dxa"/>
            <w:vAlign w:val="bottom"/>
            <w:shd w:val="clear" w:color="auto" w:fill="003595"/>
          </w:tcPr>
          <w:p>
            <w:pPr>
              <w:spacing w:after="0"/>
              <w:rPr>
                <w:sz w:val="6"/>
                <w:szCs w:val="6"/>
                <w:color w:val="auto"/>
              </w:rPr>
            </w:pPr>
          </w:p>
        </w:tc>
        <w:tc>
          <w:tcPr>
            <w:tcW w:w="840" w:type="dxa"/>
            <w:vAlign w:val="bottom"/>
            <w:shd w:val="clear" w:color="auto" w:fill="003595"/>
          </w:tcPr>
          <w:p>
            <w:pPr>
              <w:spacing w:after="0"/>
              <w:rPr>
                <w:sz w:val="6"/>
                <w:szCs w:val="6"/>
                <w:color w:val="auto"/>
              </w:rPr>
            </w:pPr>
          </w:p>
        </w:tc>
        <w:tc>
          <w:tcPr>
            <w:tcW w:w="2340" w:type="dxa"/>
            <w:vAlign w:val="bottom"/>
            <w:gridSpan w:val="3"/>
            <w:vMerge w:val="continue"/>
            <w:shd w:val="clear" w:color="auto" w:fill="003595"/>
          </w:tcPr>
          <w:p>
            <w:pPr>
              <w:spacing w:after="0"/>
              <w:rPr>
                <w:sz w:val="6"/>
                <w:szCs w:val="6"/>
                <w:color w:val="auto"/>
              </w:rPr>
            </w:pPr>
          </w:p>
        </w:tc>
        <w:tc>
          <w:tcPr>
            <w:tcW w:w="740" w:type="dxa"/>
            <w:vAlign w:val="bottom"/>
            <w:shd w:val="clear" w:color="auto" w:fill="003595"/>
          </w:tcPr>
          <w:p>
            <w:pPr>
              <w:spacing w:after="0"/>
              <w:rPr>
                <w:sz w:val="6"/>
                <w:szCs w:val="6"/>
                <w:color w:val="auto"/>
              </w:rPr>
            </w:pPr>
          </w:p>
        </w:tc>
        <w:tc>
          <w:tcPr>
            <w:tcW w:w="840" w:type="dxa"/>
            <w:vAlign w:val="bottom"/>
            <w:vMerge w:val="continue"/>
            <w:shd w:val="clear" w:color="auto" w:fill="003595"/>
          </w:tcPr>
          <w:p>
            <w:pPr>
              <w:spacing w:after="0"/>
              <w:rPr>
                <w:sz w:val="6"/>
                <w:szCs w:val="6"/>
                <w:color w:val="auto"/>
              </w:rPr>
            </w:pPr>
          </w:p>
        </w:tc>
        <w:tc>
          <w:tcPr>
            <w:tcW w:w="740" w:type="dxa"/>
            <w:vAlign w:val="bottom"/>
            <w:shd w:val="clear" w:color="auto" w:fill="003595"/>
          </w:tcPr>
          <w:p>
            <w:pPr>
              <w:spacing w:after="0"/>
              <w:rPr>
                <w:sz w:val="6"/>
                <w:szCs w:val="6"/>
                <w:color w:val="auto"/>
              </w:rPr>
            </w:pPr>
          </w:p>
        </w:tc>
        <w:tc>
          <w:tcPr>
            <w:tcW w:w="800" w:type="dxa"/>
            <w:vAlign w:val="bottom"/>
            <w:vMerge w:val="restart"/>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040" w:type="dxa"/>
            <w:vAlign w:val="bottom"/>
            <w:vMerge w:val="continue"/>
            <w:shd w:val="clear" w:color="auto" w:fill="003595"/>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820" w:type="dxa"/>
            <w:vAlign w:val="bottom"/>
            <w:shd w:val="clear" w:color="auto" w:fill="003595"/>
          </w:tcPr>
          <w:p>
            <w:pPr>
              <w:spacing w:after="0"/>
              <w:rPr>
                <w:sz w:val="5"/>
                <w:szCs w:val="5"/>
                <w:color w:val="auto"/>
              </w:rPr>
            </w:pPr>
          </w:p>
        </w:tc>
        <w:tc>
          <w:tcPr>
            <w:tcW w:w="2080" w:type="dxa"/>
            <w:vAlign w:val="bottom"/>
            <w:shd w:val="clear" w:color="auto" w:fill="003595"/>
          </w:tcPr>
          <w:p>
            <w:pPr>
              <w:spacing w:after="0"/>
              <w:rPr>
                <w:sz w:val="5"/>
                <w:szCs w:val="5"/>
                <w:color w:val="auto"/>
              </w:rPr>
            </w:pPr>
          </w:p>
        </w:tc>
        <w:tc>
          <w:tcPr>
            <w:tcW w:w="840" w:type="dxa"/>
            <w:vAlign w:val="bottom"/>
            <w:shd w:val="clear" w:color="auto" w:fill="003595"/>
          </w:tcPr>
          <w:p>
            <w:pPr>
              <w:spacing w:after="0"/>
              <w:rPr>
                <w:sz w:val="5"/>
                <w:szCs w:val="5"/>
                <w:color w:val="auto"/>
              </w:rPr>
            </w:pPr>
          </w:p>
        </w:tc>
        <w:tc>
          <w:tcPr>
            <w:tcW w:w="820" w:type="dxa"/>
            <w:vAlign w:val="bottom"/>
            <w:shd w:val="clear" w:color="auto" w:fill="003595"/>
          </w:tcPr>
          <w:p>
            <w:pPr>
              <w:spacing w:after="0"/>
              <w:rPr>
                <w:sz w:val="5"/>
                <w:szCs w:val="5"/>
                <w:color w:val="auto"/>
              </w:rPr>
            </w:pPr>
          </w:p>
        </w:tc>
        <w:tc>
          <w:tcPr>
            <w:tcW w:w="660" w:type="dxa"/>
            <w:vAlign w:val="bottom"/>
            <w:shd w:val="clear" w:color="auto" w:fill="003595"/>
          </w:tcPr>
          <w:p>
            <w:pPr>
              <w:spacing w:after="0"/>
              <w:rPr>
                <w:sz w:val="5"/>
                <w:szCs w:val="5"/>
                <w:color w:val="auto"/>
              </w:rPr>
            </w:pPr>
          </w:p>
        </w:tc>
        <w:tc>
          <w:tcPr>
            <w:tcW w:w="860" w:type="dxa"/>
            <w:vAlign w:val="bottom"/>
            <w:shd w:val="clear" w:color="auto" w:fill="003595"/>
          </w:tcPr>
          <w:p>
            <w:pPr>
              <w:spacing w:after="0"/>
              <w:rPr>
                <w:sz w:val="5"/>
                <w:szCs w:val="5"/>
                <w:color w:val="auto"/>
              </w:rPr>
            </w:pPr>
          </w:p>
        </w:tc>
        <w:tc>
          <w:tcPr>
            <w:tcW w:w="740" w:type="dxa"/>
            <w:vAlign w:val="bottom"/>
            <w:shd w:val="clear" w:color="auto" w:fill="003595"/>
          </w:tcPr>
          <w:p>
            <w:pPr>
              <w:spacing w:after="0"/>
              <w:rPr>
                <w:sz w:val="5"/>
                <w:szCs w:val="5"/>
                <w:color w:val="auto"/>
              </w:rPr>
            </w:pPr>
          </w:p>
        </w:tc>
        <w:tc>
          <w:tcPr>
            <w:tcW w:w="84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7"/>
              </w:rPr>
              <w:t>Awards (2)</w:t>
            </w:r>
          </w:p>
        </w:tc>
        <w:tc>
          <w:tcPr>
            <w:tcW w:w="740" w:type="dxa"/>
            <w:vAlign w:val="bottom"/>
            <w:shd w:val="clear" w:color="auto" w:fill="003595"/>
          </w:tcPr>
          <w:p>
            <w:pPr>
              <w:spacing w:after="0"/>
              <w:rPr>
                <w:sz w:val="5"/>
                <w:szCs w:val="5"/>
                <w:color w:val="auto"/>
              </w:rPr>
            </w:pPr>
          </w:p>
        </w:tc>
        <w:tc>
          <w:tcPr>
            <w:tcW w:w="800" w:type="dxa"/>
            <w:vAlign w:val="bottom"/>
            <w:vMerge w:val="continue"/>
            <w:shd w:val="clear" w:color="auto" w:fill="003595"/>
          </w:tcPr>
          <w:p>
            <w:pPr>
              <w:spacing w:after="0"/>
              <w:rPr>
                <w:sz w:val="5"/>
                <w:szCs w:val="5"/>
                <w:color w:val="auto"/>
              </w:rPr>
            </w:pPr>
          </w:p>
        </w:tc>
        <w:tc>
          <w:tcPr>
            <w:tcW w:w="104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rPr>
              <w:t>of Stock</w:t>
            </w:r>
          </w:p>
        </w:tc>
        <w:tc>
          <w:tcPr>
            <w:tcW w:w="0" w:type="dxa"/>
            <w:vAlign w:val="bottom"/>
          </w:tcPr>
          <w:p>
            <w:pPr>
              <w:spacing w:after="0"/>
              <w:rPr>
                <w:sz w:val="1"/>
                <w:szCs w:val="1"/>
                <w:color w:val="auto"/>
              </w:rPr>
            </w:pPr>
          </w:p>
        </w:tc>
      </w:tr>
      <w:tr>
        <w:trPr>
          <w:trHeight w:val="81"/>
        </w:trPr>
        <w:tc>
          <w:tcPr>
            <w:tcW w:w="1820" w:type="dxa"/>
            <w:vAlign w:val="bottom"/>
            <w:shd w:val="clear" w:color="auto" w:fill="003595"/>
          </w:tcPr>
          <w:p>
            <w:pPr>
              <w:spacing w:after="0"/>
              <w:rPr>
                <w:sz w:val="7"/>
                <w:szCs w:val="7"/>
                <w:color w:val="auto"/>
              </w:rPr>
            </w:pPr>
          </w:p>
        </w:tc>
        <w:tc>
          <w:tcPr>
            <w:tcW w:w="2080" w:type="dxa"/>
            <w:vAlign w:val="bottom"/>
            <w:shd w:val="clear" w:color="auto" w:fill="003595"/>
          </w:tcPr>
          <w:p>
            <w:pPr>
              <w:spacing w:after="0"/>
              <w:rPr>
                <w:sz w:val="7"/>
                <w:szCs w:val="7"/>
                <w:color w:val="auto"/>
              </w:rPr>
            </w:pPr>
          </w:p>
        </w:tc>
        <w:tc>
          <w:tcPr>
            <w:tcW w:w="840" w:type="dxa"/>
            <w:vAlign w:val="bottom"/>
            <w:shd w:val="clear" w:color="auto" w:fill="003595"/>
          </w:tcPr>
          <w:p>
            <w:pPr>
              <w:spacing w:after="0"/>
              <w:rPr>
                <w:sz w:val="7"/>
                <w:szCs w:val="7"/>
                <w:color w:val="auto"/>
              </w:rPr>
            </w:pPr>
          </w:p>
        </w:tc>
        <w:tc>
          <w:tcPr>
            <w:tcW w:w="820" w:type="dxa"/>
            <w:vAlign w:val="bottom"/>
            <w:shd w:val="clear" w:color="auto" w:fill="003595"/>
          </w:tcPr>
          <w:p>
            <w:pPr>
              <w:spacing w:after="0"/>
              <w:rPr>
                <w:sz w:val="7"/>
                <w:szCs w:val="7"/>
                <w:color w:val="auto"/>
              </w:rPr>
            </w:pPr>
          </w:p>
        </w:tc>
        <w:tc>
          <w:tcPr>
            <w:tcW w:w="660" w:type="dxa"/>
            <w:vAlign w:val="bottom"/>
            <w:shd w:val="clear" w:color="auto" w:fill="003595"/>
          </w:tcPr>
          <w:p>
            <w:pPr>
              <w:spacing w:after="0"/>
              <w:rPr>
                <w:sz w:val="7"/>
                <w:szCs w:val="7"/>
                <w:color w:val="auto"/>
              </w:rPr>
            </w:pPr>
          </w:p>
        </w:tc>
        <w:tc>
          <w:tcPr>
            <w:tcW w:w="860" w:type="dxa"/>
            <w:vAlign w:val="bottom"/>
            <w:shd w:val="clear" w:color="auto" w:fill="003595"/>
          </w:tcPr>
          <w:p>
            <w:pPr>
              <w:spacing w:after="0"/>
              <w:rPr>
                <w:sz w:val="7"/>
                <w:szCs w:val="7"/>
                <w:color w:val="auto"/>
              </w:rPr>
            </w:pPr>
          </w:p>
        </w:tc>
        <w:tc>
          <w:tcPr>
            <w:tcW w:w="740" w:type="dxa"/>
            <w:vAlign w:val="bottom"/>
            <w:shd w:val="clear" w:color="auto" w:fill="003595"/>
          </w:tcPr>
          <w:p>
            <w:pPr>
              <w:spacing w:after="0"/>
              <w:rPr>
                <w:sz w:val="7"/>
                <w:szCs w:val="7"/>
                <w:color w:val="auto"/>
              </w:rPr>
            </w:pPr>
          </w:p>
        </w:tc>
        <w:tc>
          <w:tcPr>
            <w:tcW w:w="840" w:type="dxa"/>
            <w:vAlign w:val="bottom"/>
            <w:vMerge w:val="continue"/>
            <w:shd w:val="clear" w:color="auto" w:fill="003595"/>
          </w:tcPr>
          <w:p>
            <w:pPr>
              <w:spacing w:after="0"/>
              <w:rPr>
                <w:sz w:val="7"/>
                <w:szCs w:val="7"/>
                <w:color w:val="auto"/>
              </w:rPr>
            </w:pPr>
          </w:p>
        </w:tc>
        <w:tc>
          <w:tcPr>
            <w:tcW w:w="740" w:type="dxa"/>
            <w:vAlign w:val="bottom"/>
            <w:shd w:val="clear" w:color="auto" w:fill="003595"/>
          </w:tcPr>
          <w:p>
            <w:pPr>
              <w:spacing w:after="0"/>
              <w:rPr>
                <w:sz w:val="7"/>
                <w:szCs w:val="7"/>
                <w:color w:val="auto"/>
              </w:rPr>
            </w:pPr>
          </w:p>
        </w:tc>
        <w:tc>
          <w:tcPr>
            <w:tcW w:w="800" w:type="dxa"/>
            <w:vAlign w:val="bottom"/>
            <w:vMerge w:val="restart"/>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5"/>
              </w:rPr>
              <w:t>Shares of</w:t>
            </w:r>
          </w:p>
        </w:tc>
        <w:tc>
          <w:tcPr>
            <w:tcW w:w="1040" w:type="dxa"/>
            <w:vAlign w:val="bottom"/>
            <w:vMerge w:val="continue"/>
            <w:shd w:val="clear" w:color="auto" w:fill="003595"/>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820" w:type="dxa"/>
            <w:vAlign w:val="bottom"/>
            <w:shd w:val="clear" w:color="auto" w:fill="003595"/>
          </w:tcPr>
          <w:p>
            <w:pPr>
              <w:spacing w:after="0"/>
              <w:rPr>
                <w:sz w:val="4"/>
                <w:szCs w:val="4"/>
                <w:color w:val="auto"/>
              </w:rPr>
            </w:pPr>
          </w:p>
        </w:tc>
        <w:tc>
          <w:tcPr>
            <w:tcW w:w="2080" w:type="dxa"/>
            <w:vAlign w:val="bottom"/>
            <w:shd w:val="clear" w:color="auto" w:fill="003595"/>
          </w:tcPr>
          <w:p>
            <w:pPr>
              <w:spacing w:after="0"/>
              <w:rPr>
                <w:sz w:val="4"/>
                <w:szCs w:val="4"/>
                <w:color w:val="auto"/>
              </w:rPr>
            </w:pPr>
          </w:p>
        </w:tc>
        <w:tc>
          <w:tcPr>
            <w:tcW w:w="840" w:type="dxa"/>
            <w:vAlign w:val="bottom"/>
            <w:shd w:val="clear" w:color="auto" w:fill="003595"/>
          </w:tcPr>
          <w:p>
            <w:pPr>
              <w:spacing w:after="0"/>
              <w:rPr>
                <w:sz w:val="4"/>
                <w:szCs w:val="4"/>
                <w:color w:val="auto"/>
              </w:rPr>
            </w:pPr>
          </w:p>
        </w:tc>
        <w:tc>
          <w:tcPr>
            <w:tcW w:w="820" w:type="dxa"/>
            <w:vAlign w:val="bottom"/>
            <w:shd w:val="clear" w:color="auto" w:fill="003595"/>
          </w:tcPr>
          <w:p>
            <w:pPr>
              <w:spacing w:after="0"/>
              <w:rPr>
                <w:sz w:val="4"/>
                <w:szCs w:val="4"/>
                <w:color w:val="auto"/>
              </w:rPr>
            </w:pPr>
          </w:p>
        </w:tc>
        <w:tc>
          <w:tcPr>
            <w:tcW w:w="660" w:type="dxa"/>
            <w:vAlign w:val="bottom"/>
            <w:shd w:val="clear" w:color="auto" w:fill="003595"/>
          </w:tcPr>
          <w:p>
            <w:pPr>
              <w:spacing w:after="0"/>
              <w:rPr>
                <w:sz w:val="4"/>
                <w:szCs w:val="4"/>
                <w:color w:val="auto"/>
              </w:rPr>
            </w:pPr>
          </w:p>
        </w:tc>
        <w:tc>
          <w:tcPr>
            <w:tcW w:w="860" w:type="dxa"/>
            <w:vAlign w:val="bottom"/>
            <w:shd w:val="clear" w:color="auto" w:fill="003595"/>
          </w:tcPr>
          <w:p>
            <w:pPr>
              <w:spacing w:after="0"/>
              <w:rPr>
                <w:sz w:val="4"/>
                <w:szCs w:val="4"/>
                <w:color w:val="auto"/>
              </w:rPr>
            </w:pPr>
          </w:p>
        </w:tc>
        <w:tc>
          <w:tcPr>
            <w:tcW w:w="740" w:type="dxa"/>
            <w:vAlign w:val="bottom"/>
            <w:shd w:val="clear" w:color="auto" w:fill="003595"/>
          </w:tcPr>
          <w:p>
            <w:pPr>
              <w:spacing w:after="0"/>
              <w:rPr>
                <w:sz w:val="4"/>
                <w:szCs w:val="4"/>
                <w:color w:val="auto"/>
              </w:rPr>
            </w:pPr>
          </w:p>
        </w:tc>
        <w:tc>
          <w:tcPr>
            <w:tcW w:w="840" w:type="dxa"/>
            <w:vAlign w:val="bottom"/>
            <w:shd w:val="clear" w:color="auto" w:fill="003595"/>
          </w:tcPr>
          <w:p>
            <w:pPr>
              <w:spacing w:after="0"/>
              <w:rPr>
                <w:sz w:val="4"/>
                <w:szCs w:val="4"/>
                <w:color w:val="auto"/>
              </w:rPr>
            </w:pPr>
          </w:p>
        </w:tc>
        <w:tc>
          <w:tcPr>
            <w:tcW w:w="740" w:type="dxa"/>
            <w:vAlign w:val="bottom"/>
            <w:shd w:val="clear" w:color="auto" w:fill="003595"/>
          </w:tcPr>
          <w:p>
            <w:pPr>
              <w:spacing w:after="0"/>
              <w:rPr>
                <w:sz w:val="4"/>
                <w:szCs w:val="4"/>
                <w:color w:val="auto"/>
              </w:rPr>
            </w:pPr>
          </w:p>
        </w:tc>
        <w:tc>
          <w:tcPr>
            <w:tcW w:w="800" w:type="dxa"/>
            <w:vAlign w:val="bottom"/>
            <w:vMerge w:val="continue"/>
            <w:shd w:val="clear" w:color="auto" w:fill="003595"/>
          </w:tcPr>
          <w:p>
            <w:pPr>
              <w:spacing w:after="0"/>
              <w:rPr>
                <w:sz w:val="4"/>
                <w:szCs w:val="4"/>
                <w:color w:val="auto"/>
              </w:rPr>
            </w:pPr>
          </w:p>
        </w:tc>
        <w:tc>
          <w:tcPr>
            <w:tcW w:w="1040" w:type="dxa"/>
            <w:vAlign w:val="bottom"/>
            <w:vMerge w:val="restart"/>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4"/>
              </w:rPr>
              <w:t>and Option</w:t>
            </w:r>
          </w:p>
        </w:tc>
        <w:tc>
          <w:tcPr>
            <w:tcW w:w="0" w:type="dxa"/>
            <w:vAlign w:val="bottom"/>
          </w:tcPr>
          <w:p>
            <w:pPr>
              <w:spacing w:after="0"/>
              <w:rPr>
                <w:sz w:val="1"/>
                <w:szCs w:val="1"/>
                <w:color w:val="auto"/>
              </w:rPr>
            </w:pPr>
          </w:p>
        </w:tc>
      </w:tr>
      <w:tr>
        <w:trPr>
          <w:trHeight w:val="81"/>
        </w:trPr>
        <w:tc>
          <w:tcPr>
            <w:tcW w:w="1820" w:type="dxa"/>
            <w:vAlign w:val="bottom"/>
            <w:shd w:val="clear" w:color="auto" w:fill="003595"/>
          </w:tcPr>
          <w:p>
            <w:pPr>
              <w:spacing w:after="0"/>
              <w:rPr>
                <w:sz w:val="7"/>
                <w:szCs w:val="7"/>
                <w:color w:val="auto"/>
              </w:rPr>
            </w:pPr>
          </w:p>
        </w:tc>
        <w:tc>
          <w:tcPr>
            <w:tcW w:w="2080" w:type="dxa"/>
            <w:vAlign w:val="bottom"/>
            <w:shd w:val="clear" w:color="auto" w:fill="003595"/>
          </w:tcPr>
          <w:p>
            <w:pPr>
              <w:spacing w:after="0"/>
              <w:rPr>
                <w:sz w:val="7"/>
                <w:szCs w:val="7"/>
                <w:color w:val="auto"/>
              </w:rPr>
            </w:pPr>
          </w:p>
        </w:tc>
        <w:tc>
          <w:tcPr>
            <w:tcW w:w="840" w:type="dxa"/>
            <w:vAlign w:val="bottom"/>
            <w:shd w:val="clear" w:color="auto" w:fill="003595"/>
          </w:tcPr>
          <w:p>
            <w:pPr>
              <w:spacing w:after="0"/>
              <w:rPr>
                <w:sz w:val="7"/>
                <w:szCs w:val="7"/>
                <w:color w:val="auto"/>
              </w:rPr>
            </w:pPr>
          </w:p>
        </w:tc>
        <w:tc>
          <w:tcPr>
            <w:tcW w:w="820" w:type="dxa"/>
            <w:vAlign w:val="bottom"/>
            <w:shd w:val="clear" w:color="auto" w:fill="003595"/>
          </w:tcPr>
          <w:p>
            <w:pPr>
              <w:spacing w:after="0"/>
              <w:rPr>
                <w:sz w:val="7"/>
                <w:szCs w:val="7"/>
                <w:color w:val="auto"/>
              </w:rPr>
            </w:pPr>
          </w:p>
        </w:tc>
        <w:tc>
          <w:tcPr>
            <w:tcW w:w="660" w:type="dxa"/>
            <w:vAlign w:val="bottom"/>
            <w:shd w:val="clear" w:color="auto" w:fill="003595"/>
          </w:tcPr>
          <w:p>
            <w:pPr>
              <w:spacing w:after="0"/>
              <w:rPr>
                <w:sz w:val="7"/>
                <w:szCs w:val="7"/>
                <w:color w:val="auto"/>
              </w:rPr>
            </w:pPr>
          </w:p>
        </w:tc>
        <w:tc>
          <w:tcPr>
            <w:tcW w:w="860" w:type="dxa"/>
            <w:vAlign w:val="bottom"/>
            <w:shd w:val="clear" w:color="auto" w:fill="003595"/>
          </w:tcPr>
          <w:p>
            <w:pPr>
              <w:spacing w:after="0"/>
              <w:rPr>
                <w:sz w:val="7"/>
                <w:szCs w:val="7"/>
                <w:color w:val="auto"/>
              </w:rPr>
            </w:pPr>
          </w:p>
        </w:tc>
        <w:tc>
          <w:tcPr>
            <w:tcW w:w="740" w:type="dxa"/>
            <w:vAlign w:val="bottom"/>
            <w:shd w:val="clear" w:color="auto" w:fill="003595"/>
          </w:tcPr>
          <w:p>
            <w:pPr>
              <w:spacing w:after="0"/>
              <w:rPr>
                <w:sz w:val="7"/>
                <w:szCs w:val="7"/>
                <w:color w:val="auto"/>
              </w:rPr>
            </w:pPr>
          </w:p>
        </w:tc>
        <w:tc>
          <w:tcPr>
            <w:tcW w:w="840" w:type="dxa"/>
            <w:vAlign w:val="bottom"/>
            <w:shd w:val="clear" w:color="auto" w:fill="003595"/>
          </w:tcPr>
          <w:p>
            <w:pPr>
              <w:spacing w:after="0"/>
              <w:rPr>
                <w:sz w:val="7"/>
                <w:szCs w:val="7"/>
                <w:color w:val="auto"/>
              </w:rPr>
            </w:pPr>
          </w:p>
        </w:tc>
        <w:tc>
          <w:tcPr>
            <w:tcW w:w="740" w:type="dxa"/>
            <w:vAlign w:val="bottom"/>
            <w:shd w:val="clear" w:color="auto" w:fill="003595"/>
          </w:tcPr>
          <w:p>
            <w:pPr>
              <w:spacing w:after="0"/>
              <w:rPr>
                <w:sz w:val="7"/>
                <w:szCs w:val="7"/>
                <w:color w:val="auto"/>
              </w:rPr>
            </w:pPr>
          </w:p>
        </w:tc>
        <w:tc>
          <w:tcPr>
            <w:tcW w:w="80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9"/>
              </w:rPr>
              <w:t>Stock or</w:t>
            </w:r>
          </w:p>
        </w:tc>
        <w:tc>
          <w:tcPr>
            <w:tcW w:w="1040" w:type="dxa"/>
            <w:vAlign w:val="bottom"/>
            <w:vMerge w:val="continue"/>
            <w:shd w:val="clear" w:color="auto" w:fill="003595"/>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820" w:type="dxa"/>
            <w:vAlign w:val="bottom"/>
            <w:shd w:val="clear" w:color="auto" w:fill="003595"/>
          </w:tcPr>
          <w:p>
            <w:pPr>
              <w:spacing w:after="0"/>
              <w:rPr>
                <w:sz w:val="5"/>
                <w:szCs w:val="5"/>
                <w:color w:val="auto"/>
              </w:rPr>
            </w:pPr>
          </w:p>
        </w:tc>
        <w:tc>
          <w:tcPr>
            <w:tcW w:w="2080" w:type="dxa"/>
            <w:vAlign w:val="bottom"/>
            <w:shd w:val="clear" w:color="auto" w:fill="003595"/>
          </w:tcPr>
          <w:p>
            <w:pPr>
              <w:spacing w:after="0"/>
              <w:rPr>
                <w:sz w:val="5"/>
                <w:szCs w:val="5"/>
                <w:color w:val="auto"/>
              </w:rPr>
            </w:pPr>
          </w:p>
        </w:tc>
        <w:tc>
          <w:tcPr>
            <w:tcW w:w="840" w:type="dxa"/>
            <w:vAlign w:val="bottom"/>
            <w:shd w:val="clear" w:color="auto" w:fill="003595"/>
          </w:tcPr>
          <w:p>
            <w:pPr>
              <w:spacing w:after="0"/>
              <w:rPr>
                <w:sz w:val="5"/>
                <w:szCs w:val="5"/>
                <w:color w:val="auto"/>
              </w:rPr>
            </w:pPr>
          </w:p>
        </w:tc>
        <w:tc>
          <w:tcPr>
            <w:tcW w:w="820" w:type="dxa"/>
            <w:vAlign w:val="bottom"/>
            <w:shd w:val="clear" w:color="auto" w:fill="003595"/>
          </w:tcPr>
          <w:p>
            <w:pPr>
              <w:spacing w:after="0"/>
              <w:rPr>
                <w:sz w:val="5"/>
                <w:szCs w:val="5"/>
                <w:color w:val="auto"/>
              </w:rPr>
            </w:pPr>
          </w:p>
        </w:tc>
        <w:tc>
          <w:tcPr>
            <w:tcW w:w="660" w:type="dxa"/>
            <w:vAlign w:val="bottom"/>
            <w:shd w:val="clear" w:color="auto" w:fill="003595"/>
          </w:tcPr>
          <w:p>
            <w:pPr>
              <w:spacing w:after="0"/>
              <w:rPr>
                <w:sz w:val="5"/>
                <w:szCs w:val="5"/>
                <w:color w:val="auto"/>
              </w:rPr>
            </w:pPr>
          </w:p>
        </w:tc>
        <w:tc>
          <w:tcPr>
            <w:tcW w:w="860" w:type="dxa"/>
            <w:vAlign w:val="bottom"/>
            <w:shd w:val="clear" w:color="auto" w:fill="003595"/>
          </w:tcPr>
          <w:p>
            <w:pPr>
              <w:spacing w:after="0"/>
              <w:rPr>
                <w:sz w:val="5"/>
                <w:szCs w:val="5"/>
                <w:color w:val="auto"/>
              </w:rPr>
            </w:pPr>
          </w:p>
        </w:tc>
        <w:tc>
          <w:tcPr>
            <w:tcW w:w="740" w:type="dxa"/>
            <w:vAlign w:val="bottom"/>
            <w:shd w:val="clear" w:color="auto" w:fill="003595"/>
          </w:tcPr>
          <w:p>
            <w:pPr>
              <w:spacing w:after="0"/>
              <w:rPr>
                <w:sz w:val="5"/>
                <w:szCs w:val="5"/>
                <w:color w:val="auto"/>
              </w:rPr>
            </w:pPr>
          </w:p>
        </w:tc>
        <w:tc>
          <w:tcPr>
            <w:tcW w:w="840" w:type="dxa"/>
            <w:vAlign w:val="bottom"/>
            <w:shd w:val="clear" w:color="auto" w:fill="003595"/>
          </w:tcPr>
          <w:p>
            <w:pPr>
              <w:spacing w:after="0"/>
              <w:rPr>
                <w:sz w:val="5"/>
                <w:szCs w:val="5"/>
                <w:color w:val="auto"/>
              </w:rPr>
            </w:pPr>
          </w:p>
        </w:tc>
        <w:tc>
          <w:tcPr>
            <w:tcW w:w="740" w:type="dxa"/>
            <w:vAlign w:val="bottom"/>
            <w:shd w:val="clear" w:color="auto" w:fill="003595"/>
          </w:tcPr>
          <w:p>
            <w:pPr>
              <w:spacing w:after="0"/>
              <w:rPr>
                <w:sz w:val="5"/>
                <w:szCs w:val="5"/>
                <w:color w:val="auto"/>
              </w:rPr>
            </w:pPr>
          </w:p>
        </w:tc>
        <w:tc>
          <w:tcPr>
            <w:tcW w:w="800" w:type="dxa"/>
            <w:vAlign w:val="bottom"/>
            <w:vMerge w:val="continue"/>
            <w:shd w:val="clear" w:color="auto" w:fill="003595"/>
          </w:tcPr>
          <w:p>
            <w:pPr>
              <w:spacing w:after="0"/>
              <w:rPr>
                <w:sz w:val="5"/>
                <w:szCs w:val="5"/>
                <w:color w:val="auto"/>
              </w:rPr>
            </w:pPr>
          </w:p>
        </w:tc>
        <w:tc>
          <w:tcPr>
            <w:tcW w:w="1040" w:type="dxa"/>
            <w:vAlign w:val="bottom"/>
            <w:vMerge w:val="restart"/>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6"/>
              </w:rPr>
              <w:t>Awards</w:t>
            </w:r>
          </w:p>
        </w:tc>
        <w:tc>
          <w:tcPr>
            <w:tcW w:w="0" w:type="dxa"/>
            <w:vAlign w:val="bottom"/>
          </w:tcPr>
          <w:p>
            <w:pPr>
              <w:spacing w:after="0"/>
              <w:rPr>
                <w:sz w:val="1"/>
                <w:szCs w:val="1"/>
                <w:color w:val="auto"/>
              </w:rPr>
            </w:pPr>
          </w:p>
        </w:tc>
      </w:tr>
      <w:tr>
        <w:trPr>
          <w:trHeight w:val="68"/>
        </w:trPr>
        <w:tc>
          <w:tcPr>
            <w:tcW w:w="1820" w:type="dxa"/>
            <w:vAlign w:val="bottom"/>
            <w:shd w:val="clear" w:color="auto" w:fill="003595"/>
          </w:tcPr>
          <w:p>
            <w:pPr>
              <w:spacing w:after="0"/>
              <w:rPr>
                <w:sz w:val="5"/>
                <w:szCs w:val="5"/>
                <w:color w:val="auto"/>
              </w:rPr>
            </w:pPr>
          </w:p>
        </w:tc>
        <w:tc>
          <w:tcPr>
            <w:tcW w:w="2080" w:type="dxa"/>
            <w:vAlign w:val="bottom"/>
            <w:shd w:val="clear" w:color="auto" w:fill="003595"/>
          </w:tcPr>
          <w:p>
            <w:pPr>
              <w:spacing w:after="0"/>
              <w:rPr>
                <w:sz w:val="5"/>
                <w:szCs w:val="5"/>
                <w:color w:val="auto"/>
              </w:rPr>
            </w:pPr>
          </w:p>
        </w:tc>
        <w:tc>
          <w:tcPr>
            <w:tcW w:w="840" w:type="dxa"/>
            <w:vAlign w:val="bottom"/>
            <w:shd w:val="clear" w:color="auto" w:fill="003595"/>
          </w:tcPr>
          <w:p>
            <w:pPr>
              <w:spacing w:after="0"/>
              <w:rPr>
                <w:sz w:val="5"/>
                <w:szCs w:val="5"/>
                <w:color w:val="auto"/>
              </w:rPr>
            </w:pPr>
          </w:p>
        </w:tc>
        <w:tc>
          <w:tcPr>
            <w:tcW w:w="820" w:type="dxa"/>
            <w:vAlign w:val="bottom"/>
            <w:vMerge w:val="restart"/>
            <w:shd w:val="clear" w:color="auto" w:fill="003595"/>
          </w:tcPr>
          <w:p>
            <w:pPr>
              <w:ind w:left="120"/>
              <w:spacing w:after="0"/>
              <w:rPr>
                <w:sz w:val="20"/>
                <w:szCs w:val="20"/>
                <w:color w:val="auto"/>
              </w:rPr>
            </w:pPr>
            <w:r>
              <w:rPr>
                <w:rFonts w:ascii="Arial" w:cs="Arial" w:eastAsia="Arial" w:hAnsi="Arial"/>
                <w:sz w:val="12"/>
                <w:szCs w:val="12"/>
                <w:b w:val="1"/>
                <w:bCs w:val="1"/>
                <w:color w:val="FFFFFF"/>
              </w:rPr>
              <w:t>Threshold</w:t>
            </w:r>
          </w:p>
        </w:tc>
        <w:tc>
          <w:tcPr>
            <w:tcW w:w="66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8"/>
              </w:rPr>
              <w:t>Target</w:t>
            </w:r>
          </w:p>
        </w:tc>
        <w:tc>
          <w:tcPr>
            <w:tcW w:w="860" w:type="dxa"/>
            <w:vAlign w:val="bottom"/>
            <w:shd w:val="clear" w:color="auto" w:fill="003595"/>
          </w:tcPr>
          <w:p>
            <w:pPr>
              <w:spacing w:after="0"/>
              <w:rPr>
                <w:sz w:val="5"/>
                <w:szCs w:val="5"/>
                <w:color w:val="auto"/>
              </w:rPr>
            </w:pPr>
          </w:p>
        </w:tc>
        <w:tc>
          <w:tcPr>
            <w:tcW w:w="74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6"/>
              </w:rPr>
              <w:t>Threshold</w:t>
            </w:r>
          </w:p>
        </w:tc>
        <w:tc>
          <w:tcPr>
            <w:tcW w:w="84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2"/>
              </w:rPr>
              <w:t>Target</w:t>
            </w:r>
          </w:p>
        </w:tc>
        <w:tc>
          <w:tcPr>
            <w:tcW w:w="74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7"/>
              </w:rPr>
              <w:t>Maximum (#</w:t>
            </w:r>
          </w:p>
        </w:tc>
        <w:tc>
          <w:tcPr>
            <w:tcW w:w="800" w:type="dxa"/>
            <w:vAlign w:val="bottom"/>
            <w:vMerge w:val="restart"/>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3"/>
              </w:rPr>
              <w:t>Units</w:t>
            </w:r>
          </w:p>
        </w:tc>
        <w:tc>
          <w:tcPr>
            <w:tcW w:w="1040" w:type="dxa"/>
            <w:vAlign w:val="bottom"/>
            <w:vMerge w:val="continue"/>
            <w:shd w:val="clear" w:color="auto" w:fill="003595"/>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820" w:type="dxa"/>
            <w:vAlign w:val="bottom"/>
            <w:vMerge w:val="restart"/>
            <w:shd w:val="clear" w:color="auto" w:fill="003595"/>
          </w:tcPr>
          <w:p>
            <w:pPr>
              <w:ind w:left="20"/>
              <w:spacing w:after="0"/>
              <w:rPr>
                <w:sz w:val="20"/>
                <w:szCs w:val="20"/>
                <w:color w:val="auto"/>
              </w:rPr>
            </w:pPr>
            <w:r>
              <w:rPr>
                <w:rFonts w:ascii="Arial" w:cs="Arial" w:eastAsia="Arial" w:hAnsi="Arial"/>
                <w:sz w:val="12"/>
                <w:szCs w:val="12"/>
                <w:b w:val="1"/>
                <w:bCs w:val="1"/>
                <w:color w:val="FFFFFF"/>
              </w:rPr>
              <w:t>Name</w:t>
            </w:r>
          </w:p>
        </w:tc>
        <w:tc>
          <w:tcPr>
            <w:tcW w:w="2080" w:type="dxa"/>
            <w:vAlign w:val="bottom"/>
            <w:shd w:val="clear" w:color="auto" w:fill="003595"/>
          </w:tcPr>
          <w:p>
            <w:pPr>
              <w:spacing w:after="0"/>
              <w:rPr>
                <w:sz w:val="5"/>
                <w:szCs w:val="5"/>
                <w:color w:val="auto"/>
              </w:rPr>
            </w:pPr>
          </w:p>
        </w:tc>
        <w:tc>
          <w:tcPr>
            <w:tcW w:w="840" w:type="dxa"/>
            <w:vAlign w:val="bottom"/>
            <w:shd w:val="clear" w:color="auto" w:fill="003595"/>
          </w:tcPr>
          <w:p>
            <w:pPr>
              <w:spacing w:after="0"/>
              <w:rPr>
                <w:sz w:val="5"/>
                <w:szCs w:val="5"/>
                <w:color w:val="auto"/>
              </w:rPr>
            </w:pPr>
          </w:p>
        </w:tc>
        <w:tc>
          <w:tcPr>
            <w:tcW w:w="820" w:type="dxa"/>
            <w:vAlign w:val="bottom"/>
            <w:vMerge w:val="continue"/>
            <w:shd w:val="clear" w:color="auto" w:fill="003595"/>
          </w:tcPr>
          <w:p>
            <w:pPr>
              <w:spacing w:after="0"/>
              <w:rPr>
                <w:sz w:val="5"/>
                <w:szCs w:val="5"/>
                <w:color w:val="auto"/>
              </w:rPr>
            </w:pPr>
          </w:p>
        </w:tc>
        <w:tc>
          <w:tcPr>
            <w:tcW w:w="660" w:type="dxa"/>
            <w:vAlign w:val="bottom"/>
            <w:vMerge w:val="continue"/>
            <w:shd w:val="clear" w:color="auto" w:fill="003595"/>
          </w:tcPr>
          <w:p>
            <w:pPr>
              <w:spacing w:after="0"/>
              <w:rPr>
                <w:sz w:val="5"/>
                <w:szCs w:val="5"/>
                <w:color w:val="auto"/>
              </w:rPr>
            </w:pPr>
          </w:p>
        </w:tc>
        <w:tc>
          <w:tcPr>
            <w:tcW w:w="860" w:type="dxa"/>
            <w:vAlign w:val="bottom"/>
            <w:shd w:val="clear" w:color="auto" w:fill="003595"/>
          </w:tcPr>
          <w:p>
            <w:pPr>
              <w:spacing w:after="0"/>
              <w:rPr>
                <w:sz w:val="5"/>
                <w:szCs w:val="5"/>
                <w:color w:val="auto"/>
              </w:rPr>
            </w:pPr>
          </w:p>
        </w:tc>
        <w:tc>
          <w:tcPr>
            <w:tcW w:w="740" w:type="dxa"/>
            <w:vAlign w:val="bottom"/>
            <w:vMerge w:val="continue"/>
            <w:shd w:val="clear" w:color="auto" w:fill="003595"/>
          </w:tcPr>
          <w:p>
            <w:pPr>
              <w:spacing w:after="0"/>
              <w:rPr>
                <w:sz w:val="5"/>
                <w:szCs w:val="5"/>
                <w:color w:val="auto"/>
              </w:rPr>
            </w:pPr>
          </w:p>
        </w:tc>
        <w:tc>
          <w:tcPr>
            <w:tcW w:w="840" w:type="dxa"/>
            <w:vAlign w:val="bottom"/>
            <w:vMerge w:val="continue"/>
            <w:shd w:val="clear" w:color="auto" w:fill="003595"/>
          </w:tcPr>
          <w:p>
            <w:pPr>
              <w:spacing w:after="0"/>
              <w:rPr>
                <w:sz w:val="5"/>
                <w:szCs w:val="5"/>
                <w:color w:val="auto"/>
              </w:rPr>
            </w:pPr>
          </w:p>
        </w:tc>
        <w:tc>
          <w:tcPr>
            <w:tcW w:w="740" w:type="dxa"/>
            <w:vAlign w:val="bottom"/>
            <w:vMerge w:val="continue"/>
            <w:shd w:val="clear" w:color="auto" w:fill="003595"/>
          </w:tcPr>
          <w:p>
            <w:pPr>
              <w:spacing w:after="0"/>
              <w:rPr>
                <w:sz w:val="5"/>
                <w:szCs w:val="5"/>
                <w:color w:val="auto"/>
              </w:rPr>
            </w:pPr>
          </w:p>
        </w:tc>
        <w:tc>
          <w:tcPr>
            <w:tcW w:w="800" w:type="dxa"/>
            <w:vAlign w:val="bottom"/>
            <w:vMerge w:val="continue"/>
            <w:shd w:val="clear" w:color="auto" w:fill="003595"/>
          </w:tcPr>
          <w:p>
            <w:pPr>
              <w:spacing w:after="0"/>
              <w:rPr>
                <w:sz w:val="5"/>
                <w:szCs w:val="5"/>
                <w:color w:val="auto"/>
              </w:rPr>
            </w:pPr>
          </w:p>
        </w:tc>
        <w:tc>
          <w:tcPr>
            <w:tcW w:w="104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7"/>
              </w:rPr>
              <w:t>($) (4)</w:t>
            </w:r>
          </w:p>
        </w:tc>
        <w:tc>
          <w:tcPr>
            <w:tcW w:w="0" w:type="dxa"/>
            <w:vAlign w:val="bottom"/>
          </w:tcPr>
          <w:p>
            <w:pPr>
              <w:spacing w:after="0"/>
              <w:rPr>
                <w:sz w:val="1"/>
                <w:szCs w:val="1"/>
                <w:color w:val="auto"/>
              </w:rPr>
            </w:pPr>
          </w:p>
        </w:tc>
      </w:tr>
      <w:tr>
        <w:trPr>
          <w:trHeight w:val="118"/>
        </w:trPr>
        <w:tc>
          <w:tcPr>
            <w:tcW w:w="1820" w:type="dxa"/>
            <w:vAlign w:val="bottom"/>
            <w:vMerge w:val="continue"/>
            <w:shd w:val="clear" w:color="auto" w:fill="003595"/>
          </w:tcPr>
          <w:p>
            <w:pPr>
              <w:spacing w:after="0"/>
              <w:rPr>
                <w:sz w:val="10"/>
                <w:szCs w:val="10"/>
                <w:color w:val="auto"/>
              </w:rPr>
            </w:pPr>
          </w:p>
        </w:tc>
        <w:tc>
          <w:tcPr>
            <w:tcW w:w="2080" w:type="dxa"/>
            <w:vAlign w:val="bottom"/>
            <w:shd w:val="clear" w:color="auto" w:fill="003595"/>
          </w:tcPr>
          <w:p>
            <w:pPr>
              <w:jc w:val="center"/>
              <w:spacing w:after="0" w:line="118" w:lineRule="exact"/>
              <w:rPr>
                <w:sz w:val="20"/>
                <w:szCs w:val="20"/>
                <w:color w:val="auto"/>
              </w:rPr>
            </w:pPr>
            <w:r>
              <w:rPr>
                <w:rFonts w:ascii="Arial" w:cs="Arial" w:eastAsia="Arial" w:hAnsi="Arial"/>
                <w:sz w:val="12"/>
                <w:szCs w:val="12"/>
                <w:b w:val="1"/>
                <w:bCs w:val="1"/>
                <w:color w:val="FFFFFF"/>
                <w:w w:val="94"/>
              </w:rPr>
              <w:t>Grant Type</w:t>
            </w:r>
          </w:p>
        </w:tc>
        <w:tc>
          <w:tcPr>
            <w:tcW w:w="840" w:type="dxa"/>
            <w:vAlign w:val="bottom"/>
            <w:shd w:val="clear" w:color="auto" w:fill="003595"/>
          </w:tcPr>
          <w:p>
            <w:pPr>
              <w:ind w:left="120"/>
              <w:spacing w:after="0" w:line="118" w:lineRule="exact"/>
              <w:rPr>
                <w:sz w:val="20"/>
                <w:szCs w:val="20"/>
                <w:color w:val="auto"/>
              </w:rPr>
            </w:pPr>
            <w:r>
              <w:rPr>
                <w:rFonts w:ascii="Arial" w:cs="Arial" w:eastAsia="Arial" w:hAnsi="Arial"/>
                <w:sz w:val="12"/>
                <w:szCs w:val="12"/>
                <w:b w:val="1"/>
                <w:bCs w:val="1"/>
                <w:color w:val="FFFFFF"/>
              </w:rPr>
              <w:t>Grant Date</w:t>
            </w:r>
          </w:p>
        </w:tc>
        <w:tc>
          <w:tcPr>
            <w:tcW w:w="820" w:type="dxa"/>
            <w:vAlign w:val="bottom"/>
            <w:vMerge w:val="continue"/>
            <w:shd w:val="clear" w:color="auto" w:fill="003595"/>
          </w:tcPr>
          <w:p>
            <w:pPr>
              <w:spacing w:after="0"/>
              <w:rPr>
                <w:sz w:val="10"/>
                <w:szCs w:val="10"/>
                <w:color w:val="auto"/>
              </w:rPr>
            </w:pPr>
          </w:p>
        </w:tc>
        <w:tc>
          <w:tcPr>
            <w:tcW w:w="660" w:type="dxa"/>
            <w:vAlign w:val="bottom"/>
            <w:vMerge w:val="continue"/>
            <w:shd w:val="clear" w:color="auto" w:fill="003595"/>
          </w:tcPr>
          <w:p>
            <w:pPr>
              <w:spacing w:after="0"/>
              <w:rPr>
                <w:sz w:val="10"/>
                <w:szCs w:val="10"/>
                <w:color w:val="auto"/>
              </w:rPr>
            </w:pPr>
          </w:p>
        </w:tc>
        <w:tc>
          <w:tcPr>
            <w:tcW w:w="860" w:type="dxa"/>
            <w:vAlign w:val="bottom"/>
            <w:shd w:val="clear" w:color="auto" w:fill="003595"/>
          </w:tcPr>
          <w:p>
            <w:pPr>
              <w:ind w:left="100"/>
              <w:spacing w:after="0" w:line="118" w:lineRule="exact"/>
              <w:rPr>
                <w:sz w:val="20"/>
                <w:szCs w:val="20"/>
                <w:color w:val="auto"/>
              </w:rPr>
            </w:pPr>
            <w:r>
              <w:rPr>
                <w:rFonts w:ascii="Arial" w:cs="Arial" w:eastAsia="Arial" w:hAnsi="Arial"/>
                <w:sz w:val="12"/>
                <w:szCs w:val="12"/>
                <w:b w:val="1"/>
                <w:bCs w:val="1"/>
                <w:color w:val="FFFFFF"/>
              </w:rPr>
              <w:t>Maximum ($)</w:t>
            </w:r>
          </w:p>
        </w:tc>
        <w:tc>
          <w:tcPr>
            <w:tcW w:w="740" w:type="dxa"/>
            <w:vAlign w:val="bottom"/>
            <w:vMerge w:val="continue"/>
            <w:shd w:val="clear" w:color="auto" w:fill="003595"/>
          </w:tcPr>
          <w:p>
            <w:pPr>
              <w:spacing w:after="0"/>
              <w:rPr>
                <w:sz w:val="10"/>
                <w:szCs w:val="10"/>
                <w:color w:val="auto"/>
              </w:rPr>
            </w:pPr>
          </w:p>
        </w:tc>
        <w:tc>
          <w:tcPr>
            <w:tcW w:w="840" w:type="dxa"/>
            <w:vAlign w:val="bottom"/>
            <w:vMerge w:val="continue"/>
            <w:shd w:val="clear" w:color="auto" w:fill="003595"/>
          </w:tcPr>
          <w:p>
            <w:pPr>
              <w:spacing w:after="0"/>
              <w:rPr>
                <w:sz w:val="10"/>
                <w:szCs w:val="10"/>
                <w:color w:val="auto"/>
              </w:rPr>
            </w:pPr>
          </w:p>
        </w:tc>
        <w:tc>
          <w:tcPr>
            <w:tcW w:w="740" w:type="dxa"/>
            <w:vAlign w:val="bottom"/>
            <w:vMerge w:val="continue"/>
            <w:shd w:val="clear" w:color="auto" w:fill="003595"/>
          </w:tcPr>
          <w:p>
            <w:pPr>
              <w:spacing w:after="0"/>
              <w:rPr>
                <w:sz w:val="10"/>
                <w:szCs w:val="10"/>
                <w:color w:val="auto"/>
              </w:rPr>
            </w:pPr>
          </w:p>
        </w:tc>
        <w:tc>
          <w:tcPr>
            <w:tcW w:w="800" w:type="dxa"/>
            <w:vAlign w:val="bottom"/>
            <w:shd w:val="clear" w:color="auto" w:fill="003595"/>
          </w:tcPr>
          <w:p>
            <w:pPr>
              <w:jc w:val="center"/>
              <w:spacing w:after="0" w:line="118" w:lineRule="exact"/>
              <w:rPr>
                <w:sz w:val="20"/>
                <w:szCs w:val="20"/>
                <w:color w:val="auto"/>
              </w:rPr>
            </w:pPr>
            <w:r>
              <w:rPr>
                <w:rFonts w:ascii="Arial" w:cs="Arial" w:eastAsia="Arial" w:hAnsi="Arial"/>
                <w:sz w:val="12"/>
                <w:szCs w:val="12"/>
                <w:b w:val="1"/>
                <w:bCs w:val="1"/>
                <w:color w:val="FFFFFF"/>
                <w:w w:val="97"/>
              </w:rPr>
              <w:t>(# of units)</w:t>
            </w:r>
          </w:p>
        </w:tc>
        <w:tc>
          <w:tcPr>
            <w:tcW w:w="1040" w:type="dxa"/>
            <w:vAlign w:val="bottom"/>
            <w:vMerge w:val="continue"/>
            <w:shd w:val="clear" w:color="auto" w:fill="00359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003595"/>
          </w:tcPr>
          <w:p>
            <w:pPr>
              <w:spacing w:after="0"/>
              <w:rPr>
                <w:sz w:val="11"/>
                <w:szCs w:val="11"/>
                <w:color w:val="auto"/>
              </w:rPr>
            </w:pPr>
          </w:p>
        </w:tc>
        <w:tc>
          <w:tcPr>
            <w:tcW w:w="2080" w:type="dxa"/>
            <w:vAlign w:val="bottom"/>
            <w:shd w:val="clear" w:color="auto" w:fill="003595"/>
          </w:tcPr>
          <w:p>
            <w:pPr>
              <w:spacing w:after="0"/>
              <w:rPr>
                <w:sz w:val="11"/>
                <w:szCs w:val="11"/>
                <w:color w:val="auto"/>
              </w:rPr>
            </w:pPr>
          </w:p>
        </w:tc>
        <w:tc>
          <w:tcPr>
            <w:tcW w:w="840" w:type="dxa"/>
            <w:vAlign w:val="bottom"/>
            <w:shd w:val="clear" w:color="auto" w:fill="003595"/>
          </w:tcPr>
          <w:p>
            <w:pPr>
              <w:spacing w:after="0"/>
              <w:rPr>
                <w:sz w:val="11"/>
                <w:szCs w:val="11"/>
                <w:color w:val="auto"/>
              </w:rPr>
            </w:pPr>
          </w:p>
        </w:tc>
        <w:tc>
          <w:tcPr>
            <w:tcW w:w="820" w:type="dxa"/>
            <w:vAlign w:val="bottom"/>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5"/>
              </w:rPr>
              <w:t>($)</w:t>
            </w:r>
          </w:p>
        </w:tc>
        <w:tc>
          <w:tcPr>
            <w:tcW w:w="660" w:type="dxa"/>
            <w:vAlign w:val="bottom"/>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5"/>
              </w:rPr>
              <w:t>($)</w:t>
            </w:r>
          </w:p>
        </w:tc>
        <w:tc>
          <w:tcPr>
            <w:tcW w:w="860" w:type="dxa"/>
            <w:vAlign w:val="bottom"/>
            <w:shd w:val="clear" w:color="auto" w:fill="003595"/>
          </w:tcPr>
          <w:p>
            <w:pPr>
              <w:spacing w:after="0"/>
              <w:rPr>
                <w:sz w:val="11"/>
                <w:szCs w:val="11"/>
                <w:color w:val="auto"/>
              </w:rPr>
            </w:pPr>
          </w:p>
        </w:tc>
        <w:tc>
          <w:tcPr>
            <w:tcW w:w="740" w:type="dxa"/>
            <w:vAlign w:val="bottom"/>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8"/>
              </w:rPr>
              <w:t>(# of shares)</w:t>
            </w:r>
          </w:p>
        </w:tc>
        <w:tc>
          <w:tcPr>
            <w:tcW w:w="840" w:type="dxa"/>
            <w:vAlign w:val="bottom"/>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8"/>
              </w:rPr>
              <w:t>(# of shares)</w:t>
            </w:r>
          </w:p>
        </w:tc>
        <w:tc>
          <w:tcPr>
            <w:tcW w:w="740" w:type="dxa"/>
            <w:vAlign w:val="bottom"/>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7"/>
              </w:rPr>
              <w:t>of shares)</w:t>
            </w:r>
          </w:p>
        </w:tc>
        <w:tc>
          <w:tcPr>
            <w:tcW w:w="80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5"/>
              </w:rPr>
              <w:t>(3)</w:t>
            </w:r>
          </w:p>
        </w:tc>
        <w:tc>
          <w:tcPr>
            <w:tcW w:w="1040" w:type="dxa"/>
            <w:vAlign w:val="bottom"/>
            <w:shd w:val="clear" w:color="auto" w:fill="003595"/>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820" w:type="dxa"/>
            <w:vAlign w:val="bottom"/>
            <w:tcBorders>
              <w:bottom w:val="single" w:sz="8" w:color="003595"/>
            </w:tcBorders>
            <w:shd w:val="clear" w:color="auto" w:fill="003595"/>
          </w:tcPr>
          <w:p>
            <w:pPr>
              <w:spacing w:after="0"/>
              <w:rPr>
                <w:sz w:val="5"/>
                <w:szCs w:val="5"/>
                <w:color w:val="auto"/>
              </w:rPr>
            </w:pPr>
          </w:p>
        </w:tc>
        <w:tc>
          <w:tcPr>
            <w:tcW w:w="2080" w:type="dxa"/>
            <w:vAlign w:val="bottom"/>
            <w:tcBorders>
              <w:bottom w:val="single" w:sz="8" w:color="003595"/>
            </w:tcBorders>
            <w:shd w:val="clear" w:color="auto" w:fill="003595"/>
          </w:tcPr>
          <w:p>
            <w:pPr>
              <w:spacing w:after="0"/>
              <w:rPr>
                <w:sz w:val="5"/>
                <w:szCs w:val="5"/>
                <w:color w:val="auto"/>
              </w:rPr>
            </w:pPr>
          </w:p>
        </w:tc>
        <w:tc>
          <w:tcPr>
            <w:tcW w:w="840" w:type="dxa"/>
            <w:vAlign w:val="bottom"/>
            <w:tcBorders>
              <w:bottom w:val="single" w:sz="8" w:color="003595"/>
            </w:tcBorders>
            <w:shd w:val="clear" w:color="auto" w:fill="003595"/>
          </w:tcPr>
          <w:p>
            <w:pPr>
              <w:spacing w:after="0"/>
              <w:rPr>
                <w:sz w:val="5"/>
                <w:szCs w:val="5"/>
                <w:color w:val="auto"/>
              </w:rPr>
            </w:pPr>
          </w:p>
        </w:tc>
        <w:tc>
          <w:tcPr>
            <w:tcW w:w="820" w:type="dxa"/>
            <w:vAlign w:val="bottom"/>
            <w:tcBorders>
              <w:bottom w:val="single" w:sz="8" w:color="003595"/>
            </w:tcBorders>
            <w:shd w:val="clear" w:color="auto" w:fill="003595"/>
          </w:tcPr>
          <w:p>
            <w:pPr>
              <w:spacing w:after="0"/>
              <w:rPr>
                <w:sz w:val="5"/>
                <w:szCs w:val="5"/>
                <w:color w:val="auto"/>
              </w:rPr>
            </w:pPr>
          </w:p>
        </w:tc>
        <w:tc>
          <w:tcPr>
            <w:tcW w:w="660" w:type="dxa"/>
            <w:vAlign w:val="bottom"/>
            <w:tcBorders>
              <w:bottom w:val="single" w:sz="8" w:color="003595"/>
            </w:tcBorders>
            <w:shd w:val="clear" w:color="auto" w:fill="003595"/>
          </w:tcPr>
          <w:p>
            <w:pPr>
              <w:spacing w:after="0"/>
              <w:rPr>
                <w:sz w:val="5"/>
                <w:szCs w:val="5"/>
                <w:color w:val="auto"/>
              </w:rPr>
            </w:pPr>
          </w:p>
        </w:tc>
        <w:tc>
          <w:tcPr>
            <w:tcW w:w="860" w:type="dxa"/>
            <w:vAlign w:val="bottom"/>
            <w:tcBorders>
              <w:bottom w:val="single" w:sz="8" w:color="003595"/>
            </w:tcBorders>
            <w:shd w:val="clear" w:color="auto" w:fill="003595"/>
          </w:tcPr>
          <w:p>
            <w:pPr>
              <w:spacing w:after="0"/>
              <w:rPr>
                <w:sz w:val="5"/>
                <w:szCs w:val="5"/>
                <w:color w:val="auto"/>
              </w:rPr>
            </w:pPr>
          </w:p>
        </w:tc>
        <w:tc>
          <w:tcPr>
            <w:tcW w:w="740" w:type="dxa"/>
            <w:vAlign w:val="bottom"/>
            <w:tcBorders>
              <w:bottom w:val="single" w:sz="8" w:color="003595"/>
            </w:tcBorders>
            <w:shd w:val="clear" w:color="auto" w:fill="003595"/>
          </w:tcPr>
          <w:p>
            <w:pPr>
              <w:spacing w:after="0"/>
              <w:rPr>
                <w:sz w:val="5"/>
                <w:szCs w:val="5"/>
                <w:color w:val="auto"/>
              </w:rPr>
            </w:pPr>
          </w:p>
        </w:tc>
        <w:tc>
          <w:tcPr>
            <w:tcW w:w="840" w:type="dxa"/>
            <w:vAlign w:val="bottom"/>
            <w:tcBorders>
              <w:bottom w:val="single" w:sz="8" w:color="003595"/>
            </w:tcBorders>
            <w:shd w:val="clear" w:color="auto" w:fill="003595"/>
          </w:tcPr>
          <w:p>
            <w:pPr>
              <w:spacing w:after="0"/>
              <w:rPr>
                <w:sz w:val="5"/>
                <w:szCs w:val="5"/>
                <w:color w:val="auto"/>
              </w:rPr>
            </w:pPr>
          </w:p>
        </w:tc>
        <w:tc>
          <w:tcPr>
            <w:tcW w:w="740" w:type="dxa"/>
            <w:vAlign w:val="bottom"/>
            <w:tcBorders>
              <w:bottom w:val="single" w:sz="8" w:color="003595"/>
            </w:tcBorders>
            <w:shd w:val="clear" w:color="auto" w:fill="003595"/>
          </w:tcPr>
          <w:p>
            <w:pPr>
              <w:spacing w:after="0"/>
              <w:rPr>
                <w:sz w:val="5"/>
                <w:szCs w:val="5"/>
                <w:color w:val="auto"/>
              </w:rPr>
            </w:pPr>
          </w:p>
        </w:tc>
        <w:tc>
          <w:tcPr>
            <w:tcW w:w="800" w:type="dxa"/>
            <w:vAlign w:val="bottom"/>
            <w:tcBorders>
              <w:bottom w:val="single" w:sz="8" w:color="003595"/>
            </w:tcBorders>
            <w:vMerge w:val="continue"/>
            <w:shd w:val="clear" w:color="auto" w:fill="003595"/>
          </w:tcPr>
          <w:p>
            <w:pPr>
              <w:spacing w:after="0"/>
              <w:rPr>
                <w:sz w:val="5"/>
                <w:szCs w:val="5"/>
                <w:color w:val="auto"/>
              </w:rPr>
            </w:pPr>
          </w:p>
        </w:tc>
        <w:tc>
          <w:tcPr>
            <w:tcW w:w="1040" w:type="dxa"/>
            <w:vAlign w:val="bottom"/>
            <w:tcBorders>
              <w:bottom w:val="single" w:sz="8" w:color="003595"/>
            </w:tcBorders>
            <w:shd w:val="clear" w:color="auto" w:fill="003595"/>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820" w:type="dxa"/>
            <w:vAlign w:val="bottom"/>
          </w:tcPr>
          <w:p>
            <w:pPr>
              <w:ind w:left="20"/>
              <w:spacing w:after="0"/>
              <w:rPr>
                <w:sz w:val="20"/>
                <w:szCs w:val="20"/>
                <w:color w:val="auto"/>
              </w:rPr>
            </w:pPr>
            <w:r>
              <w:rPr>
                <w:rFonts w:ascii="Arial" w:cs="Arial" w:eastAsia="Arial" w:hAnsi="Arial"/>
                <w:sz w:val="12"/>
                <w:szCs w:val="12"/>
                <w:color w:val="auto"/>
              </w:rPr>
              <w:t>Samraat S. Raha</w:t>
            </w: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Short-term Cash Incentive Bonus</w:t>
            </w:r>
          </w:p>
        </w:tc>
        <w:tc>
          <w:tcPr>
            <w:tcW w:w="8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6"/>
              </w:rPr>
              <w:t>460,000</w:t>
            </w:r>
          </w:p>
        </w:tc>
        <w:tc>
          <w:tcPr>
            <w:tcW w:w="660" w:type="dxa"/>
            <w:vAlign w:val="bottom"/>
          </w:tcPr>
          <w:p>
            <w:pPr>
              <w:jc w:val="center"/>
              <w:spacing w:after="0"/>
              <w:rPr>
                <w:sz w:val="20"/>
                <w:szCs w:val="20"/>
                <w:color w:val="auto"/>
              </w:rPr>
            </w:pPr>
            <w:r>
              <w:rPr>
                <w:rFonts w:ascii="Arial" w:cs="Arial" w:eastAsia="Arial" w:hAnsi="Arial"/>
                <w:sz w:val="12"/>
                <w:szCs w:val="12"/>
                <w:color w:val="auto"/>
                <w:w w:val="96"/>
              </w:rPr>
              <w:t>920,000</w:t>
            </w:r>
          </w:p>
        </w:tc>
        <w:tc>
          <w:tcPr>
            <w:tcW w:w="860" w:type="dxa"/>
            <w:vAlign w:val="bottom"/>
          </w:tcPr>
          <w:p>
            <w:pPr>
              <w:jc w:val="center"/>
              <w:ind w:left="2"/>
              <w:spacing w:after="0"/>
              <w:rPr>
                <w:sz w:val="20"/>
                <w:szCs w:val="20"/>
                <w:color w:val="auto"/>
              </w:rPr>
            </w:pPr>
            <w:r>
              <w:rPr>
                <w:rFonts w:ascii="Arial" w:cs="Arial" w:eastAsia="Arial" w:hAnsi="Arial"/>
                <w:sz w:val="12"/>
                <w:szCs w:val="12"/>
                <w:color w:val="auto"/>
                <w:w w:val="97"/>
              </w:rPr>
              <w:t>1,380,000</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Time-Based RSUs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3/13/2025</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6"/>
              </w:rPr>
              <w:t>216,495</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$2,100,002</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PSUs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4/30/2025</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94"/>
              </w:rPr>
              <w:t xml:space="preserve">141,050 </w:t>
            </w:r>
            <w:r>
              <w:rPr>
                <w:rFonts w:ascii="Arial" w:cs="Arial" w:eastAsia="Arial" w:hAnsi="Arial"/>
                <w:sz w:val="15"/>
                <w:szCs w:val="15"/>
                <w:color w:val="auto"/>
                <w:w w:val="94"/>
                <w:vertAlign w:val="superscript"/>
              </w:rPr>
              <w:t>(5)</w:t>
            </w: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5"/>
              </w:rPr>
              <w:t>$786,707</w:t>
            </w:r>
          </w:p>
        </w:tc>
        <w:tc>
          <w:tcPr>
            <w:tcW w:w="0" w:type="dxa"/>
            <w:vAlign w:val="bottom"/>
          </w:tcPr>
          <w:p>
            <w:pPr>
              <w:spacing w:after="0"/>
              <w:rPr>
                <w:sz w:val="1"/>
                <w:szCs w:val="1"/>
                <w:color w:val="auto"/>
              </w:rPr>
            </w:pPr>
          </w:p>
        </w:tc>
      </w:tr>
      <w:tr>
        <w:trPr>
          <w:trHeight w:val="176"/>
        </w:trPr>
        <w:tc>
          <w:tcPr>
            <w:tcW w:w="1820" w:type="dxa"/>
            <w:vAlign w:val="bottom"/>
            <w:tcBorders>
              <w:bottom w:val="single" w:sz="8" w:color="003595"/>
            </w:tcBorders>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PSUs</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8"/>
              </w:rPr>
              <w:t>6/5/2025</w:t>
            </w:r>
          </w:p>
        </w:tc>
        <w:tc>
          <w:tcPr>
            <w:tcW w:w="820" w:type="dxa"/>
            <w:vAlign w:val="bottom"/>
            <w:tcBorders>
              <w:bottom w:val="single" w:sz="8" w:color="003595"/>
            </w:tcBorders>
          </w:tcPr>
          <w:p>
            <w:pPr>
              <w:spacing w:after="0"/>
              <w:rPr>
                <w:sz w:val="15"/>
                <w:szCs w:val="15"/>
                <w:color w:val="auto"/>
              </w:rPr>
            </w:pPr>
          </w:p>
        </w:tc>
        <w:tc>
          <w:tcPr>
            <w:tcW w:w="660" w:type="dxa"/>
            <w:vAlign w:val="bottom"/>
            <w:tcBorders>
              <w:bottom w:val="single" w:sz="8" w:color="003595"/>
            </w:tcBorders>
          </w:tcPr>
          <w:p>
            <w:pPr>
              <w:spacing w:after="0"/>
              <w:rPr>
                <w:sz w:val="15"/>
                <w:szCs w:val="15"/>
                <w:color w:val="auto"/>
              </w:rPr>
            </w:pPr>
          </w:p>
        </w:tc>
        <w:tc>
          <w:tcPr>
            <w:tcW w:w="860" w:type="dxa"/>
            <w:vAlign w:val="bottom"/>
            <w:tcBorders>
              <w:bottom w:val="single" w:sz="8" w:color="003595"/>
            </w:tcBorders>
          </w:tcPr>
          <w:p>
            <w:pPr>
              <w:spacing w:after="0"/>
              <w:rPr>
                <w:sz w:val="15"/>
                <w:szCs w:val="15"/>
                <w:color w:val="auto"/>
              </w:rPr>
            </w:pP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162,371</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216,495</w:t>
            </w: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324,743</w:t>
            </w:r>
          </w:p>
        </w:tc>
        <w:tc>
          <w:tcPr>
            <w:tcW w:w="800" w:type="dxa"/>
            <w:vAlign w:val="bottom"/>
            <w:tcBorders>
              <w:bottom w:val="single" w:sz="8" w:color="003595"/>
            </w:tcBorders>
          </w:tcPr>
          <w:p>
            <w:pPr>
              <w:spacing w:after="0"/>
              <w:rPr>
                <w:sz w:val="15"/>
                <w:szCs w:val="15"/>
                <w:color w:val="auto"/>
              </w:rPr>
            </w:pPr>
          </w:p>
        </w:tc>
        <w:tc>
          <w:tcPr>
            <w:tcW w:w="10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9"/>
              </w:rPr>
              <w:t>$1,103,020</w:t>
            </w:r>
          </w:p>
        </w:tc>
        <w:tc>
          <w:tcPr>
            <w:tcW w:w="0" w:type="dxa"/>
            <w:vAlign w:val="bottom"/>
          </w:tcPr>
          <w:p>
            <w:pPr>
              <w:spacing w:after="0"/>
              <w:rPr>
                <w:sz w:val="1"/>
                <w:szCs w:val="1"/>
                <w:color w:val="auto"/>
              </w:rPr>
            </w:pPr>
          </w:p>
        </w:tc>
      </w:tr>
      <w:tr>
        <w:trPr>
          <w:trHeight w:val="183"/>
        </w:trPr>
        <w:tc>
          <w:tcPr>
            <w:tcW w:w="1820" w:type="dxa"/>
            <w:vAlign w:val="bottom"/>
          </w:tcPr>
          <w:p>
            <w:pPr>
              <w:ind w:left="20"/>
              <w:spacing w:after="0"/>
              <w:rPr>
                <w:sz w:val="20"/>
                <w:szCs w:val="20"/>
                <w:color w:val="auto"/>
              </w:rPr>
            </w:pPr>
            <w:r>
              <w:rPr>
                <w:rFonts w:ascii="Arial" w:cs="Arial" w:eastAsia="Arial" w:hAnsi="Arial"/>
                <w:sz w:val="12"/>
                <w:szCs w:val="12"/>
                <w:color w:val="auto"/>
              </w:rPr>
              <w:t>Benjamin R. Wheeler</w:t>
            </w: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Short-term Cash Incentive Bonus</w:t>
            </w:r>
          </w:p>
        </w:tc>
        <w:tc>
          <w:tcPr>
            <w:tcW w:w="8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6"/>
              </w:rPr>
              <w:t>183,750</w:t>
            </w:r>
          </w:p>
        </w:tc>
        <w:tc>
          <w:tcPr>
            <w:tcW w:w="660" w:type="dxa"/>
            <w:vAlign w:val="bottom"/>
          </w:tcPr>
          <w:p>
            <w:pPr>
              <w:jc w:val="center"/>
              <w:spacing w:after="0"/>
              <w:rPr>
                <w:sz w:val="20"/>
                <w:szCs w:val="20"/>
                <w:color w:val="auto"/>
              </w:rPr>
            </w:pPr>
            <w:r>
              <w:rPr>
                <w:rFonts w:ascii="Arial" w:cs="Arial" w:eastAsia="Arial" w:hAnsi="Arial"/>
                <w:sz w:val="12"/>
                <w:szCs w:val="12"/>
                <w:color w:val="auto"/>
                <w:w w:val="96"/>
              </w:rPr>
              <w:t>367,500</w:t>
            </w: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96"/>
              </w:rPr>
              <w:t>551,250</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Time-Based RSUs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3/13/2025</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4,000</w:t>
            </w:r>
          </w:p>
        </w:tc>
        <w:tc>
          <w:tcPr>
            <w:tcW w:w="1040" w:type="dxa"/>
            <w:vAlign w:val="bottom"/>
          </w:tcPr>
          <w:p>
            <w:pPr>
              <w:jc w:val="center"/>
              <w:spacing w:after="0"/>
              <w:rPr>
                <w:sz w:val="20"/>
                <w:szCs w:val="20"/>
                <w:color w:val="auto"/>
              </w:rPr>
            </w:pPr>
            <w:r>
              <w:rPr>
                <w:rFonts w:ascii="Arial" w:cs="Arial" w:eastAsia="Arial" w:hAnsi="Arial"/>
                <w:sz w:val="12"/>
                <w:szCs w:val="12"/>
                <w:color w:val="auto"/>
              </w:rPr>
              <w:t>$38,800</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Time-Based RSUs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8/16/2025</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 xml:space="preserve">60,000 </w:t>
            </w:r>
            <w:r>
              <w:rPr>
                <w:rFonts w:ascii="Arial" w:cs="Arial" w:eastAsia="Arial" w:hAnsi="Arial"/>
                <w:sz w:val="15"/>
                <w:szCs w:val="15"/>
                <w:color w:val="auto"/>
                <w:w w:val="91"/>
                <w:vertAlign w:val="superscript"/>
              </w:rPr>
              <w:t>(6)</w:t>
            </w:r>
          </w:p>
        </w:tc>
        <w:tc>
          <w:tcPr>
            <w:tcW w:w="1040" w:type="dxa"/>
            <w:vAlign w:val="bottom"/>
          </w:tcPr>
          <w:p>
            <w:pPr>
              <w:jc w:val="center"/>
              <w:spacing w:after="0"/>
              <w:rPr>
                <w:sz w:val="20"/>
                <w:szCs w:val="20"/>
                <w:color w:val="auto"/>
              </w:rPr>
            </w:pPr>
            <w:r>
              <w:rPr>
                <w:rFonts w:ascii="Arial" w:cs="Arial" w:eastAsia="Arial" w:hAnsi="Arial"/>
                <w:sz w:val="12"/>
                <w:szCs w:val="12"/>
                <w:color w:val="auto"/>
                <w:w w:val="95"/>
              </w:rPr>
              <w:t>$342,600</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PSUs</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6/5/2025</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9"/>
              </w:rPr>
              <w:t>3,000</w:t>
            </w:r>
          </w:p>
        </w:tc>
        <w:tc>
          <w:tcPr>
            <w:tcW w:w="840" w:type="dxa"/>
            <w:vAlign w:val="bottom"/>
          </w:tcPr>
          <w:p>
            <w:pPr>
              <w:jc w:val="center"/>
              <w:spacing w:after="0"/>
              <w:rPr>
                <w:sz w:val="20"/>
                <w:szCs w:val="20"/>
                <w:color w:val="auto"/>
              </w:rPr>
            </w:pPr>
            <w:r>
              <w:rPr>
                <w:rFonts w:ascii="Arial" w:cs="Arial" w:eastAsia="Arial" w:hAnsi="Arial"/>
                <w:sz w:val="12"/>
                <w:szCs w:val="12"/>
                <w:color w:val="auto"/>
                <w:w w:val="93"/>
              </w:rPr>
              <w:t>4,000</w:t>
            </w:r>
          </w:p>
        </w:tc>
        <w:tc>
          <w:tcPr>
            <w:tcW w:w="740" w:type="dxa"/>
            <w:vAlign w:val="bottom"/>
          </w:tcPr>
          <w:p>
            <w:pPr>
              <w:jc w:val="center"/>
              <w:spacing w:after="0"/>
              <w:rPr>
                <w:sz w:val="20"/>
                <w:szCs w:val="20"/>
                <w:color w:val="auto"/>
              </w:rPr>
            </w:pPr>
            <w:r>
              <w:rPr>
                <w:rFonts w:ascii="Arial" w:cs="Arial" w:eastAsia="Arial" w:hAnsi="Arial"/>
                <w:sz w:val="12"/>
                <w:szCs w:val="12"/>
                <w:color w:val="auto"/>
                <w:w w:val="99"/>
              </w:rPr>
              <w:t>6,000</w:t>
            </w:r>
          </w:p>
        </w:tc>
        <w:tc>
          <w:tcPr>
            <w:tcW w:w="8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rPr>
              <w:t>$20,379</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003595"/>
            </w:tcBorders>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PSUs</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8/16/2025</w:t>
            </w:r>
          </w:p>
        </w:tc>
        <w:tc>
          <w:tcPr>
            <w:tcW w:w="820" w:type="dxa"/>
            <w:vAlign w:val="bottom"/>
            <w:tcBorders>
              <w:bottom w:val="single" w:sz="8" w:color="003595"/>
            </w:tcBorders>
          </w:tcPr>
          <w:p>
            <w:pPr>
              <w:spacing w:after="0"/>
              <w:rPr>
                <w:sz w:val="15"/>
                <w:szCs w:val="15"/>
                <w:color w:val="auto"/>
              </w:rPr>
            </w:pPr>
          </w:p>
        </w:tc>
        <w:tc>
          <w:tcPr>
            <w:tcW w:w="660" w:type="dxa"/>
            <w:vAlign w:val="bottom"/>
            <w:tcBorders>
              <w:bottom w:val="single" w:sz="8" w:color="003595"/>
            </w:tcBorders>
          </w:tcPr>
          <w:p>
            <w:pPr>
              <w:spacing w:after="0"/>
              <w:rPr>
                <w:sz w:val="15"/>
                <w:szCs w:val="15"/>
                <w:color w:val="auto"/>
              </w:rPr>
            </w:pPr>
          </w:p>
        </w:tc>
        <w:tc>
          <w:tcPr>
            <w:tcW w:w="860" w:type="dxa"/>
            <w:vAlign w:val="bottom"/>
            <w:tcBorders>
              <w:bottom w:val="single" w:sz="8" w:color="003595"/>
            </w:tcBorders>
          </w:tcPr>
          <w:p>
            <w:pPr>
              <w:spacing w:after="0"/>
              <w:rPr>
                <w:sz w:val="15"/>
                <w:szCs w:val="15"/>
                <w:color w:val="auto"/>
              </w:rPr>
            </w:pP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45,000</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60,000</w:t>
            </w: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90,000</w:t>
            </w:r>
          </w:p>
        </w:tc>
        <w:tc>
          <w:tcPr>
            <w:tcW w:w="800" w:type="dxa"/>
            <w:vAlign w:val="bottom"/>
            <w:tcBorders>
              <w:bottom w:val="single" w:sz="8" w:color="003595"/>
            </w:tcBorders>
          </w:tcPr>
          <w:p>
            <w:pPr>
              <w:spacing w:after="0"/>
              <w:rPr>
                <w:sz w:val="15"/>
                <w:szCs w:val="15"/>
                <w:color w:val="auto"/>
              </w:rPr>
            </w:pPr>
          </w:p>
        </w:tc>
        <w:tc>
          <w:tcPr>
            <w:tcW w:w="10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5"/>
              </w:rPr>
              <w:t>$357,450</w:t>
            </w:r>
          </w:p>
        </w:tc>
        <w:tc>
          <w:tcPr>
            <w:tcW w:w="0" w:type="dxa"/>
            <w:vAlign w:val="bottom"/>
          </w:tcPr>
          <w:p>
            <w:pPr>
              <w:spacing w:after="0"/>
              <w:rPr>
                <w:sz w:val="1"/>
                <w:szCs w:val="1"/>
                <w:color w:val="auto"/>
              </w:rPr>
            </w:pPr>
          </w:p>
        </w:tc>
      </w:tr>
      <w:tr>
        <w:trPr>
          <w:trHeight w:val="236"/>
        </w:trPr>
        <w:tc>
          <w:tcPr>
            <w:tcW w:w="1820" w:type="dxa"/>
            <w:vAlign w:val="bottom"/>
          </w:tcPr>
          <w:p>
            <w:pPr>
              <w:ind w:left="20"/>
              <w:spacing w:after="0"/>
              <w:rPr>
                <w:sz w:val="20"/>
                <w:szCs w:val="20"/>
                <w:color w:val="auto"/>
              </w:rPr>
            </w:pPr>
            <w:r>
              <w:rPr>
                <w:rFonts w:ascii="Arial" w:cs="Arial" w:eastAsia="Arial" w:hAnsi="Arial"/>
                <w:sz w:val="12"/>
                <w:szCs w:val="12"/>
                <w:color w:val="auto"/>
              </w:rPr>
              <w:t>Scott J. Leffler</w:t>
            </w: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Short-term Cash Incentive Bonus</w:t>
            </w:r>
          </w:p>
        </w:tc>
        <w:tc>
          <w:tcPr>
            <w:tcW w:w="8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6"/>
              </w:rPr>
              <w:t>206,250</w:t>
            </w:r>
          </w:p>
        </w:tc>
        <w:tc>
          <w:tcPr>
            <w:tcW w:w="660" w:type="dxa"/>
            <w:vAlign w:val="bottom"/>
          </w:tcPr>
          <w:p>
            <w:pPr>
              <w:jc w:val="center"/>
              <w:spacing w:after="0"/>
              <w:rPr>
                <w:sz w:val="20"/>
                <w:szCs w:val="20"/>
                <w:color w:val="auto"/>
              </w:rPr>
            </w:pPr>
            <w:r>
              <w:rPr>
                <w:rFonts w:ascii="Arial" w:cs="Arial" w:eastAsia="Arial" w:hAnsi="Arial"/>
                <w:sz w:val="12"/>
                <w:szCs w:val="12"/>
                <w:color w:val="auto"/>
                <w:w w:val="96"/>
              </w:rPr>
              <w:t>412,500</w:t>
            </w: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96"/>
              </w:rPr>
              <w:t>618,750</w:t>
            </w: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Time-Based RSUs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3/13/2025</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72,165</w:t>
            </w:r>
          </w:p>
        </w:tc>
        <w:tc>
          <w:tcPr>
            <w:tcW w:w="1040" w:type="dxa"/>
            <w:vAlign w:val="bottom"/>
          </w:tcPr>
          <w:p>
            <w:pPr>
              <w:jc w:val="center"/>
              <w:spacing w:after="0"/>
              <w:rPr>
                <w:sz w:val="20"/>
                <w:szCs w:val="20"/>
                <w:color w:val="auto"/>
              </w:rPr>
            </w:pPr>
            <w:r>
              <w:rPr>
                <w:rFonts w:ascii="Arial" w:cs="Arial" w:eastAsia="Arial" w:hAnsi="Arial"/>
                <w:sz w:val="12"/>
                <w:szCs w:val="12"/>
                <w:color w:val="auto"/>
                <w:w w:val="95"/>
              </w:rPr>
              <w:t>$700,001</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003595"/>
            </w:tcBorders>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PSUs</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8"/>
              </w:rPr>
              <w:t>6/5/2025</w:t>
            </w:r>
          </w:p>
        </w:tc>
        <w:tc>
          <w:tcPr>
            <w:tcW w:w="820" w:type="dxa"/>
            <w:vAlign w:val="bottom"/>
            <w:tcBorders>
              <w:bottom w:val="single" w:sz="8" w:color="003595"/>
            </w:tcBorders>
          </w:tcPr>
          <w:p>
            <w:pPr>
              <w:spacing w:after="0"/>
              <w:rPr>
                <w:sz w:val="15"/>
                <w:szCs w:val="15"/>
                <w:color w:val="auto"/>
              </w:rPr>
            </w:pPr>
          </w:p>
        </w:tc>
        <w:tc>
          <w:tcPr>
            <w:tcW w:w="660" w:type="dxa"/>
            <w:vAlign w:val="bottom"/>
            <w:tcBorders>
              <w:bottom w:val="single" w:sz="8" w:color="003595"/>
            </w:tcBorders>
          </w:tcPr>
          <w:p>
            <w:pPr>
              <w:spacing w:after="0"/>
              <w:rPr>
                <w:sz w:val="15"/>
                <w:szCs w:val="15"/>
                <w:color w:val="auto"/>
              </w:rPr>
            </w:pPr>
          </w:p>
        </w:tc>
        <w:tc>
          <w:tcPr>
            <w:tcW w:w="860" w:type="dxa"/>
            <w:vAlign w:val="bottom"/>
            <w:tcBorders>
              <w:bottom w:val="single" w:sz="8" w:color="003595"/>
            </w:tcBorders>
          </w:tcPr>
          <w:p>
            <w:pPr>
              <w:spacing w:after="0"/>
              <w:rPr>
                <w:sz w:val="15"/>
                <w:szCs w:val="15"/>
                <w:color w:val="auto"/>
              </w:rPr>
            </w:pP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54,124</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72,165</w:t>
            </w: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108,248</w:t>
            </w:r>
          </w:p>
        </w:tc>
        <w:tc>
          <w:tcPr>
            <w:tcW w:w="800" w:type="dxa"/>
            <w:vAlign w:val="bottom"/>
            <w:tcBorders>
              <w:bottom w:val="single" w:sz="8" w:color="3051F2"/>
            </w:tcBorders>
          </w:tcPr>
          <w:p>
            <w:pPr>
              <w:spacing w:after="0"/>
              <w:rPr>
                <w:sz w:val="15"/>
                <w:szCs w:val="15"/>
                <w:color w:val="auto"/>
              </w:rPr>
            </w:pPr>
          </w:p>
        </w:tc>
        <w:tc>
          <w:tcPr>
            <w:tcW w:w="10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5"/>
              </w:rPr>
              <w:t>$367,673</w:t>
            </w:r>
          </w:p>
        </w:tc>
        <w:tc>
          <w:tcPr>
            <w:tcW w:w="0" w:type="dxa"/>
            <w:vAlign w:val="bottom"/>
          </w:tcPr>
          <w:p>
            <w:pPr>
              <w:spacing w:after="0"/>
              <w:rPr>
                <w:sz w:val="1"/>
                <w:szCs w:val="1"/>
                <w:color w:val="auto"/>
              </w:rPr>
            </w:pPr>
          </w:p>
        </w:tc>
      </w:tr>
      <w:tr>
        <w:trPr>
          <w:trHeight w:val="183"/>
        </w:trPr>
        <w:tc>
          <w:tcPr>
            <w:tcW w:w="1820" w:type="dxa"/>
            <w:vAlign w:val="bottom"/>
          </w:tcPr>
          <w:p>
            <w:pPr>
              <w:ind w:left="20"/>
              <w:spacing w:after="0"/>
              <w:rPr>
                <w:sz w:val="20"/>
                <w:szCs w:val="20"/>
                <w:color w:val="auto"/>
              </w:rPr>
            </w:pPr>
            <w:r>
              <w:rPr>
                <w:rFonts w:ascii="Arial" w:cs="Arial" w:eastAsia="Arial" w:hAnsi="Arial"/>
                <w:sz w:val="12"/>
                <w:szCs w:val="12"/>
                <w:color w:val="auto"/>
              </w:rPr>
              <w:t>Mark Verratti</w:t>
            </w: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Short-term Cash Incentive Bonus</w:t>
            </w:r>
          </w:p>
        </w:tc>
        <w:tc>
          <w:tcPr>
            <w:tcW w:w="8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6"/>
              </w:rPr>
              <w:t>247,500</w:t>
            </w:r>
          </w:p>
        </w:tc>
        <w:tc>
          <w:tcPr>
            <w:tcW w:w="660" w:type="dxa"/>
            <w:vAlign w:val="bottom"/>
          </w:tcPr>
          <w:p>
            <w:pPr>
              <w:jc w:val="center"/>
              <w:spacing w:after="0"/>
              <w:rPr>
                <w:sz w:val="20"/>
                <w:szCs w:val="20"/>
                <w:color w:val="auto"/>
              </w:rPr>
            </w:pPr>
            <w:r>
              <w:rPr>
                <w:rFonts w:ascii="Arial" w:cs="Arial" w:eastAsia="Arial" w:hAnsi="Arial"/>
                <w:sz w:val="12"/>
                <w:szCs w:val="12"/>
                <w:color w:val="auto"/>
                <w:w w:val="96"/>
              </w:rPr>
              <w:t>495,000</w:t>
            </w: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96"/>
              </w:rPr>
              <w:t>742,500</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Time-Based RSUs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3/13/2025</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99,227</w:t>
            </w:r>
          </w:p>
        </w:tc>
        <w:tc>
          <w:tcPr>
            <w:tcW w:w="1040" w:type="dxa"/>
            <w:vAlign w:val="bottom"/>
          </w:tcPr>
          <w:p>
            <w:pPr>
              <w:jc w:val="center"/>
              <w:spacing w:after="0"/>
              <w:rPr>
                <w:sz w:val="20"/>
                <w:szCs w:val="20"/>
                <w:color w:val="auto"/>
              </w:rPr>
            </w:pPr>
            <w:r>
              <w:rPr>
                <w:rFonts w:ascii="Arial" w:cs="Arial" w:eastAsia="Arial" w:hAnsi="Arial"/>
                <w:sz w:val="12"/>
                <w:szCs w:val="12"/>
                <w:color w:val="auto"/>
                <w:w w:val="95"/>
              </w:rPr>
              <w:t>$962,502</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PSUs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4/30/2025</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94"/>
              </w:rPr>
              <w:t xml:space="preserve">105,785 </w:t>
            </w:r>
            <w:r>
              <w:rPr>
                <w:rFonts w:ascii="Arial" w:cs="Arial" w:eastAsia="Arial" w:hAnsi="Arial"/>
                <w:sz w:val="15"/>
                <w:szCs w:val="15"/>
                <w:color w:val="auto"/>
                <w:w w:val="94"/>
                <w:vertAlign w:val="superscript"/>
              </w:rPr>
              <w:t>(5)</w:t>
            </w: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5"/>
              </w:rPr>
              <w:t>$590,016</w:t>
            </w:r>
          </w:p>
        </w:tc>
        <w:tc>
          <w:tcPr>
            <w:tcW w:w="0" w:type="dxa"/>
            <w:vAlign w:val="bottom"/>
          </w:tcPr>
          <w:p>
            <w:pPr>
              <w:spacing w:after="0"/>
              <w:rPr>
                <w:sz w:val="1"/>
                <w:szCs w:val="1"/>
                <w:color w:val="auto"/>
              </w:rPr>
            </w:pPr>
          </w:p>
        </w:tc>
      </w:tr>
      <w:tr>
        <w:trPr>
          <w:trHeight w:val="176"/>
        </w:trPr>
        <w:tc>
          <w:tcPr>
            <w:tcW w:w="1820" w:type="dxa"/>
            <w:vAlign w:val="bottom"/>
            <w:tcBorders>
              <w:bottom w:val="single" w:sz="8" w:color="003595"/>
            </w:tcBorders>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PSUs</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8"/>
              </w:rPr>
              <w:t>6/5/2025</w:t>
            </w:r>
          </w:p>
        </w:tc>
        <w:tc>
          <w:tcPr>
            <w:tcW w:w="820" w:type="dxa"/>
            <w:vAlign w:val="bottom"/>
            <w:tcBorders>
              <w:bottom w:val="single" w:sz="8" w:color="003595"/>
            </w:tcBorders>
          </w:tcPr>
          <w:p>
            <w:pPr>
              <w:spacing w:after="0"/>
              <w:rPr>
                <w:sz w:val="15"/>
                <w:szCs w:val="15"/>
                <w:color w:val="auto"/>
              </w:rPr>
            </w:pPr>
          </w:p>
        </w:tc>
        <w:tc>
          <w:tcPr>
            <w:tcW w:w="660" w:type="dxa"/>
            <w:vAlign w:val="bottom"/>
            <w:tcBorders>
              <w:bottom w:val="single" w:sz="8" w:color="003595"/>
            </w:tcBorders>
          </w:tcPr>
          <w:p>
            <w:pPr>
              <w:spacing w:after="0"/>
              <w:rPr>
                <w:sz w:val="15"/>
                <w:szCs w:val="15"/>
                <w:color w:val="auto"/>
              </w:rPr>
            </w:pPr>
          </w:p>
        </w:tc>
        <w:tc>
          <w:tcPr>
            <w:tcW w:w="860" w:type="dxa"/>
            <w:vAlign w:val="bottom"/>
            <w:tcBorders>
              <w:bottom w:val="single" w:sz="8" w:color="003595"/>
            </w:tcBorders>
          </w:tcPr>
          <w:p>
            <w:pPr>
              <w:spacing w:after="0"/>
              <w:rPr>
                <w:sz w:val="15"/>
                <w:szCs w:val="15"/>
                <w:color w:val="auto"/>
              </w:rPr>
            </w:pP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74,420</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99,227</w:t>
            </w: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148,841</w:t>
            </w:r>
          </w:p>
        </w:tc>
        <w:tc>
          <w:tcPr>
            <w:tcW w:w="800" w:type="dxa"/>
            <w:vAlign w:val="bottom"/>
            <w:tcBorders>
              <w:bottom w:val="single" w:sz="8" w:color="003595"/>
            </w:tcBorders>
          </w:tcPr>
          <w:p>
            <w:pPr>
              <w:spacing w:after="0"/>
              <w:rPr>
                <w:sz w:val="15"/>
                <w:szCs w:val="15"/>
                <w:color w:val="auto"/>
              </w:rPr>
            </w:pPr>
          </w:p>
        </w:tc>
        <w:tc>
          <w:tcPr>
            <w:tcW w:w="10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5"/>
              </w:rPr>
              <w:t>$505,551</w:t>
            </w:r>
          </w:p>
        </w:tc>
        <w:tc>
          <w:tcPr>
            <w:tcW w:w="0" w:type="dxa"/>
            <w:vAlign w:val="bottom"/>
          </w:tcPr>
          <w:p>
            <w:pPr>
              <w:spacing w:after="0"/>
              <w:rPr>
                <w:sz w:val="1"/>
                <w:szCs w:val="1"/>
                <w:color w:val="auto"/>
              </w:rPr>
            </w:pPr>
          </w:p>
        </w:tc>
      </w:tr>
      <w:tr>
        <w:trPr>
          <w:trHeight w:val="183"/>
        </w:trPr>
        <w:tc>
          <w:tcPr>
            <w:tcW w:w="1820" w:type="dxa"/>
            <w:vAlign w:val="bottom"/>
          </w:tcPr>
          <w:p>
            <w:pPr>
              <w:ind w:left="20"/>
              <w:spacing w:after="0"/>
              <w:rPr>
                <w:sz w:val="20"/>
                <w:szCs w:val="20"/>
                <w:color w:val="auto"/>
              </w:rPr>
            </w:pPr>
            <w:r>
              <w:rPr>
                <w:rFonts w:ascii="Arial" w:cs="Arial" w:eastAsia="Arial" w:hAnsi="Arial"/>
                <w:sz w:val="12"/>
                <w:szCs w:val="12"/>
                <w:color w:val="auto"/>
              </w:rPr>
              <w:t>Brian J. Donnelly</w:t>
            </w: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Short-term Cash Incentive Bonus</w:t>
            </w:r>
          </w:p>
        </w:tc>
        <w:tc>
          <w:tcPr>
            <w:tcW w:w="8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6"/>
              </w:rPr>
              <w:t>210,000</w:t>
            </w:r>
          </w:p>
        </w:tc>
        <w:tc>
          <w:tcPr>
            <w:tcW w:w="660" w:type="dxa"/>
            <w:vAlign w:val="bottom"/>
          </w:tcPr>
          <w:p>
            <w:pPr>
              <w:jc w:val="center"/>
              <w:spacing w:after="0"/>
              <w:rPr>
                <w:sz w:val="20"/>
                <w:szCs w:val="20"/>
                <w:color w:val="auto"/>
              </w:rPr>
            </w:pPr>
            <w:r>
              <w:rPr>
                <w:rFonts w:ascii="Arial" w:cs="Arial" w:eastAsia="Arial" w:hAnsi="Arial"/>
                <w:sz w:val="12"/>
                <w:szCs w:val="12"/>
                <w:color w:val="auto"/>
                <w:w w:val="96"/>
              </w:rPr>
              <w:t>420,000</w:t>
            </w: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96"/>
              </w:rPr>
              <w:t>630,000</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Time-Based RSUs</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5/1/2025</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4"/>
              </w:rPr>
              <w:t xml:space="preserve">269,905 </w:t>
            </w:r>
            <w:r>
              <w:rPr>
                <w:rFonts w:ascii="Arial" w:cs="Arial" w:eastAsia="Arial" w:hAnsi="Arial"/>
                <w:sz w:val="15"/>
                <w:szCs w:val="15"/>
                <w:color w:val="auto"/>
                <w:w w:val="94"/>
                <w:vertAlign w:val="superscript"/>
              </w:rPr>
              <w:t>(7)</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$1,924,423</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Time-Based RSUs</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5/1/2025</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4"/>
              </w:rPr>
              <w:t xml:space="preserve">127,629 </w:t>
            </w:r>
            <w:r>
              <w:rPr>
                <w:rFonts w:ascii="Arial" w:cs="Arial" w:eastAsia="Arial" w:hAnsi="Arial"/>
                <w:sz w:val="15"/>
                <w:szCs w:val="15"/>
                <w:color w:val="auto"/>
                <w:w w:val="94"/>
                <w:vertAlign w:val="superscript"/>
              </w:rPr>
              <w:t>(8)</w:t>
            </w:r>
          </w:p>
        </w:tc>
        <w:tc>
          <w:tcPr>
            <w:tcW w:w="1040" w:type="dxa"/>
            <w:vAlign w:val="bottom"/>
          </w:tcPr>
          <w:p>
            <w:pPr>
              <w:jc w:val="center"/>
              <w:spacing w:after="0"/>
              <w:rPr>
                <w:sz w:val="20"/>
                <w:szCs w:val="20"/>
                <w:color w:val="auto"/>
              </w:rPr>
            </w:pPr>
            <w:r>
              <w:rPr>
                <w:rFonts w:ascii="Arial" w:cs="Arial" w:eastAsia="Arial" w:hAnsi="Arial"/>
                <w:sz w:val="12"/>
                <w:szCs w:val="12"/>
                <w:color w:val="auto"/>
                <w:w w:val="95"/>
              </w:rPr>
              <w:t>$909,995</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PSUs</w:t>
            </w:r>
          </w:p>
        </w:tc>
        <w:tc>
          <w:tcPr>
            <w:tcW w:w="840" w:type="dxa"/>
            <w:vAlign w:val="bottom"/>
          </w:tcPr>
          <w:p>
            <w:pPr>
              <w:jc w:val="center"/>
              <w:spacing w:after="0"/>
              <w:rPr>
                <w:sz w:val="20"/>
                <w:szCs w:val="20"/>
                <w:color w:val="auto"/>
              </w:rPr>
            </w:pPr>
            <w:r>
              <w:rPr>
                <w:rFonts w:ascii="Arial" w:cs="Arial" w:eastAsia="Arial" w:hAnsi="Arial"/>
                <w:sz w:val="12"/>
                <w:szCs w:val="12"/>
                <w:color w:val="auto"/>
                <w:w w:val="98"/>
              </w:rPr>
              <w:t>5/1/2025</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94"/>
              </w:rPr>
              <w:t xml:space="preserve">236,167 </w:t>
            </w:r>
            <w:r>
              <w:rPr>
                <w:rFonts w:ascii="Arial" w:cs="Arial" w:eastAsia="Arial" w:hAnsi="Arial"/>
                <w:sz w:val="15"/>
                <w:szCs w:val="15"/>
                <w:color w:val="auto"/>
                <w:w w:val="94"/>
                <w:vertAlign w:val="superscript"/>
              </w:rPr>
              <w:t>(5)</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$1,317,222</w:t>
            </w:r>
          </w:p>
        </w:tc>
        <w:tc>
          <w:tcPr>
            <w:tcW w:w="0" w:type="dxa"/>
            <w:vAlign w:val="bottom"/>
          </w:tcPr>
          <w:p>
            <w:pPr>
              <w:spacing w:after="0"/>
              <w:rPr>
                <w:sz w:val="1"/>
                <w:szCs w:val="1"/>
                <w:color w:val="auto"/>
              </w:rPr>
            </w:pPr>
          </w:p>
        </w:tc>
      </w:tr>
      <w:tr>
        <w:trPr>
          <w:trHeight w:val="176"/>
        </w:trPr>
        <w:tc>
          <w:tcPr>
            <w:tcW w:w="1820" w:type="dxa"/>
            <w:vAlign w:val="bottom"/>
            <w:tcBorders>
              <w:bottom w:val="single" w:sz="8" w:color="003595"/>
            </w:tcBorders>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PSUs</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8"/>
              </w:rPr>
              <w:t>6/5/2025</w:t>
            </w:r>
          </w:p>
        </w:tc>
        <w:tc>
          <w:tcPr>
            <w:tcW w:w="820" w:type="dxa"/>
            <w:vAlign w:val="bottom"/>
            <w:tcBorders>
              <w:bottom w:val="single" w:sz="8" w:color="003595"/>
            </w:tcBorders>
          </w:tcPr>
          <w:p>
            <w:pPr>
              <w:spacing w:after="0"/>
              <w:rPr>
                <w:sz w:val="15"/>
                <w:szCs w:val="15"/>
                <w:color w:val="auto"/>
              </w:rPr>
            </w:pPr>
          </w:p>
        </w:tc>
        <w:tc>
          <w:tcPr>
            <w:tcW w:w="660" w:type="dxa"/>
            <w:vAlign w:val="bottom"/>
            <w:tcBorders>
              <w:bottom w:val="single" w:sz="8" w:color="003595"/>
            </w:tcBorders>
          </w:tcPr>
          <w:p>
            <w:pPr>
              <w:spacing w:after="0"/>
              <w:rPr>
                <w:sz w:val="15"/>
                <w:szCs w:val="15"/>
                <w:color w:val="auto"/>
              </w:rPr>
            </w:pPr>
          </w:p>
        </w:tc>
        <w:tc>
          <w:tcPr>
            <w:tcW w:w="860" w:type="dxa"/>
            <w:vAlign w:val="bottom"/>
            <w:tcBorders>
              <w:bottom w:val="single" w:sz="8" w:color="003595"/>
            </w:tcBorders>
          </w:tcPr>
          <w:p>
            <w:pPr>
              <w:spacing w:after="0"/>
              <w:rPr>
                <w:sz w:val="15"/>
                <w:szCs w:val="15"/>
                <w:color w:val="auto"/>
              </w:rPr>
            </w:pP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95,722</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127,629</w:t>
            </w: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191,444</w:t>
            </w:r>
          </w:p>
        </w:tc>
        <w:tc>
          <w:tcPr>
            <w:tcW w:w="800" w:type="dxa"/>
            <w:vAlign w:val="bottom"/>
            <w:tcBorders>
              <w:bottom w:val="single" w:sz="8" w:color="003595"/>
            </w:tcBorders>
          </w:tcPr>
          <w:p>
            <w:pPr>
              <w:spacing w:after="0"/>
              <w:rPr>
                <w:sz w:val="15"/>
                <w:szCs w:val="15"/>
                <w:color w:val="auto"/>
              </w:rPr>
            </w:pPr>
          </w:p>
        </w:tc>
        <w:tc>
          <w:tcPr>
            <w:tcW w:w="10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5"/>
              </w:rPr>
              <w:t>$650,258</w:t>
            </w:r>
          </w:p>
        </w:tc>
        <w:tc>
          <w:tcPr>
            <w:tcW w:w="0" w:type="dxa"/>
            <w:vAlign w:val="bottom"/>
          </w:tcPr>
          <w:p>
            <w:pPr>
              <w:spacing w:after="0"/>
              <w:rPr>
                <w:sz w:val="1"/>
                <w:szCs w:val="1"/>
                <w:color w:val="auto"/>
              </w:rPr>
            </w:pPr>
          </w:p>
        </w:tc>
      </w:tr>
      <w:tr>
        <w:trPr>
          <w:trHeight w:val="183"/>
        </w:trPr>
        <w:tc>
          <w:tcPr>
            <w:tcW w:w="1820" w:type="dxa"/>
            <w:vAlign w:val="bottom"/>
          </w:tcPr>
          <w:p>
            <w:pPr>
              <w:ind w:left="20"/>
              <w:spacing w:after="0"/>
              <w:rPr>
                <w:sz w:val="20"/>
                <w:szCs w:val="20"/>
                <w:color w:val="auto"/>
              </w:rPr>
            </w:pPr>
            <w:r>
              <w:rPr>
                <w:rFonts w:ascii="Arial" w:cs="Arial" w:eastAsia="Arial" w:hAnsi="Arial"/>
                <w:sz w:val="12"/>
                <w:szCs w:val="12"/>
                <w:color w:val="auto"/>
              </w:rPr>
              <w:t>Dale Muzzey, Ph.D.</w:t>
            </w: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Short-term Cash Incentive Bonus</w:t>
            </w:r>
          </w:p>
        </w:tc>
        <w:tc>
          <w:tcPr>
            <w:tcW w:w="8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6"/>
              </w:rPr>
              <w:t>126,600</w:t>
            </w:r>
          </w:p>
        </w:tc>
        <w:tc>
          <w:tcPr>
            <w:tcW w:w="660" w:type="dxa"/>
            <w:vAlign w:val="bottom"/>
          </w:tcPr>
          <w:p>
            <w:pPr>
              <w:jc w:val="center"/>
              <w:spacing w:after="0"/>
              <w:rPr>
                <w:sz w:val="20"/>
                <w:szCs w:val="20"/>
                <w:color w:val="auto"/>
              </w:rPr>
            </w:pPr>
            <w:r>
              <w:rPr>
                <w:rFonts w:ascii="Arial" w:cs="Arial" w:eastAsia="Arial" w:hAnsi="Arial"/>
                <w:sz w:val="12"/>
                <w:szCs w:val="12"/>
                <w:color w:val="auto"/>
                <w:w w:val="96"/>
              </w:rPr>
              <w:t>253,200</w:t>
            </w: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96"/>
              </w:rPr>
              <w:t>379,800</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Time-Based RSUs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3/13/2025</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75,773</w:t>
            </w:r>
          </w:p>
        </w:tc>
        <w:tc>
          <w:tcPr>
            <w:tcW w:w="1040" w:type="dxa"/>
            <w:vAlign w:val="bottom"/>
          </w:tcPr>
          <w:p>
            <w:pPr>
              <w:jc w:val="center"/>
              <w:spacing w:after="0"/>
              <w:rPr>
                <w:sz w:val="20"/>
                <w:szCs w:val="20"/>
                <w:color w:val="auto"/>
              </w:rPr>
            </w:pPr>
            <w:r>
              <w:rPr>
                <w:rFonts w:ascii="Arial" w:cs="Arial" w:eastAsia="Arial" w:hAnsi="Arial"/>
                <w:sz w:val="12"/>
                <w:szCs w:val="12"/>
                <w:color w:val="auto"/>
                <w:w w:val="95"/>
              </w:rPr>
              <w:t>$734,998</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003595"/>
            </w:tcBorders>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PSUs</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8"/>
              </w:rPr>
              <w:t>6/5/2025</w:t>
            </w:r>
          </w:p>
        </w:tc>
        <w:tc>
          <w:tcPr>
            <w:tcW w:w="820" w:type="dxa"/>
            <w:vAlign w:val="bottom"/>
            <w:tcBorders>
              <w:bottom w:val="single" w:sz="8" w:color="003595"/>
            </w:tcBorders>
          </w:tcPr>
          <w:p>
            <w:pPr>
              <w:spacing w:after="0"/>
              <w:rPr>
                <w:sz w:val="15"/>
                <w:szCs w:val="15"/>
                <w:color w:val="auto"/>
              </w:rPr>
            </w:pPr>
          </w:p>
        </w:tc>
        <w:tc>
          <w:tcPr>
            <w:tcW w:w="660" w:type="dxa"/>
            <w:vAlign w:val="bottom"/>
            <w:tcBorders>
              <w:bottom w:val="single" w:sz="8" w:color="003595"/>
            </w:tcBorders>
          </w:tcPr>
          <w:p>
            <w:pPr>
              <w:spacing w:after="0"/>
              <w:rPr>
                <w:sz w:val="15"/>
                <w:szCs w:val="15"/>
                <w:color w:val="auto"/>
              </w:rPr>
            </w:pPr>
          </w:p>
        </w:tc>
        <w:tc>
          <w:tcPr>
            <w:tcW w:w="860" w:type="dxa"/>
            <w:vAlign w:val="bottom"/>
            <w:tcBorders>
              <w:bottom w:val="single" w:sz="8" w:color="003595"/>
            </w:tcBorders>
          </w:tcPr>
          <w:p>
            <w:pPr>
              <w:spacing w:after="0"/>
              <w:rPr>
                <w:sz w:val="15"/>
                <w:szCs w:val="15"/>
                <w:color w:val="auto"/>
              </w:rPr>
            </w:pP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56,830</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75,773</w:t>
            </w: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113,660</w:t>
            </w:r>
          </w:p>
        </w:tc>
        <w:tc>
          <w:tcPr>
            <w:tcW w:w="800" w:type="dxa"/>
            <w:vAlign w:val="bottom"/>
            <w:tcBorders>
              <w:bottom w:val="single" w:sz="8" w:color="003595"/>
            </w:tcBorders>
          </w:tcPr>
          <w:p>
            <w:pPr>
              <w:spacing w:after="0"/>
              <w:rPr>
                <w:sz w:val="15"/>
                <w:szCs w:val="15"/>
                <w:color w:val="auto"/>
              </w:rPr>
            </w:pPr>
          </w:p>
        </w:tc>
        <w:tc>
          <w:tcPr>
            <w:tcW w:w="10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5"/>
              </w:rPr>
              <w:t>$386,056</w:t>
            </w:r>
          </w:p>
        </w:tc>
        <w:tc>
          <w:tcPr>
            <w:tcW w:w="0" w:type="dxa"/>
            <w:vAlign w:val="bottom"/>
          </w:tcPr>
          <w:p>
            <w:pPr>
              <w:spacing w:after="0"/>
              <w:rPr>
                <w:sz w:val="1"/>
                <w:szCs w:val="1"/>
                <w:color w:val="auto"/>
              </w:rPr>
            </w:pPr>
          </w:p>
        </w:tc>
      </w:tr>
      <w:tr>
        <w:trPr>
          <w:trHeight w:val="183"/>
        </w:trPr>
        <w:tc>
          <w:tcPr>
            <w:tcW w:w="1820" w:type="dxa"/>
            <w:vAlign w:val="bottom"/>
          </w:tcPr>
          <w:p>
            <w:pPr>
              <w:ind w:left="20"/>
              <w:spacing w:after="0"/>
              <w:rPr>
                <w:sz w:val="20"/>
                <w:szCs w:val="20"/>
                <w:color w:val="auto"/>
              </w:rPr>
            </w:pPr>
            <w:r>
              <w:rPr>
                <w:rFonts w:ascii="Arial" w:cs="Arial" w:eastAsia="Arial" w:hAnsi="Arial"/>
                <w:sz w:val="12"/>
                <w:szCs w:val="12"/>
                <w:color w:val="auto"/>
              </w:rPr>
              <w:t>Margaret Ancona</w:t>
            </w: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Short-term Cash Incentive Bonus</w:t>
            </w:r>
          </w:p>
        </w:tc>
        <w:tc>
          <w:tcPr>
            <w:tcW w:w="8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7"/>
              </w:rPr>
              <w:t>96,250</w:t>
            </w:r>
          </w:p>
        </w:tc>
        <w:tc>
          <w:tcPr>
            <w:tcW w:w="660" w:type="dxa"/>
            <w:vAlign w:val="bottom"/>
          </w:tcPr>
          <w:p>
            <w:pPr>
              <w:jc w:val="center"/>
              <w:spacing w:after="0"/>
              <w:rPr>
                <w:sz w:val="20"/>
                <w:szCs w:val="20"/>
                <w:color w:val="auto"/>
              </w:rPr>
            </w:pPr>
            <w:r>
              <w:rPr>
                <w:rFonts w:ascii="Arial" w:cs="Arial" w:eastAsia="Arial" w:hAnsi="Arial"/>
                <w:sz w:val="12"/>
                <w:szCs w:val="12"/>
                <w:color w:val="auto"/>
                <w:w w:val="96"/>
              </w:rPr>
              <w:t>192,500</w:t>
            </w: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96"/>
              </w:rPr>
              <w:t>288,750</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20" w:type="dxa"/>
            <w:vAlign w:val="bottom"/>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6"/>
              </w:rPr>
              <w:t>Time-Based RSUs</w:t>
            </w:r>
          </w:p>
        </w:tc>
        <w:tc>
          <w:tcPr>
            <w:tcW w:w="840" w:type="dxa"/>
            <w:vAlign w:val="bottom"/>
          </w:tcPr>
          <w:p>
            <w:pPr>
              <w:jc w:val="center"/>
              <w:spacing w:after="0"/>
              <w:rPr>
                <w:sz w:val="20"/>
                <w:szCs w:val="20"/>
                <w:color w:val="auto"/>
              </w:rPr>
            </w:pPr>
            <w:r>
              <w:rPr>
                <w:rFonts w:ascii="Arial" w:cs="Arial" w:eastAsia="Arial" w:hAnsi="Arial"/>
                <w:sz w:val="12"/>
                <w:szCs w:val="12"/>
                <w:color w:val="auto"/>
                <w:w w:val="97"/>
              </w:rPr>
              <w:t>3/13/2025</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54,124</w:t>
            </w:r>
          </w:p>
        </w:tc>
        <w:tc>
          <w:tcPr>
            <w:tcW w:w="1040" w:type="dxa"/>
            <w:vAlign w:val="bottom"/>
          </w:tcPr>
          <w:p>
            <w:pPr>
              <w:jc w:val="center"/>
              <w:spacing w:after="0"/>
              <w:rPr>
                <w:sz w:val="20"/>
                <w:szCs w:val="20"/>
                <w:color w:val="auto"/>
              </w:rPr>
            </w:pPr>
            <w:r>
              <w:rPr>
                <w:rFonts w:ascii="Arial" w:cs="Arial" w:eastAsia="Arial" w:hAnsi="Arial"/>
                <w:sz w:val="12"/>
                <w:szCs w:val="12"/>
                <w:color w:val="auto"/>
                <w:w w:val="95"/>
              </w:rPr>
              <w:t>$525,003</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003595"/>
            </w:tcBorders>
          </w:tcPr>
          <w:p>
            <w:pPr>
              <w:spacing w:after="0"/>
              <w:rPr>
                <w:sz w:val="15"/>
                <w:szCs w:val="15"/>
                <w:color w:val="auto"/>
              </w:rPr>
            </w:pPr>
          </w:p>
        </w:tc>
        <w:tc>
          <w:tcPr>
            <w:tcW w:w="208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PSUs</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8"/>
              </w:rPr>
              <w:t>6/5/2025</w:t>
            </w:r>
          </w:p>
        </w:tc>
        <w:tc>
          <w:tcPr>
            <w:tcW w:w="820" w:type="dxa"/>
            <w:vAlign w:val="bottom"/>
            <w:tcBorders>
              <w:bottom w:val="single" w:sz="8" w:color="003595"/>
            </w:tcBorders>
          </w:tcPr>
          <w:p>
            <w:pPr>
              <w:spacing w:after="0"/>
              <w:rPr>
                <w:sz w:val="15"/>
                <w:szCs w:val="15"/>
                <w:color w:val="auto"/>
              </w:rPr>
            </w:pPr>
          </w:p>
        </w:tc>
        <w:tc>
          <w:tcPr>
            <w:tcW w:w="660" w:type="dxa"/>
            <w:vAlign w:val="bottom"/>
            <w:tcBorders>
              <w:bottom w:val="single" w:sz="8" w:color="003595"/>
            </w:tcBorders>
          </w:tcPr>
          <w:p>
            <w:pPr>
              <w:spacing w:after="0"/>
              <w:rPr>
                <w:sz w:val="15"/>
                <w:szCs w:val="15"/>
                <w:color w:val="auto"/>
              </w:rPr>
            </w:pPr>
          </w:p>
        </w:tc>
        <w:tc>
          <w:tcPr>
            <w:tcW w:w="860" w:type="dxa"/>
            <w:vAlign w:val="bottom"/>
            <w:tcBorders>
              <w:bottom w:val="single" w:sz="8" w:color="003595"/>
            </w:tcBorders>
          </w:tcPr>
          <w:p>
            <w:pPr>
              <w:spacing w:after="0"/>
              <w:rPr>
                <w:sz w:val="15"/>
                <w:szCs w:val="15"/>
                <w:color w:val="auto"/>
              </w:rPr>
            </w:pP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40,592</w:t>
            </w:r>
          </w:p>
        </w:tc>
        <w:tc>
          <w:tcPr>
            <w:tcW w:w="8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54,123</w:t>
            </w:r>
          </w:p>
        </w:tc>
        <w:tc>
          <w:tcPr>
            <w:tcW w:w="7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7"/>
              </w:rPr>
              <w:t>81,185</w:t>
            </w:r>
          </w:p>
        </w:tc>
        <w:tc>
          <w:tcPr>
            <w:tcW w:w="800" w:type="dxa"/>
            <w:vAlign w:val="bottom"/>
            <w:tcBorders>
              <w:bottom w:val="single" w:sz="8" w:color="3051F2"/>
            </w:tcBorders>
          </w:tcPr>
          <w:p>
            <w:pPr>
              <w:spacing w:after="0"/>
              <w:rPr>
                <w:sz w:val="15"/>
                <w:szCs w:val="15"/>
                <w:color w:val="auto"/>
              </w:rPr>
            </w:pPr>
          </w:p>
        </w:tc>
        <w:tc>
          <w:tcPr>
            <w:tcW w:w="10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5"/>
              </w:rPr>
              <w:t>$275,751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-3830955</wp:posOffset>
            </wp:positionV>
            <wp:extent cx="48177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17745" cy="8890"/>
                    </a:xfrm>
                    <a:prstGeom prst="rect">
                      <a:avLst/>
                    </a:prstGeom>
                    <a:noFill/>
                  </pic:spPr>
                </pic:pic>
              </a:graphicData>
            </a:graphic>
          </wp:anchor>
        </w:drawing>
      </w:r>
    </w:p>
    <w:p>
      <w:pPr>
        <w:spacing w:after="0" w:line="300" w:lineRule="exact"/>
        <w:rPr>
          <w:sz w:val="20"/>
          <w:szCs w:val="20"/>
          <w:color w:val="auto"/>
        </w:rPr>
      </w:pPr>
    </w:p>
    <w:p>
      <w:pPr>
        <w:jc w:val="both"/>
        <w:ind w:left="660" w:hanging="328"/>
        <w:spacing w:after="0" w:line="270" w:lineRule="auto"/>
        <w:tabs>
          <w:tab w:leader="none" w:pos="652"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amounts represent the threshold, target, and maximum estimated payouts for awards granted under our 2025 short-term cash incentive program. The actual value of the bonuses paid to our NEOs for 2025 can be found above in the “Non-Equity Incentive Plan Compensation” column of the Summary Compensation Table. For additional information regarding 2025 short-term cash incentive program, please see the section above entitled “Compensation Discussion and Analysis - 2025 Named Executive Officer Compensation—Short-Term Incentive Awards”.</w:t>
      </w:r>
    </w:p>
    <w:p>
      <w:pPr>
        <w:spacing w:after="0" w:line="209" w:lineRule="exact"/>
        <w:rPr>
          <w:rFonts w:ascii="Arial" w:cs="Arial" w:eastAsia="Arial" w:hAnsi="Arial"/>
          <w:sz w:val="12"/>
          <w:szCs w:val="12"/>
          <w:color w:val="auto"/>
        </w:rPr>
      </w:pPr>
    </w:p>
    <w:p>
      <w:pPr>
        <w:jc w:val="both"/>
        <w:ind w:left="660" w:hanging="328"/>
        <w:spacing w:after="0" w:line="239" w:lineRule="auto"/>
        <w:tabs>
          <w:tab w:leader="none" w:pos="652"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amounts represent the threshold, target and maximum number of our shares that may be awarded with respect to the PSUs awarded to our NEOs on June 5, 2025 and with respect to the PSUs awarded to Mr. Wheeler on August 16, 2025. Performance is based on revenue and adjusted EPS targets and relative total stockholder return measured against the IXHC using the 20-trading day average at the beginning and end of the measurement period. The revenue and adjusted EPS metrics will be measured based on results for the year ended December 31, 2027 and the measurement period for the relative total stockholder return metric is January 1, 2025 to December 31, 2027. To the extent that the PSUs are determined to have been earned based on the performance metrics, the PSUs will vest on March 13, 2028.</w:t>
      </w:r>
    </w:p>
    <w:p>
      <w:pPr>
        <w:spacing w:after="0" w:line="227" w:lineRule="exact"/>
        <w:rPr>
          <w:rFonts w:ascii="Arial" w:cs="Arial" w:eastAsia="Arial" w:hAnsi="Arial"/>
          <w:sz w:val="13"/>
          <w:szCs w:val="13"/>
          <w:color w:val="auto"/>
        </w:rPr>
      </w:pPr>
    </w:p>
    <w:p>
      <w:pPr>
        <w:ind w:left="660" w:hanging="328"/>
        <w:spacing w:after="0" w:line="243" w:lineRule="auto"/>
        <w:tabs>
          <w:tab w:leader="none" w:pos="652" w:val="left"/>
        </w:tabs>
        <w:numPr>
          <w:ilvl w:val="0"/>
          <w:numId w:val="56"/>
        </w:numPr>
        <w:rPr>
          <w:rFonts w:ascii="Arial" w:cs="Arial" w:eastAsia="Arial" w:hAnsi="Arial"/>
          <w:sz w:val="13"/>
          <w:szCs w:val="13"/>
          <w:color w:val="auto"/>
        </w:rPr>
      </w:pPr>
      <w:r>
        <w:rPr>
          <w:rFonts w:ascii="Arial" w:cs="Arial" w:eastAsia="Arial" w:hAnsi="Arial"/>
          <w:sz w:val="13"/>
          <w:szCs w:val="13"/>
          <w:color w:val="auto"/>
        </w:rPr>
        <w:t>Except where otherwise noted, the amounts represent the number of time-based RSUs granted to our NEOs on March 13, 2025. 33.3% of these RSUs vested on March 13, 2026 and the remaining RSUs vest 33.3% on March 13, 2027 and 33.3% on March 13, 2028.</w:t>
      </w:r>
    </w:p>
    <w:p>
      <w:pPr>
        <w:sectPr>
          <w:pgSz w:w="11900" w:h="16838" w:orient="portrait"/>
          <w:cols w:equalWidth="0" w:num="1">
            <w:col w:w="11240"/>
          </w:cols>
          <w:pgMar w:left="320" w:top="10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58" w:name="page59"/>
    <w:bookmarkEnd w:id="58"/>
    <w:p>
      <w:pPr>
        <w:jc w:val="both"/>
        <w:ind w:left="660" w:hanging="328"/>
        <w:spacing w:after="0" w:line="235" w:lineRule="auto"/>
        <w:tabs>
          <w:tab w:leader="none" w:pos="652"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amounts represent the grant date fair value calculated in accordance with FASB ASC Topic 718 and, (a) in the case of RSUs granted on March 13, 2025, are based on the closing price of our common stock on the Nasdaq Global Select Market on March 13, 2025 of $9.70, (b) in the case of PSUs that vest based on performance and market conditions that were granted on June 5, 2025, are based on a weighted-average value per award of $5.09 (67% of the PSUs have a performance condition based on the closing price of our common stock on the Nasdaq Global Select Market on June 5, 2025 of $4.92 and the other 33% of the PSUs have a market condition and are valued using a Monte Carlo valuation model which resulted in a value of $5.45), (c) in the case of PSUs that vest based on performance and market conditions that were granted on August 16, 2025, are based on a weighted-average value per award of $5.96 (67% of the PSUs have a performance condition based on the closing price of our common stock on the Nasdaq Global Select Market on August 16, 2025 of $5.71 and the other 33% of the PSUs have a market condition and are valued using a Monte Carlo valuation model which resulted in a value of $6.46), (d) in the case of PSUs granted to Mr. Raha, Mr. Verratti, and Mr. Donnelly that vest based on achievement of specified stock price milestones that were granted on April 30, 2025 and May 1, 2025, are based on a weighted-average value per award of $5.58 (100% of the PSUs have a market condition and are valued using a Monte Carlo valuation model), (e) in case of the RSUs granted to Mr. Donnelly on May 1, 2025, are based on the closing price of our common stock on the Nasdaq Global Select Market on May 1, 2025 of $7.13, and (f) in case of the RSUs granted to Mr. Wheeler on August 16, 2025, are based on the closing price of our common stock on the Nasdaq Global Select Market on August 16, 2025 of $5.71.</w:t>
      </w:r>
    </w:p>
    <w:p>
      <w:pPr>
        <w:spacing w:after="0" w:line="225" w:lineRule="exact"/>
        <w:rPr>
          <w:rFonts w:ascii="Arial" w:cs="Arial" w:eastAsia="Arial" w:hAnsi="Arial"/>
          <w:sz w:val="13"/>
          <w:szCs w:val="13"/>
          <w:color w:val="auto"/>
        </w:rPr>
      </w:pPr>
    </w:p>
    <w:p>
      <w:pPr>
        <w:jc w:val="both"/>
        <w:ind w:left="660" w:hanging="328"/>
        <w:spacing w:after="0"/>
        <w:tabs>
          <w:tab w:leader="none" w:pos="652"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the number of shares that may be awarded with respect to the PSUs awarded to Mr. Raha and Mr. Verratti on April 30, 2025 and to Mr. Donnelly on May 1, 2025. Performance is based on achievement of specified stock price milestones and the PSUs are valued using a Monte Carlo valuation model which resulted in a weighted-average value of $5.58. These PSUs will vest in 25% increments upon the achievement of each of four stock price milestones, subject to the executive's continued service through the applicable vesting date; provided; however, that no portion of the PSUs may vest earlier than April 30, 2026 for Mr. Raha and Mr. Verratti and May 1, 2026 for Mr. Donnelly.</w:t>
      </w:r>
    </w:p>
    <w:p>
      <w:pPr>
        <w:spacing w:after="0" w:line="225" w:lineRule="exact"/>
        <w:rPr>
          <w:rFonts w:ascii="Arial" w:cs="Arial" w:eastAsia="Arial" w:hAnsi="Arial"/>
          <w:sz w:val="13"/>
          <w:szCs w:val="13"/>
          <w:color w:val="auto"/>
        </w:rPr>
      </w:pPr>
    </w:p>
    <w:p>
      <w:pPr>
        <w:ind w:left="660" w:hanging="328"/>
        <w:spacing w:after="0" w:line="264" w:lineRule="auto"/>
        <w:tabs>
          <w:tab w:leader="none" w:pos="652"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time-based RSUs granted to Mr. Wheeler on August 16, 2025 in connection with his appointment as Chief Financial Officer. These RSUs vest 33% on August 16, 2026, 33% on August 16, 2027, and 33% on August 16, 2028.</w:t>
      </w:r>
    </w:p>
    <w:p>
      <w:pPr>
        <w:spacing w:after="0" w:line="197" w:lineRule="exact"/>
        <w:rPr>
          <w:rFonts w:ascii="Arial" w:cs="Arial" w:eastAsia="Arial" w:hAnsi="Arial"/>
          <w:sz w:val="13"/>
          <w:szCs w:val="13"/>
          <w:color w:val="auto"/>
        </w:rPr>
      </w:pPr>
    </w:p>
    <w:p>
      <w:pPr>
        <w:ind w:left="660" w:right="20" w:hanging="328"/>
        <w:spacing w:after="0" w:line="264" w:lineRule="auto"/>
        <w:tabs>
          <w:tab w:leader="none" w:pos="652"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time-based RSUs granted to Mr. Donnelly on May 1, 2025 as an initial equity award in connection with his appointment as Chief Commercial Officer. These RSUs vest 25% on May 1, 2026, 25% on May 1, 2027, 25% on May 1, 2028, and 25% on May 1, 2029.</w:t>
      </w:r>
    </w:p>
    <w:p>
      <w:pPr>
        <w:spacing w:after="0" w:line="211" w:lineRule="exact"/>
        <w:rPr>
          <w:rFonts w:ascii="Arial" w:cs="Arial" w:eastAsia="Arial" w:hAnsi="Arial"/>
          <w:sz w:val="13"/>
          <w:szCs w:val="13"/>
          <w:color w:val="auto"/>
        </w:rPr>
      </w:pPr>
    </w:p>
    <w:p>
      <w:pPr>
        <w:ind w:left="660" w:hanging="328"/>
        <w:spacing w:after="0" w:line="243" w:lineRule="auto"/>
        <w:tabs>
          <w:tab w:leader="none" w:pos="652"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time-based RSUs granted to Mr. Donnelly on May 1, 2025 as an initial annual equity award in connection with his appointment as Chief Commercial Officer. These RSUs vest 33% on May 1, 2026, 33% on May 1, 2027, and 33% on May 1, 2028.</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Narrative Disclosure to Summary Compensation Table and 2025 Grants of Plan-Based Awards Table</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entered into standard form employment agreements with each of our NEOs who are currently employed by us. Pursuant to these standard form employment agreements, which have no defined term, either party may terminate employment without cause at any time upon a specified period of written notice to the other party or immediately with cause upon written notice to the other party. Each employment agreement also provides that the employee will not disclose confidential information of ours during and after employment and includes standard restrictive covenants. Since the dates we entered into each of these employment agreements with our NEOs, the compensation paid to each NEO may have been increased and additional equity awards may have been granted, the most recent of which are discussed below.</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also entered into a Severance and Change of Control Agreement with each NEO who is currently employed by us. These agreements, which are discussed below under “Potential Payments Upon Termination or Change of Control” later in this proxy statement, provide certain benefits to each NEO upon a change-of-control transaction and/or termination of employment with us.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Mr. Raha </w:t>
      </w:r>
      <w:r>
        <w:rPr>
          <w:rFonts w:ascii="Arial" w:cs="Arial" w:eastAsia="Arial" w:hAnsi="Arial"/>
          <w:sz w:val="16"/>
          <w:szCs w:val="16"/>
          <w:color w:val="auto"/>
        </w:rPr>
        <w:t>was appointed to the position of President and Chief Executive Officer effective as of April 30, 2025, and in connection with his appointment, we</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into the Raha Employment Agreement with Mr. Raha. Prior to his appointment as President and Chief Executive Officer, Mr. Raha served as Chief Operating Officer, a position he held since December 2023. As determined by our CHCC, Mr. Raha received a salary of $856,901 for 2025. His incentive cash bonus for 2025 was $814,660. On March 13, 2025, Mr. Raha was granted 216,495 RSUs, which are subject to time-based vesting requirements (33.3% each year over a three-year period). On April 30, 2025, in connection with his promotion to Chief Executive Officer, Mr. Raha received a one-time grant of 141,050 PSUs subject to performance-based vesting in four equal installments based upon the achievement of certain stock price targets, provided that no portion of these PSUs may vest earlier than April 30, 2026. On June 5, 2025, Mr. Raha was granted 216,495 PSUs, which are subject to the achievement of revenue and adjusted EPS targets based on results for the year ended December 31, 2027 and relative total stockholder return targets over a three-year measurement period ending December 31, 2027.</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Mr. Diaz </w:t>
      </w:r>
      <w:r>
        <w:rPr>
          <w:rFonts w:ascii="Arial" w:cs="Arial" w:eastAsia="Arial" w:hAnsi="Arial"/>
          <w:sz w:val="16"/>
          <w:szCs w:val="16"/>
          <w:color w:val="auto"/>
        </w:rPr>
        <w:t>was appointed to the position of President and Chief Executive Officer on August 13, 2020, and entered into an employment agreement with us at</w:t>
      </w:r>
      <w:r>
        <w:rPr>
          <w:rFonts w:ascii="Arial" w:cs="Arial" w:eastAsia="Arial" w:hAnsi="Arial"/>
          <w:sz w:val="16"/>
          <w:szCs w:val="16"/>
          <w:b w:val="1"/>
          <w:bCs w:val="1"/>
          <w:color w:val="auto"/>
        </w:rPr>
        <w:t xml:space="preserve"> </w:t>
      </w:r>
      <w:r>
        <w:rPr>
          <w:rFonts w:ascii="Arial" w:cs="Arial" w:eastAsia="Arial" w:hAnsi="Arial"/>
          <w:sz w:val="16"/>
          <w:szCs w:val="16"/>
          <w:color w:val="auto"/>
        </w:rPr>
        <w:t>that time. On February 24, 2025, Mr. Diaz notified the Board that he would step down from his position as our President and Chief Executive Officer, and resign from the Board, in each case, effective as of the Transition Effective Date. In connection with Mr. Diaz's voluntary resignation, we entered into the Diaz Consulting Agreement with Mr. Diaz under which Mr. Diaz agreed to serve as an advisor to the Company to help ensure a smooth transition of his duties until April 30, 2026. Pursuant to the Diaz Consulting Agreement, Mr. Diaz is entitled to receive (i) a consulting fee of $375,000 (payable in 12 equal monthly installments over the consulting term) and (ii) each of Mr. Diaz’s outstanding equity awards, including the time-based and performance based non-qualified stock options originally granted as inducement awards outside of the Company’s 2017 Plan, remain eligible for vesting through the end of the consulting term and remain exercisable in accordance with their respective terms under the applicable inducement award agreements and the Company’s 2017 Plan.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9" w:name="page60"/>
    <w:bookmarkEnd w:id="59"/>
    <w:p>
      <w:pPr>
        <w:jc w:val="both"/>
        <w:spacing w:after="0" w:line="257" w:lineRule="auto"/>
        <w:rPr>
          <w:sz w:val="20"/>
          <w:szCs w:val="20"/>
          <w:color w:val="auto"/>
        </w:rPr>
      </w:pPr>
      <w:r>
        <w:rPr>
          <w:rFonts w:ascii="Arial" w:cs="Arial" w:eastAsia="Arial" w:hAnsi="Arial"/>
          <w:sz w:val="16"/>
          <w:szCs w:val="16"/>
          <w:b w:val="1"/>
          <w:bCs w:val="1"/>
          <w:color w:val="auto"/>
        </w:rPr>
        <w:t xml:space="preserve">Mr. Wheeler </w:t>
      </w:r>
      <w:r>
        <w:rPr>
          <w:rFonts w:ascii="Arial" w:cs="Arial" w:eastAsia="Arial" w:hAnsi="Arial"/>
          <w:sz w:val="16"/>
          <w:szCs w:val="16"/>
          <w:color w:val="auto"/>
        </w:rPr>
        <w:t>joined Myriad in 2011 and served in various roles of increasing responsibility over the past thirteen years, including as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Controller, from December 2014 to June 2018. He was appointed Senior Vice President, Accounting in June 2018 and served in that role until July 2020, when he was appointed Senior Vice President of Finance and Treasurer. In June 2022, he was appointed Chief Financial Officer, Operations, and in August 2025, he was promoted to Chief Financial Officer. As determined by our CHCC, he received a salary of $408,493 for 2025. His incentive bonus for 2025 was $325,421. On March 13, 2025, Mr. Wheeler was granted 4,000 RSUs, which are subject to time-based vesting requirements (33.3% each year over a three-year period). On June 5, 2025, Mr. Wheeler was granted 4,000 PSUs, which are subject to the achievement of revenue and adjusted EPS targets based on results for the year ended December 31, 2027 and relative total stockholder return targets over a three-year measurement period ending December 31, 2027. On August 16, 2025, in connection with his promotion to Chief Financial Officer, Mr. Wheeler was granted 60,000 RSUs, which are subject to time-based vesting requirements (33.3% each year over a three-year period), and 60,000 PSUs, which are subject to the achievement of revenue and adjusted EPS targets based on results for the year ended December 31, 2027 results and relative total stockholder return targets over a three-year measurement period ending December 31, 2027.</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Mr. Leffler </w:t>
      </w:r>
      <w:r>
        <w:rPr>
          <w:rFonts w:ascii="Arial" w:cs="Arial" w:eastAsia="Arial" w:hAnsi="Arial"/>
          <w:sz w:val="16"/>
          <w:szCs w:val="16"/>
          <w:color w:val="auto"/>
        </w:rPr>
        <w:t>was appointed to the position of Chief Financial Officer on January 29, 2024, and entered into an employment agreement with us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therewith. Pursuant to the terms of Mr. Leffler's employment agreement, Mr. Leffler received an annual base salary during 2025 of $393,798. On March 13, 2025, Mr. Leffler was granted 72,165 RSUs, which were subject to time-based vesting requirements (33.3% each year over a three-year period). On June 5, 2025, Mr. Leffler was granted 72,165 PSUs, which were subject to the achievement of revenue and adjusted EPS targets results for the year ended December 31, 2027 and relative total stockholder return targets over a three-year measurement period ending December 31, 2027.</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August 15, 2025, Mr. Leffler ceased to serve as Chief Financial Officer and departed the Company on the Leffler Separation Date. In connection with his departure, Mr. Leffler did not receive any additional compensation beyond what he was otherwise entitled to under the standard terms of our executive severance agreements in connection with an involuntary termination without cause. On October 1, 2025, the Company entered into the Leffler Separation Agreement with Mr. Leffler pursuant to which Mr. Leffler received a lump sum severance payment of $1,239,384. In addition, all outstanding time-based equity awards previously granted to Mr. Leffler that were scheduled to vest on or before the date two years following the Leffler Separation Date were accelerated, provided that any annual vesting installments were deemed to vest in monthly installments over such two-year period. This resulted in the vesting of 165,461 shares, which included 58,132 of the RSUs granted on March 13, 2025. The remaining 14,033 RSUs from the March 13, 2025 grant were forfeited upon his departure. These accelerated shares had a value of $1,141,681 based on the $6.90 closing price of our common stock on the Leffler Separation Date. All 72,165 PSUs granted to Mr. Leffler on June 5, 2025, were forfeited upon his departure. However, 46,904 PSUs originally granted to Mr. Leffler on March 14, 2024, remain outstanding and eligible to vest based on actual performance through the end of the applicable performance period, provided that the performance conditions are satisfied on or before the date two years following the Leffler Separation Date, such award will, to the extent so earned, vest to the extent scheduled to vest within such two-year period. The foregoing severance and other consideration payable to Mr. Leffler is being made pursuant to the terms of Mr. Leffler's Severance and Change of Control Agreement.</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auto"/>
        </w:rPr>
        <w:t xml:space="preserve">Mr. Verratti </w:t>
      </w:r>
      <w:r>
        <w:rPr>
          <w:rFonts w:ascii="Arial" w:cs="Arial" w:eastAsia="Arial" w:hAnsi="Arial"/>
          <w:sz w:val="16"/>
          <w:szCs w:val="16"/>
          <w:color w:val="auto"/>
        </w:rPr>
        <w:t>was appointed to the position of President of Myriad Neuroscience on August 1, 2017, and entered into the Company's standard form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at that time. Mr. Verratti was later appointed to the position of President of Myriad Autoimmune on May 1, 2020, a position he held until we sold our Autoimmune business on September 13, 2021. Prior to his appointment as Chief Commercial Officer on April 14, 2022, Mr. Verratti also served as President, Mental Health following the sale of the Company's Autoimmune business. On February 24, 2025, Mr. Verratti was appointed Chief Operating Officer, and in connection with his new appointment, we entered into the Verratti Employment Agreement with Mr. Verratti with a commencement date of April 30, 2025. As determined by our CHCC, Mr. Verratti received a salary of $622,883 for 2025. His incentive cash bonus for 2025 was $438,323. On March 13, 2025, Mr. Verratti was granted 99,227 RSUs, which are subject to time-based vesting requirements (33.3% each year over a three-year period). On April 30, 2025, in connection with his promotion to Chief Operating Officer, Mr. Verratti received a one-time grant of 105,785 PSUs subject to performance-based vesting in four equal installments based upon the achievement of certain stock price targets, provided that no portion of these PSUs will vest earlier than April 30, 2026. On June 5, 2025, Mr. Verratti was granted 99,227 PSUs, which are subject to the achievement of revenue and adjusted EPS targets based on results for the year ended December 31, 2027 and relative total stockholder return targets over a three-year measurement period ending December 31, 2027.</w:t>
      </w: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Mr. Donnelly </w:t>
      </w:r>
      <w:r>
        <w:rPr>
          <w:rFonts w:ascii="Arial" w:cs="Arial" w:eastAsia="Arial" w:hAnsi="Arial"/>
          <w:sz w:val="16"/>
          <w:szCs w:val="16"/>
          <w:color w:val="auto"/>
        </w:rPr>
        <w:t>was appointed Chief Commercial Officer on May 1, 2025, and entered into an employment agreement with the Company at that time.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terms of his employment agreement, Mr. Donnelly received a salary of $350,000 for 2025. He also received a sign-on bonus in the amount of $450,000, paid in May 2025. The sign-on bonus is subject to full or partial clawback in the event of termination for certain reasons before the first and second anniversaries of the commencement of Mr. Donnelly's employment. On May 1, 2025, Mr. Donnelly received an initial equity award of 269,905 RSUs, which vest in four equal installments beginning on the first anniversary of the grant date, subject to his continued employment with us. He also received 236,167 PSUs on May 1, 2025, which are subject to performance-based vesting in four equal installments based upon the achievement of certain stock price targets, provided that no portion will vest earlier than May 1, 2026. Additionally, Mr. Donnelly was granted 127,629 RSUs on May 1, 2025, subject to time-based vesting requirements (33.3% each year over a three-year period). On June 5, 2025, he was granted 127,629 PSUs, which are subject to the achievement of revenue and adjusted EPS targets based on results for the year ended December 31, 2027 and relative total stockholder return targets over a three-year measurement period ending December 31, 2027.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6"/>
          <w:szCs w:val="16"/>
          <w:b w:val="1"/>
          <w:bCs w:val="1"/>
          <w:color w:val="auto"/>
        </w:rPr>
        <w:t xml:space="preserve">Dr. Muzzey </w:t>
      </w:r>
      <w:r>
        <w:rPr>
          <w:rFonts w:ascii="Arial" w:cs="Arial" w:eastAsia="Arial" w:hAnsi="Arial"/>
          <w:sz w:val="16"/>
          <w:szCs w:val="16"/>
          <w:color w:val="auto"/>
        </w:rPr>
        <w:t>joined the predecessor to Myriad Women's Health in 2014 and served in various roles, including as Senior Director, Scientific Affairs. He was</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Senior Director of Clinical Development in August 2018 and served in that role until September 2019, when he was appointed Vice President of Bioinformatics, a position he held until December 2021. In January 2022, he was appointed Senior Vice President, R&amp;D and Interim Chief Scientific Officer. On April 14, 2022, he was promoted to Chief Scientific Officer. As determined by our CHCC, he received a salary of $506,400 for 2025. His incentive bonus for 2025 was $221,677. On March 13, 2025, Dr. Muzzey was granted 75,773 RSUs, which are subject to time-based vesting requirements (33.3% each year over a three-year period). On June 5, 2025 Dr Muzzey was granted 75,773 PSUs, which are subject to the achievement of revenue and adjusted EPS targets based on results for the year ended December 31, 2027 and relative total stockholder return targets over a three-year measurement period ending December 31, 2027.</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Ms. Ancona </w:t>
      </w:r>
      <w:r>
        <w:rPr>
          <w:rFonts w:ascii="Arial" w:cs="Arial" w:eastAsia="Arial" w:hAnsi="Arial"/>
          <w:sz w:val="16"/>
          <w:szCs w:val="16"/>
          <w:color w:val="auto"/>
        </w:rPr>
        <w:t>joined the Company in January 2021 and served in various roles, including Senior Vice President, Chief of Staff until May 2025 when she was</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Executive Vice President, Strategy and Transformation. As determined by our CHCC, she received a salary of $330,850 for 2025. On March 13, 2025, Ms. Ancona was granted 54,124 RSUs, which were subject to time-based vesting requirements (33.3% each year over a three-year period). On June 5, 2025, Ms. Ancona was granted 54,123 PSUs, which were subject to the achievement of revenue and adjusted EPS targets based on results for the year ended December 31, 2027 and relative total stockholder return targets over a three-year measurement period ending December 31, 2027.</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November 3, 2025, Ms. Ancona ceased to serve as Executive Vice President, Strategy and Transformation and departed from the Company. In connection with her departure, Ms. Ancona did not receive any additional compensation beyond what she was entitled to under the standard terms of our executive severance agreements in connection with an involuntary termination without cause. Consistent with our severance practices, we entered into the Ancona Separation Agreement with Ms. Ancona, pursuant to which Ms. Ancona received a lump sum severance payment of $739,411. In addition, all outstanding time-based equity awards previously granted to Ms. Ancona that were scheduled to vest on or before the date two years following the Ancona Separation Date were accelerated, provided that any annual vesting installments were deemed to vest in monthly installments over such two-year period. This resulted in the vesting of 81,302 RSUs, which included 46,607 of the RSUs granted on March 13, 2025. The remaining 7,517 RSUs from the March 13, 2025 grant were forfeited upon her departure. These accelerated shares had a value of $665,050 based on the $8.18 closing price of our common stock on the Ancona Separation Date. All 54,123 PSUs granted to Ms. Ancona on June 5, 2025, were forfeited upon her departure. Furthermore, pursuant to the terms of the Ancona Separation Agreement, certain prior-year performance-based awards remain outstanding and eligible to vest based on actual performance results. Specifically, 35,178 PSUs originally granted to Ms. Ancona on March 14, 2024 and 16,418 PSUs originally granted to Ms. Ancona on March 15, 2023, remain outstanding and eligible to vest through the end of the applicable performance period.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Outstanding Equity Awards at 2025 Year End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grants of stock options, RSUs and PSUs outstanding as of December 31, 2025, to each of our NEOs.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20" w:type="dxa"/>
            <w:vAlign w:val="bottom"/>
            <w:shd w:val="clear" w:color="auto" w:fill="003595"/>
          </w:tcPr>
          <w:p>
            <w:pPr>
              <w:spacing w:after="0"/>
              <w:rPr>
                <w:sz w:val="15"/>
                <w:szCs w:val="15"/>
                <w:color w:val="auto"/>
              </w:rPr>
            </w:pPr>
          </w:p>
        </w:tc>
        <w:tc>
          <w:tcPr>
            <w:tcW w:w="340" w:type="dxa"/>
            <w:vAlign w:val="bottom"/>
            <w:shd w:val="clear" w:color="auto" w:fill="003595"/>
          </w:tcPr>
          <w:p>
            <w:pPr>
              <w:spacing w:after="0"/>
              <w:rPr>
                <w:sz w:val="15"/>
                <w:szCs w:val="15"/>
                <w:color w:val="auto"/>
              </w:rPr>
            </w:pPr>
          </w:p>
        </w:tc>
        <w:tc>
          <w:tcPr>
            <w:tcW w:w="40" w:type="dxa"/>
            <w:vAlign w:val="bottom"/>
            <w:shd w:val="clear" w:color="auto" w:fill="003595"/>
          </w:tcPr>
          <w:p>
            <w:pPr>
              <w:spacing w:after="0"/>
              <w:rPr>
                <w:sz w:val="15"/>
                <w:szCs w:val="15"/>
                <w:color w:val="auto"/>
              </w:rPr>
            </w:pPr>
          </w:p>
        </w:tc>
        <w:tc>
          <w:tcPr>
            <w:tcW w:w="280" w:type="dxa"/>
            <w:vAlign w:val="bottom"/>
            <w:shd w:val="clear" w:color="auto" w:fill="003595"/>
          </w:tcPr>
          <w:p>
            <w:pPr>
              <w:spacing w:after="0"/>
              <w:rPr>
                <w:sz w:val="15"/>
                <w:szCs w:val="15"/>
                <w:color w:val="auto"/>
              </w:rPr>
            </w:pPr>
          </w:p>
        </w:tc>
        <w:tc>
          <w:tcPr>
            <w:tcW w:w="40" w:type="dxa"/>
            <w:vAlign w:val="bottom"/>
            <w:shd w:val="clear" w:color="auto" w:fill="003595"/>
          </w:tcPr>
          <w:p>
            <w:pPr>
              <w:spacing w:after="0"/>
              <w:rPr>
                <w:sz w:val="15"/>
                <w:szCs w:val="15"/>
                <w:color w:val="auto"/>
              </w:rPr>
            </w:pPr>
          </w:p>
        </w:tc>
        <w:tc>
          <w:tcPr>
            <w:tcW w:w="340" w:type="dxa"/>
            <w:vAlign w:val="bottom"/>
            <w:shd w:val="clear" w:color="auto" w:fill="003595"/>
          </w:tcPr>
          <w:p>
            <w:pPr>
              <w:spacing w:after="0"/>
              <w:rPr>
                <w:sz w:val="15"/>
                <w:szCs w:val="15"/>
                <w:color w:val="auto"/>
              </w:rPr>
            </w:pPr>
          </w:p>
        </w:tc>
        <w:tc>
          <w:tcPr>
            <w:tcW w:w="2180" w:type="dxa"/>
            <w:vAlign w:val="bottom"/>
            <w:gridSpan w:val="2"/>
            <w:shd w:val="clear" w:color="auto" w:fill="003595"/>
          </w:tcPr>
          <w:p>
            <w:pPr>
              <w:ind w:left="640"/>
              <w:spacing w:after="0"/>
              <w:rPr>
                <w:sz w:val="20"/>
                <w:szCs w:val="20"/>
                <w:color w:val="auto"/>
              </w:rPr>
            </w:pPr>
            <w:r>
              <w:rPr>
                <w:rFonts w:ascii="Arial" w:cs="Arial" w:eastAsia="Arial" w:hAnsi="Arial"/>
                <w:sz w:val="12"/>
                <w:szCs w:val="12"/>
                <w:b w:val="1"/>
                <w:bCs w:val="1"/>
                <w:color w:val="FFFFFF"/>
              </w:rPr>
              <w:t>Option Awards</w:t>
            </w:r>
          </w:p>
        </w:tc>
        <w:tc>
          <w:tcPr>
            <w:tcW w:w="900" w:type="dxa"/>
            <w:vAlign w:val="bottom"/>
            <w:shd w:val="clear" w:color="auto" w:fill="003595"/>
          </w:tcPr>
          <w:p>
            <w:pPr>
              <w:spacing w:after="0"/>
              <w:rPr>
                <w:sz w:val="15"/>
                <w:szCs w:val="15"/>
                <w:color w:val="auto"/>
              </w:rPr>
            </w:pPr>
          </w:p>
        </w:tc>
        <w:tc>
          <w:tcPr>
            <w:tcW w:w="980" w:type="dxa"/>
            <w:vAlign w:val="bottom"/>
            <w:shd w:val="clear" w:color="auto" w:fill="003595"/>
          </w:tcPr>
          <w:p>
            <w:pPr>
              <w:spacing w:after="0"/>
              <w:rPr>
                <w:sz w:val="15"/>
                <w:szCs w:val="15"/>
                <w:color w:val="auto"/>
              </w:rPr>
            </w:pPr>
          </w:p>
        </w:tc>
        <w:tc>
          <w:tcPr>
            <w:tcW w:w="880" w:type="dxa"/>
            <w:vAlign w:val="bottom"/>
            <w:shd w:val="clear" w:color="auto" w:fill="003595"/>
          </w:tcPr>
          <w:p>
            <w:pPr>
              <w:spacing w:after="0"/>
              <w:rPr>
                <w:sz w:val="15"/>
                <w:szCs w:val="15"/>
                <w:color w:val="auto"/>
              </w:rPr>
            </w:pPr>
          </w:p>
        </w:tc>
        <w:tc>
          <w:tcPr>
            <w:tcW w:w="820" w:type="dxa"/>
            <w:vAlign w:val="bottom"/>
            <w:shd w:val="clear" w:color="auto" w:fill="003595"/>
          </w:tcPr>
          <w:p>
            <w:pPr>
              <w:spacing w:after="0"/>
              <w:rPr>
                <w:sz w:val="15"/>
                <w:szCs w:val="15"/>
                <w:color w:val="auto"/>
              </w:rPr>
            </w:pPr>
          </w:p>
        </w:tc>
        <w:tc>
          <w:tcPr>
            <w:tcW w:w="1380" w:type="dxa"/>
            <w:vAlign w:val="bottom"/>
            <w:gridSpan w:val="2"/>
            <w:shd w:val="clear" w:color="auto" w:fill="003595"/>
          </w:tcPr>
          <w:p>
            <w:pPr>
              <w:ind w:left="60"/>
              <w:spacing w:after="0"/>
              <w:rPr>
                <w:sz w:val="20"/>
                <w:szCs w:val="20"/>
                <w:color w:val="auto"/>
              </w:rPr>
            </w:pPr>
            <w:r>
              <w:rPr>
                <w:rFonts w:ascii="Arial" w:cs="Arial" w:eastAsia="Arial" w:hAnsi="Arial"/>
                <w:sz w:val="12"/>
                <w:szCs w:val="12"/>
                <w:b w:val="1"/>
                <w:bCs w:val="1"/>
                <w:color w:val="FFFFFF"/>
              </w:rPr>
              <w:t>Stock Awards</w:t>
            </w:r>
          </w:p>
        </w:tc>
        <w:tc>
          <w:tcPr>
            <w:tcW w:w="1240" w:type="dxa"/>
            <w:vAlign w:val="bottom"/>
            <w:shd w:val="clear" w:color="auto" w:fill="003595"/>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003595"/>
          </w:tcPr>
          <w:p>
            <w:pPr>
              <w:spacing w:after="0"/>
              <w:rPr>
                <w:sz w:val="13"/>
                <w:szCs w:val="13"/>
                <w:color w:val="auto"/>
              </w:rPr>
            </w:pPr>
          </w:p>
        </w:tc>
        <w:tc>
          <w:tcPr>
            <w:tcW w:w="340" w:type="dxa"/>
            <w:vAlign w:val="bottom"/>
            <w:shd w:val="clear" w:color="auto" w:fill="003595"/>
          </w:tcPr>
          <w:p>
            <w:pPr>
              <w:spacing w:after="0"/>
              <w:rPr>
                <w:sz w:val="13"/>
                <w:szCs w:val="13"/>
                <w:color w:val="auto"/>
              </w:rPr>
            </w:pPr>
          </w:p>
        </w:tc>
        <w:tc>
          <w:tcPr>
            <w:tcW w:w="40" w:type="dxa"/>
            <w:vAlign w:val="bottom"/>
            <w:shd w:val="clear" w:color="auto" w:fill="003595"/>
          </w:tcPr>
          <w:p>
            <w:pPr>
              <w:spacing w:after="0"/>
              <w:rPr>
                <w:sz w:val="13"/>
                <w:szCs w:val="13"/>
                <w:color w:val="auto"/>
              </w:rPr>
            </w:pPr>
          </w:p>
        </w:tc>
        <w:tc>
          <w:tcPr>
            <w:tcW w:w="280" w:type="dxa"/>
            <w:vAlign w:val="bottom"/>
            <w:shd w:val="clear" w:color="auto" w:fill="003595"/>
          </w:tcPr>
          <w:p>
            <w:pPr>
              <w:spacing w:after="0"/>
              <w:rPr>
                <w:sz w:val="13"/>
                <w:szCs w:val="13"/>
                <w:color w:val="auto"/>
              </w:rPr>
            </w:pPr>
          </w:p>
        </w:tc>
        <w:tc>
          <w:tcPr>
            <w:tcW w:w="40" w:type="dxa"/>
            <w:vAlign w:val="bottom"/>
            <w:shd w:val="clear" w:color="auto" w:fill="003595"/>
          </w:tcPr>
          <w:p>
            <w:pPr>
              <w:spacing w:after="0"/>
              <w:rPr>
                <w:sz w:val="13"/>
                <w:szCs w:val="13"/>
                <w:color w:val="auto"/>
              </w:rPr>
            </w:pPr>
          </w:p>
        </w:tc>
        <w:tc>
          <w:tcPr>
            <w:tcW w:w="340" w:type="dxa"/>
            <w:vAlign w:val="bottom"/>
            <w:shd w:val="clear" w:color="auto" w:fill="003595"/>
          </w:tcPr>
          <w:p>
            <w:pPr>
              <w:spacing w:after="0"/>
              <w:rPr>
                <w:sz w:val="13"/>
                <w:szCs w:val="13"/>
                <w:color w:val="auto"/>
              </w:rPr>
            </w:pPr>
          </w:p>
        </w:tc>
        <w:tc>
          <w:tcPr>
            <w:tcW w:w="1020" w:type="dxa"/>
            <w:vAlign w:val="bottom"/>
            <w:shd w:val="clear" w:color="auto" w:fill="003595"/>
          </w:tcPr>
          <w:p>
            <w:pPr>
              <w:spacing w:after="0"/>
              <w:rPr>
                <w:sz w:val="13"/>
                <w:szCs w:val="13"/>
                <w:color w:val="auto"/>
              </w:rPr>
            </w:pPr>
          </w:p>
        </w:tc>
        <w:tc>
          <w:tcPr>
            <w:tcW w:w="1160" w:type="dxa"/>
            <w:vAlign w:val="bottom"/>
            <w:shd w:val="clear" w:color="auto" w:fill="003595"/>
          </w:tcPr>
          <w:p>
            <w:pPr>
              <w:spacing w:after="0"/>
              <w:rPr>
                <w:sz w:val="13"/>
                <w:szCs w:val="13"/>
                <w:color w:val="auto"/>
              </w:rPr>
            </w:pPr>
          </w:p>
        </w:tc>
        <w:tc>
          <w:tcPr>
            <w:tcW w:w="900" w:type="dxa"/>
            <w:vAlign w:val="bottom"/>
            <w:shd w:val="clear" w:color="auto" w:fill="003595"/>
          </w:tcPr>
          <w:p>
            <w:pPr>
              <w:spacing w:after="0"/>
              <w:rPr>
                <w:sz w:val="13"/>
                <w:szCs w:val="13"/>
                <w:color w:val="auto"/>
              </w:rPr>
            </w:pPr>
          </w:p>
        </w:tc>
        <w:tc>
          <w:tcPr>
            <w:tcW w:w="980" w:type="dxa"/>
            <w:vAlign w:val="bottom"/>
            <w:shd w:val="clear" w:color="auto" w:fill="003595"/>
          </w:tcPr>
          <w:p>
            <w:pPr>
              <w:spacing w:after="0"/>
              <w:rPr>
                <w:sz w:val="13"/>
                <w:szCs w:val="13"/>
                <w:color w:val="auto"/>
              </w:rPr>
            </w:pPr>
          </w:p>
        </w:tc>
        <w:tc>
          <w:tcPr>
            <w:tcW w:w="880" w:type="dxa"/>
            <w:vAlign w:val="bottom"/>
            <w:shd w:val="clear" w:color="auto" w:fill="003595"/>
          </w:tcPr>
          <w:p>
            <w:pPr>
              <w:spacing w:after="0"/>
              <w:rPr>
                <w:sz w:val="13"/>
                <w:szCs w:val="13"/>
                <w:color w:val="auto"/>
              </w:rPr>
            </w:pPr>
          </w:p>
        </w:tc>
        <w:tc>
          <w:tcPr>
            <w:tcW w:w="820" w:type="dxa"/>
            <w:vAlign w:val="bottom"/>
            <w:shd w:val="clear" w:color="auto" w:fill="003595"/>
          </w:tcPr>
          <w:p>
            <w:pPr>
              <w:spacing w:after="0"/>
              <w:rPr>
                <w:sz w:val="13"/>
                <w:szCs w:val="13"/>
                <w:color w:val="auto"/>
              </w:rPr>
            </w:pPr>
          </w:p>
        </w:tc>
        <w:tc>
          <w:tcPr>
            <w:tcW w:w="120" w:type="dxa"/>
            <w:vAlign w:val="bottom"/>
            <w:shd w:val="clear" w:color="auto" w:fill="003595"/>
          </w:tcPr>
          <w:p>
            <w:pPr>
              <w:spacing w:after="0"/>
              <w:rPr>
                <w:sz w:val="13"/>
                <w:szCs w:val="13"/>
                <w:color w:val="auto"/>
              </w:rPr>
            </w:pPr>
          </w:p>
        </w:tc>
        <w:tc>
          <w:tcPr>
            <w:tcW w:w="1260" w:type="dxa"/>
            <w:vAlign w:val="bottom"/>
            <w:shd w:val="clear" w:color="auto" w:fill="003595"/>
          </w:tcPr>
          <w:p>
            <w:pPr>
              <w:spacing w:after="0"/>
              <w:rPr>
                <w:sz w:val="13"/>
                <w:szCs w:val="13"/>
                <w:color w:val="auto"/>
              </w:rPr>
            </w:pPr>
          </w:p>
        </w:tc>
        <w:tc>
          <w:tcPr>
            <w:tcW w:w="1240" w:type="dxa"/>
            <w:vAlign w:val="bottom"/>
            <w:shd w:val="clear" w:color="auto" w:fill="003595"/>
          </w:tcPr>
          <w:p>
            <w:pPr>
              <w:jc w:val="center"/>
              <w:spacing w:after="0"/>
              <w:rPr>
                <w:sz w:val="20"/>
                <w:szCs w:val="20"/>
                <w:color w:val="auto"/>
              </w:rPr>
            </w:pPr>
            <w:r>
              <w:rPr>
                <w:rFonts w:ascii="Arial" w:cs="Arial" w:eastAsia="Arial" w:hAnsi="Arial"/>
                <w:sz w:val="11"/>
                <w:szCs w:val="11"/>
                <w:b w:val="1"/>
                <w:bCs w:val="1"/>
                <w:color w:val="FFFFFF"/>
                <w:w w:val="95"/>
              </w:rPr>
              <w:t>Equity</w:t>
            </w:r>
          </w:p>
        </w:tc>
        <w:tc>
          <w:tcPr>
            <w:tcW w:w="0" w:type="dxa"/>
            <w:vAlign w:val="bottom"/>
          </w:tcPr>
          <w:p>
            <w:pPr>
              <w:spacing w:after="0"/>
              <w:rPr>
                <w:sz w:val="1"/>
                <w:szCs w:val="1"/>
                <w:color w:val="auto"/>
              </w:rPr>
            </w:pPr>
          </w:p>
        </w:tc>
      </w:tr>
      <w:tr>
        <w:trPr>
          <w:trHeight w:val="122"/>
        </w:trPr>
        <w:tc>
          <w:tcPr>
            <w:tcW w:w="1820" w:type="dxa"/>
            <w:vAlign w:val="bottom"/>
            <w:shd w:val="clear" w:color="auto" w:fill="003595"/>
          </w:tcPr>
          <w:p>
            <w:pPr>
              <w:spacing w:after="0"/>
              <w:rPr>
                <w:sz w:val="10"/>
                <w:szCs w:val="10"/>
                <w:color w:val="auto"/>
              </w:rPr>
            </w:pPr>
          </w:p>
        </w:tc>
        <w:tc>
          <w:tcPr>
            <w:tcW w:w="340" w:type="dxa"/>
            <w:vAlign w:val="bottom"/>
            <w:shd w:val="clear" w:color="auto" w:fill="003595"/>
          </w:tcPr>
          <w:p>
            <w:pPr>
              <w:spacing w:after="0"/>
              <w:rPr>
                <w:sz w:val="10"/>
                <w:szCs w:val="10"/>
                <w:color w:val="auto"/>
              </w:rPr>
            </w:pPr>
          </w:p>
        </w:tc>
        <w:tc>
          <w:tcPr>
            <w:tcW w:w="40" w:type="dxa"/>
            <w:vAlign w:val="bottom"/>
            <w:shd w:val="clear" w:color="auto" w:fill="003595"/>
          </w:tcPr>
          <w:p>
            <w:pPr>
              <w:spacing w:after="0"/>
              <w:rPr>
                <w:sz w:val="10"/>
                <w:szCs w:val="10"/>
                <w:color w:val="auto"/>
              </w:rPr>
            </w:pPr>
          </w:p>
        </w:tc>
        <w:tc>
          <w:tcPr>
            <w:tcW w:w="280" w:type="dxa"/>
            <w:vAlign w:val="bottom"/>
            <w:shd w:val="clear" w:color="auto" w:fill="003595"/>
          </w:tcPr>
          <w:p>
            <w:pPr>
              <w:spacing w:after="0"/>
              <w:rPr>
                <w:sz w:val="10"/>
                <w:szCs w:val="10"/>
                <w:color w:val="auto"/>
              </w:rPr>
            </w:pPr>
          </w:p>
        </w:tc>
        <w:tc>
          <w:tcPr>
            <w:tcW w:w="40" w:type="dxa"/>
            <w:vAlign w:val="bottom"/>
            <w:shd w:val="clear" w:color="auto" w:fill="003595"/>
          </w:tcPr>
          <w:p>
            <w:pPr>
              <w:spacing w:after="0"/>
              <w:rPr>
                <w:sz w:val="10"/>
                <w:szCs w:val="10"/>
                <w:color w:val="auto"/>
              </w:rPr>
            </w:pPr>
          </w:p>
        </w:tc>
        <w:tc>
          <w:tcPr>
            <w:tcW w:w="340" w:type="dxa"/>
            <w:vAlign w:val="bottom"/>
            <w:shd w:val="clear" w:color="auto" w:fill="003595"/>
          </w:tcPr>
          <w:p>
            <w:pPr>
              <w:spacing w:after="0"/>
              <w:rPr>
                <w:sz w:val="10"/>
                <w:szCs w:val="10"/>
                <w:color w:val="auto"/>
              </w:rPr>
            </w:pPr>
          </w:p>
        </w:tc>
        <w:tc>
          <w:tcPr>
            <w:tcW w:w="1020" w:type="dxa"/>
            <w:vAlign w:val="bottom"/>
            <w:shd w:val="clear" w:color="auto" w:fill="003595"/>
          </w:tcPr>
          <w:p>
            <w:pPr>
              <w:spacing w:after="0"/>
              <w:rPr>
                <w:sz w:val="10"/>
                <w:szCs w:val="10"/>
                <w:color w:val="auto"/>
              </w:rPr>
            </w:pPr>
          </w:p>
        </w:tc>
        <w:tc>
          <w:tcPr>
            <w:tcW w:w="1160" w:type="dxa"/>
            <w:vAlign w:val="bottom"/>
            <w:shd w:val="clear" w:color="auto" w:fill="003595"/>
          </w:tcPr>
          <w:p>
            <w:pPr>
              <w:spacing w:after="0"/>
              <w:rPr>
                <w:sz w:val="10"/>
                <w:szCs w:val="10"/>
                <w:color w:val="auto"/>
              </w:rPr>
            </w:pPr>
          </w:p>
        </w:tc>
        <w:tc>
          <w:tcPr>
            <w:tcW w:w="900" w:type="dxa"/>
            <w:vAlign w:val="bottom"/>
            <w:shd w:val="clear" w:color="auto" w:fill="003595"/>
          </w:tcPr>
          <w:p>
            <w:pPr>
              <w:spacing w:after="0"/>
              <w:rPr>
                <w:sz w:val="10"/>
                <w:szCs w:val="10"/>
                <w:color w:val="auto"/>
              </w:rPr>
            </w:pPr>
          </w:p>
        </w:tc>
        <w:tc>
          <w:tcPr>
            <w:tcW w:w="980" w:type="dxa"/>
            <w:vAlign w:val="bottom"/>
            <w:shd w:val="clear" w:color="auto" w:fill="003595"/>
          </w:tcPr>
          <w:p>
            <w:pPr>
              <w:spacing w:after="0"/>
              <w:rPr>
                <w:sz w:val="10"/>
                <w:szCs w:val="10"/>
                <w:color w:val="auto"/>
              </w:rPr>
            </w:pPr>
          </w:p>
        </w:tc>
        <w:tc>
          <w:tcPr>
            <w:tcW w:w="880" w:type="dxa"/>
            <w:vAlign w:val="bottom"/>
            <w:shd w:val="clear" w:color="auto" w:fill="003595"/>
          </w:tcPr>
          <w:p>
            <w:pPr>
              <w:spacing w:after="0"/>
              <w:rPr>
                <w:sz w:val="10"/>
                <w:szCs w:val="10"/>
                <w:color w:val="auto"/>
              </w:rPr>
            </w:pPr>
          </w:p>
        </w:tc>
        <w:tc>
          <w:tcPr>
            <w:tcW w:w="820" w:type="dxa"/>
            <w:vAlign w:val="bottom"/>
            <w:shd w:val="clear" w:color="auto" w:fill="003595"/>
          </w:tcPr>
          <w:p>
            <w:pPr>
              <w:spacing w:after="0"/>
              <w:rPr>
                <w:sz w:val="10"/>
                <w:szCs w:val="10"/>
                <w:color w:val="auto"/>
              </w:rPr>
            </w:pPr>
          </w:p>
        </w:tc>
        <w:tc>
          <w:tcPr>
            <w:tcW w:w="120" w:type="dxa"/>
            <w:vAlign w:val="bottom"/>
            <w:shd w:val="clear" w:color="auto" w:fill="003595"/>
          </w:tcPr>
          <w:p>
            <w:pPr>
              <w:spacing w:after="0"/>
              <w:rPr>
                <w:sz w:val="10"/>
                <w:szCs w:val="10"/>
                <w:color w:val="auto"/>
              </w:rPr>
            </w:pPr>
          </w:p>
        </w:tc>
        <w:tc>
          <w:tcPr>
            <w:tcW w:w="1260" w:type="dxa"/>
            <w:vAlign w:val="bottom"/>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rPr>
              <w:t>Equity</w:t>
            </w:r>
          </w:p>
        </w:tc>
        <w:tc>
          <w:tcPr>
            <w:tcW w:w="1240" w:type="dxa"/>
            <w:vAlign w:val="bottom"/>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rPr>
              <w:t>Incentive</w:t>
            </w:r>
          </w:p>
        </w:tc>
        <w:tc>
          <w:tcPr>
            <w:tcW w:w="0" w:type="dxa"/>
            <w:vAlign w:val="bottom"/>
          </w:tcPr>
          <w:p>
            <w:pPr>
              <w:spacing w:after="0"/>
              <w:rPr>
                <w:sz w:val="1"/>
                <w:szCs w:val="1"/>
                <w:color w:val="auto"/>
              </w:rPr>
            </w:pPr>
          </w:p>
        </w:tc>
      </w:tr>
      <w:tr>
        <w:trPr>
          <w:trHeight w:val="135"/>
        </w:trPr>
        <w:tc>
          <w:tcPr>
            <w:tcW w:w="1820" w:type="dxa"/>
            <w:vAlign w:val="bottom"/>
            <w:shd w:val="clear" w:color="auto" w:fill="003595"/>
          </w:tcPr>
          <w:p>
            <w:pPr>
              <w:spacing w:after="0"/>
              <w:rPr>
                <w:sz w:val="11"/>
                <w:szCs w:val="11"/>
                <w:color w:val="auto"/>
              </w:rPr>
            </w:pPr>
          </w:p>
        </w:tc>
        <w:tc>
          <w:tcPr>
            <w:tcW w:w="340" w:type="dxa"/>
            <w:vAlign w:val="bottom"/>
            <w:shd w:val="clear" w:color="auto" w:fill="003595"/>
          </w:tcPr>
          <w:p>
            <w:pPr>
              <w:spacing w:after="0"/>
              <w:rPr>
                <w:sz w:val="11"/>
                <w:szCs w:val="11"/>
                <w:color w:val="auto"/>
              </w:rPr>
            </w:pPr>
          </w:p>
        </w:tc>
        <w:tc>
          <w:tcPr>
            <w:tcW w:w="40" w:type="dxa"/>
            <w:vAlign w:val="bottom"/>
            <w:shd w:val="clear" w:color="auto" w:fill="003595"/>
          </w:tcPr>
          <w:p>
            <w:pPr>
              <w:spacing w:after="0"/>
              <w:rPr>
                <w:sz w:val="11"/>
                <w:szCs w:val="11"/>
                <w:color w:val="auto"/>
              </w:rPr>
            </w:pPr>
          </w:p>
        </w:tc>
        <w:tc>
          <w:tcPr>
            <w:tcW w:w="280" w:type="dxa"/>
            <w:vAlign w:val="bottom"/>
            <w:shd w:val="clear" w:color="auto" w:fill="003595"/>
          </w:tcPr>
          <w:p>
            <w:pPr>
              <w:spacing w:after="0"/>
              <w:rPr>
                <w:sz w:val="11"/>
                <w:szCs w:val="11"/>
                <w:color w:val="auto"/>
              </w:rPr>
            </w:pPr>
          </w:p>
        </w:tc>
        <w:tc>
          <w:tcPr>
            <w:tcW w:w="40" w:type="dxa"/>
            <w:vAlign w:val="bottom"/>
            <w:shd w:val="clear" w:color="auto" w:fill="003595"/>
          </w:tcPr>
          <w:p>
            <w:pPr>
              <w:spacing w:after="0"/>
              <w:rPr>
                <w:sz w:val="11"/>
                <w:szCs w:val="11"/>
                <w:color w:val="auto"/>
              </w:rPr>
            </w:pPr>
          </w:p>
        </w:tc>
        <w:tc>
          <w:tcPr>
            <w:tcW w:w="340" w:type="dxa"/>
            <w:vAlign w:val="bottom"/>
            <w:shd w:val="clear" w:color="auto" w:fill="003595"/>
          </w:tcPr>
          <w:p>
            <w:pPr>
              <w:spacing w:after="0"/>
              <w:rPr>
                <w:sz w:val="11"/>
                <w:szCs w:val="11"/>
                <w:color w:val="auto"/>
              </w:rPr>
            </w:pPr>
          </w:p>
        </w:tc>
        <w:tc>
          <w:tcPr>
            <w:tcW w:w="102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Number of</w:t>
            </w:r>
          </w:p>
        </w:tc>
        <w:tc>
          <w:tcPr>
            <w:tcW w:w="1160" w:type="dxa"/>
            <w:vAlign w:val="bottom"/>
            <w:vMerge w:val="restart"/>
            <w:shd w:val="clear" w:color="auto" w:fill="003595"/>
          </w:tcPr>
          <w:p>
            <w:pPr>
              <w:jc w:val="center"/>
              <w:ind w:right="5"/>
              <w:spacing w:after="0"/>
              <w:rPr>
                <w:sz w:val="20"/>
                <w:szCs w:val="20"/>
                <w:color w:val="auto"/>
              </w:rPr>
            </w:pPr>
            <w:r>
              <w:rPr>
                <w:rFonts w:ascii="Arial" w:cs="Arial" w:eastAsia="Arial" w:hAnsi="Arial"/>
                <w:sz w:val="11"/>
                <w:szCs w:val="11"/>
                <w:b w:val="1"/>
                <w:bCs w:val="1"/>
                <w:color w:val="FFFFFF"/>
                <w:w w:val="98"/>
              </w:rPr>
              <w:t>Number of</w:t>
            </w:r>
          </w:p>
        </w:tc>
        <w:tc>
          <w:tcPr>
            <w:tcW w:w="900" w:type="dxa"/>
            <w:vAlign w:val="bottom"/>
            <w:shd w:val="clear" w:color="auto" w:fill="003595"/>
          </w:tcPr>
          <w:p>
            <w:pPr>
              <w:spacing w:after="0"/>
              <w:rPr>
                <w:sz w:val="11"/>
                <w:szCs w:val="11"/>
                <w:color w:val="auto"/>
              </w:rPr>
            </w:pPr>
          </w:p>
        </w:tc>
        <w:tc>
          <w:tcPr>
            <w:tcW w:w="980" w:type="dxa"/>
            <w:vAlign w:val="bottom"/>
            <w:shd w:val="clear" w:color="auto" w:fill="003595"/>
          </w:tcPr>
          <w:p>
            <w:pPr>
              <w:spacing w:after="0"/>
              <w:rPr>
                <w:sz w:val="11"/>
                <w:szCs w:val="11"/>
                <w:color w:val="auto"/>
              </w:rPr>
            </w:pPr>
          </w:p>
        </w:tc>
        <w:tc>
          <w:tcPr>
            <w:tcW w:w="88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Number of</w:t>
            </w:r>
          </w:p>
        </w:tc>
        <w:tc>
          <w:tcPr>
            <w:tcW w:w="820" w:type="dxa"/>
            <w:vAlign w:val="bottom"/>
            <w:shd w:val="clear" w:color="auto" w:fill="003595"/>
          </w:tcPr>
          <w:p>
            <w:pPr>
              <w:jc w:val="center"/>
              <w:ind w:left="83"/>
              <w:spacing w:after="0"/>
              <w:rPr>
                <w:sz w:val="20"/>
                <w:szCs w:val="20"/>
                <w:color w:val="auto"/>
              </w:rPr>
            </w:pPr>
            <w:r>
              <w:rPr>
                <w:rFonts w:ascii="Arial" w:cs="Arial" w:eastAsia="Arial" w:hAnsi="Arial"/>
                <w:sz w:val="11"/>
                <w:szCs w:val="11"/>
                <w:b w:val="1"/>
                <w:bCs w:val="1"/>
                <w:color w:val="FFFFFF"/>
              </w:rPr>
              <w:t>Market</w:t>
            </w:r>
          </w:p>
        </w:tc>
        <w:tc>
          <w:tcPr>
            <w:tcW w:w="120" w:type="dxa"/>
            <w:vAlign w:val="bottom"/>
            <w:shd w:val="clear" w:color="auto" w:fill="003595"/>
          </w:tcPr>
          <w:p>
            <w:pPr>
              <w:spacing w:after="0"/>
              <w:rPr>
                <w:sz w:val="11"/>
                <w:szCs w:val="11"/>
                <w:color w:val="auto"/>
              </w:rPr>
            </w:pPr>
          </w:p>
        </w:tc>
        <w:tc>
          <w:tcPr>
            <w:tcW w:w="1260" w:type="dxa"/>
            <w:vAlign w:val="bottom"/>
            <w:shd w:val="clear" w:color="auto" w:fill="003595"/>
          </w:tcPr>
          <w:p>
            <w:pPr>
              <w:jc w:val="center"/>
              <w:spacing w:after="0"/>
              <w:rPr>
                <w:sz w:val="20"/>
                <w:szCs w:val="20"/>
                <w:color w:val="auto"/>
              </w:rPr>
            </w:pPr>
            <w:r>
              <w:rPr>
                <w:rFonts w:ascii="Arial" w:cs="Arial" w:eastAsia="Arial" w:hAnsi="Arial"/>
                <w:sz w:val="11"/>
                <w:szCs w:val="11"/>
                <w:b w:val="1"/>
                <w:bCs w:val="1"/>
                <w:color w:val="FFFFFF"/>
                <w:w w:val="96"/>
              </w:rPr>
              <w:t>Incentive</w:t>
            </w:r>
          </w:p>
        </w:tc>
        <w:tc>
          <w:tcPr>
            <w:tcW w:w="1240" w:type="dxa"/>
            <w:vAlign w:val="bottom"/>
            <w:shd w:val="clear" w:color="auto" w:fill="003595"/>
          </w:tcPr>
          <w:p>
            <w:pPr>
              <w:jc w:val="center"/>
              <w:spacing w:after="0"/>
              <w:rPr>
                <w:sz w:val="20"/>
                <w:szCs w:val="20"/>
                <w:color w:val="auto"/>
              </w:rPr>
            </w:pPr>
            <w:r>
              <w:rPr>
                <w:rFonts w:ascii="Arial" w:cs="Arial" w:eastAsia="Arial" w:hAnsi="Arial"/>
                <w:sz w:val="11"/>
                <w:szCs w:val="11"/>
                <w:b w:val="1"/>
                <w:bCs w:val="1"/>
                <w:color w:val="FFFFFF"/>
                <w:w w:val="97"/>
              </w:rPr>
              <w:t>Plan Awards:</w:t>
            </w:r>
          </w:p>
        </w:tc>
        <w:tc>
          <w:tcPr>
            <w:tcW w:w="0" w:type="dxa"/>
            <w:vAlign w:val="bottom"/>
          </w:tcPr>
          <w:p>
            <w:pPr>
              <w:spacing w:after="0"/>
              <w:rPr>
                <w:sz w:val="1"/>
                <w:szCs w:val="1"/>
                <w:color w:val="auto"/>
              </w:rPr>
            </w:pPr>
          </w:p>
        </w:tc>
      </w:tr>
      <w:tr>
        <w:trPr>
          <w:trHeight w:val="68"/>
        </w:trPr>
        <w:tc>
          <w:tcPr>
            <w:tcW w:w="1820" w:type="dxa"/>
            <w:vAlign w:val="bottom"/>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40" w:type="dxa"/>
            <w:vAlign w:val="bottom"/>
            <w:shd w:val="clear" w:color="auto" w:fill="003595"/>
          </w:tcPr>
          <w:p>
            <w:pPr>
              <w:spacing w:after="0"/>
              <w:rPr>
                <w:sz w:val="5"/>
                <w:szCs w:val="5"/>
                <w:color w:val="auto"/>
              </w:rPr>
            </w:pPr>
          </w:p>
        </w:tc>
        <w:tc>
          <w:tcPr>
            <w:tcW w:w="280" w:type="dxa"/>
            <w:vAlign w:val="bottom"/>
            <w:shd w:val="clear" w:color="auto" w:fill="003595"/>
          </w:tcPr>
          <w:p>
            <w:pPr>
              <w:spacing w:after="0"/>
              <w:rPr>
                <w:sz w:val="5"/>
                <w:szCs w:val="5"/>
                <w:color w:val="auto"/>
              </w:rPr>
            </w:pPr>
          </w:p>
        </w:tc>
        <w:tc>
          <w:tcPr>
            <w:tcW w:w="40" w:type="dxa"/>
            <w:vAlign w:val="bottom"/>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1020" w:type="dxa"/>
            <w:vAlign w:val="bottom"/>
            <w:vMerge w:val="continue"/>
            <w:shd w:val="clear" w:color="auto" w:fill="003595"/>
          </w:tcPr>
          <w:p>
            <w:pPr>
              <w:spacing w:after="0"/>
              <w:rPr>
                <w:sz w:val="5"/>
                <w:szCs w:val="5"/>
                <w:color w:val="auto"/>
              </w:rPr>
            </w:pPr>
          </w:p>
        </w:tc>
        <w:tc>
          <w:tcPr>
            <w:tcW w:w="1160" w:type="dxa"/>
            <w:vAlign w:val="bottom"/>
            <w:vMerge w:val="continue"/>
            <w:shd w:val="clear" w:color="auto" w:fill="003595"/>
          </w:tcPr>
          <w:p>
            <w:pPr>
              <w:spacing w:after="0"/>
              <w:rPr>
                <w:sz w:val="5"/>
                <w:szCs w:val="5"/>
                <w:color w:val="auto"/>
              </w:rPr>
            </w:pPr>
          </w:p>
        </w:tc>
        <w:tc>
          <w:tcPr>
            <w:tcW w:w="900" w:type="dxa"/>
            <w:vAlign w:val="bottom"/>
            <w:shd w:val="clear" w:color="auto" w:fill="003595"/>
          </w:tcPr>
          <w:p>
            <w:pPr>
              <w:spacing w:after="0"/>
              <w:rPr>
                <w:sz w:val="5"/>
                <w:szCs w:val="5"/>
                <w:color w:val="auto"/>
              </w:rPr>
            </w:pPr>
          </w:p>
        </w:tc>
        <w:tc>
          <w:tcPr>
            <w:tcW w:w="980" w:type="dxa"/>
            <w:vAlign w:val="bottom"/>
            <w:shd w:val="clear" w:color="auto" w:fill="003595"/>
          </w:tcPr>
          <w:p>
            <w:pPr>
              <w:spacing w:after="0"/>
              <w:rPr>
                <w:sz w:val="5"/>
                <w:szCs w:val="5"/>
                <w:color w:val="auto"/>
              </w:rPr>
            </w:pPr>
          </w:p>
        </w:tc>
        <w:tc>
          <w:tcPr>
            <w:tcW w:w="880" w:type="dxa"/>
            <w:vAlign w:val="bottom"/>
            <w:vMerge w:val="continue"/>
            <w:shd w:val="clear" w:color="auto" w:fill="003595"/>
          </w:tcPr>
          <w:p>
            <w:pPr>
              <w:spacing w:after="0"/>
              <w:rPr>
                <w:sz w:val="5"/>
                <w:szCs w:val="5"/>
                <w:color w:val="auto"/>
              </w:rPr>
            </w:pPr>
          </w:p>
        </w:tc>
        <w:tc>
          <w:tcPr>
            <w:tcW w:w="820" w:type="dxa"/>
            <w:vAlign w:val="bottom"/>
            <w:vMerge w:val="restart"/>
            <w:shd w:val="clear" w:color="auto" w:fill="003595"/>
          </w:tcPr>
          <w:p>
            <w:pPr>
              <w:jc w:val="center"/>
              <w:ind w:left="63"/>
              <w:spacing w:after="0" w:line="122" w:lineRule="exact"/>
              <w:rPr>
                <w:sz w:val="20"/>
                <w:szCs w:val="20"/>
                <w:color w:val="auto"/>
              </w:rPr>
            </w:pPr>
            <w:r>
              <w:rPr>
                <w:rFonts w:ascii="Arial" w:cs="Arial" w:eastAsia="Arial" w:hAnsi="Arial"/>
                <w:sz w:val="11"/>
                <w:szCs w:val="11"/>
                <w:b w:val="1"/>
                <w:bCs w:val="1"/>
                <w:color w:val="FFFFFF"/>
                <w:w w:val="98"/>
              </w:rPr>
              <w:t>Value of</w:t>
            </w:r>
          </w:p>
        </w:tc>
        <w:tc>
          <w:tcPr>
            <w:tcW w:w="120" w:type="dxa"/>
            <w:vAlign w:val="bottom"/>
            <w:shd w:val="clear" w:color="auto" w:fill="003595"/>
          </w:tcPr>
          <w:p>
            <w:pPr>
              <w:spacing w:after="0"/>
              <w:rPr>
                <w:sz w:val="5"/>
                <w:szCs w:val="5"/>
                <w:color w:val="auto"/>
              </w:rPr>
            </w:pPr>
          </w:p>
        </w:tc>
        <w:tc>
          <w:tcPr>
            <w:tcW w:w="126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rPr>
              <w:t>Plan Awards:</w:t>
            </w:r>
          </w:p>
        </w:tc>
        <w:tc>
          <w:tcPr>
            <w:tcW w:w="124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6"/>
              </w:rPr>
              <w:t>Market or</w:t>
            </w:r>
          </w:p>
        </w:tc>
        <w:tc>
          <w:tcPr>
            <w:tcW w:w="0" w:type="dxa"/>
            <w:vAlign w:val="bottom"/>
          </w:tcPr>
          <w:p>
            <w:pPr>
              <w:spacing w:after="0"/>
              <w:rPr>
                <w:sz w:val="1"/>
                <w:szCs w:val="1"/>
                <w:color w:val="auto"/>
              </w:rPr>
            </w:pPr>
          </w:p>
        </w:tc>
      </w:tr>
      <w:tr>
        <w:trPr>
          <w:trHeight w:val="54"/>
        </w:trPr>
        <w:tc>
          <w:tcPr>
            <w:tcW w:w="182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28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102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Securities</w:t>
            </w:r>
          </w:p>
        </w:tc>
        <w:tc>
          <w:tcPr>
            <w:tcW w:w="116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Securities</w:t>
            </w:r>
          </w:p>
        </w:tc>
        <w:tc>
          <w:tcPr>
            <w:tcW w:w="900" w:type="dxa"/>
            <w:vAlign w:val="bottom"/>
            <w:shd w:val="clear" w:color="auto" w:fill="003595"/>
          </w:tcPr>
          <w:p>
            <w:pPr>
              <w:spacing w:after="0"/>
              <w:rPr>
                <w:sz w:val="4"/>
                <w:szCs w:val="4"/>
                <w:color w:val="auto"/>
              </w:rPr>
            </w:pPr>
          </w:p>
        </w:tc>
        <w:tc>
          <w:tcPr>
            <w:tcW w:w="980" w:type="dxa"/>
            <w:vAlign w:val="bottom"/>
            <w:shd w:val="clear" w:color="auto" w:fill="003595"/>
          </w:tcPr>
          <w:p>
            <w:pPr>
              <w:spacing w:after="0"/>
              <w:rPr>
                <w:sz w:val="4"/>
                <w:szCs w:val="4"/>
                <w:color w:val="auto"/>
              </w:rPr>
            </w:pPr>
          </w:p>
        </w:tc>
        <w:tc>
          <w:tcPr>
            <w:tcW w:w="88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7"/>
              </w:rPr>
              <w:t>Shares</w:t>
            </w:r>
          </w:p>
        </w:tc>
        <w:tc>
          <w:tcPr>
            <w:tcW w:w="820" w:type="dxa"/>
            <w:vAlign w:val="bottom"/>
            <w:vMerge w:val="continue"/>
            <w:shd w:val="clear" w:color="auto" w:fill="003595"/>
          </w:tcPr>
          <w:p>
            <w:pPr>
              <w:spacing w:after="0"/>
              <w:rPr>
                <w:sz w:val="4"/>
                <w:szCs w:val="4"/>
                <w:color w:val="auto"/>
              </w:rPr>
            </w:pPr>
          </w:p>
        </w:tc>
        <w:tc>
          <w:tcPr>
            <w:tcW w:w="120" w:type="dxa"/>
            <w:vAlign w:val="bottom"/>
            <w:shd w:val="clear" w:color="auto" w:fill="003595"/>
          </w:tcPr>
          <w:p>
            <w:pPr>
              <w:spacing w:after="0"/>
              <w:rPr>
                <w:sz w:val="4"/>
                <w:szCs w:val="4"/>
                <w:color w:val="auto"/>
              </w:rPr>
            </w:pPr>
          </w:p>
        </w:tc>
        <w:tc>
          <w:tcPr>
            <w:tcW w:w="1260" w:type="dxa"/>
            <w:vAlign w:val="bottom"/>
            <w:vMerge w:val="continue"/>
            <w:shd w:val="clear" w:color="auto" w:fill="003595"/>
          </w:tcPr>
          <w:p>
            <w:pPr>
              <w:spacing w:after="0"/>
              <w:rPr>
                <w:sz w:val="4"/>
                <w:szCs w:val="4"/>
                <w:color w:val="auto"/>
              </w:rPr>
            </w:pPr>
          </w:p>
        </w:tc>
        <w:tc>
          <w:tcPr>
            <w:tcW w:w="1240" w:type="dxa"/>
            <w:vAlign w:val="bottom"/>
            <w:vMerge w:val="continue"/>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20" w:type="dxa"/>
            <w:vAlign w:val="bottom"/>
            <w:shd w:val="clear" w:color="auto" w:fill="003595"/>
          </w:tcPr>
          <w:p>
            <w:pPr>
              <w:spacing w:after="0"/>
              <w:rPr>
                <w:sz w:val="7"/>
                <w:szCs w:val="7"/>
                <w:color w:val="auto"/>
              </w:rPr>
            </w:pPr>
          </w:p>
        </w:tc>
        <w:tc>
          <w:tcPr>
            <w:tcW w:w="340" w:type="dxa"/>
            <w:vAlign w:val="bottom"/>
            <w:shd w:val="clear" w:color="auto" w:fill="003595"/>
          </w:tcPr>
          <w:p>
            <w:pPr>
              <w:spacing w:after="0"/>
              <w:rPr>
                <w:sz w:val="7"/>
                <w:szCs w:val="7"/>
                <w:color w:val="auto"/>
              </w:rPr>
            </w:pPr>
          </w:p>
        </w:tc>
        <w:tc>
          <w:tcPr>
            <w:tcW w:w="40" w:type="dxa"/>
            <w:vAlign w:val="bottom"/>
            <w:shd w:val="clear" w:color="auto" w:fill="003595"/>
          </w:tcPr>
          <w:p>
            <w:pPr>
              <w:spacing w:after="0"/>
              <w:rPr>
                <w:sz w:val="7"/>
                <w:szCs w:val="7"/>
                <w:color w:val="auto"/>
              </w:rPr>
            </w:pPr>
          </w:p>
        </w:tc>
        <w:tc>
          <w:tcPr>
            <w:tcW w:w="280" w:type="dxa"/>
            <w:vAlign w:val="bottom"/>
            <w:shd w:val="clear" w:color="auto" w:fill="003595"/>
          </w:tcPr>
          <w:p>
            <w:pPr>
              <w:spacing w:after="0"/>
              <w:rPr>
                <w:sz w:val="7"/>
                <w:szCs w:val="7"/>
                <w:color w:val="auto"/>
              </w:rPr>
            </w:pPr>
          </w:p>
        </w:tc>
        <w:tc>
          <w:tcPr>
            <w:tcW w:w="40" w:type="dxa"/>
            <w:vAlign w:val="bottom"/>
            <w:shd w:val="clear" w:color="auto" w:fill="003595"/>
          </w:tcPr>
          <w:p>
            <w:pPr>
              <w:spacing w:after="0"/>
              <w:rPr>
                <w:sz w:val="7"/>
                <w:szCs w:val="7"/>
                <w:color w:val="auto"/>
              </w:rPr>
            </w:pPr>
          </w:p>
        </w:tc>
        <w:tc>
          <w:tcPr>
            <w:tcW w:w="340" w:type="dxa"/>
            <w:vAlign w:val="bottom"/>
            <w:shd w:val="clear" w:color="auto" w:fill="003595"/>
          </w:tcPr>
          <w:p>
            <w:pPr>
              <w:spacing w:after="0"/>
              <w:rPr>
                <w:sz w:val="7"/>
                <w:szCs w:val="7"/>
                <w:color w:val="auto"/>
              </w:rPr>
            </w:pPr>
          </w:p>
        </w:tc>
        <w:tc>
          <w:tcPr>
            <w:tcW w:w="1020" w:type="dxa"/>
            <w:vAlign w:val="bottom"/>
            <w:vMerge w:val="continue"/>
            <w:shd w:val="clear" w:color="auto" w:fill="003595"/>
          </w:tcPr>
          <w:p>
            <w:pPr>
              <w:spacing w:after="0"/>
              <w:rPr>
                <w:sz w:val="7"/>
                <w:szCs w:val="7"/>
                <w:color w:val="auto"/>
              </w:rPr>
            </w:pPr>
          </w:p>
        </w:tc>
        <w:tc>
          <w:tcPr>
            <w:tcW w:w="1160" w:type="dxa"/>
            <w:vAlign w:val="bottom"/>
            <w:vMerge w:val="continue"/>
            <w:shd w:val="clear" w:color="auto" w:fill="003595"/>
          </w:tcPr>
          <w:p>
            <w:pPr>
              <w:spacing w:after="0"/>
              <w:rPr>
                <w:sz w:val="7"/>
                <w:szCs w:val="7"/>
                <w:color w:val="auto"/>
              </w:rPr>
            </w:pPr>
          </w:p>
        </w:tc>
        <w:tc>
          <w:tcPr>
            <w:tcW w:w="900" w:type="dxa"/>
            <w:vAlign w:val="bottom"/>
            <w:vMerge w:val="restart"/>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8"/>
              </w:rPr>
              <w:t>Option</w:t>
            </w:r>
          </w:p>
        </w:tc>
        <w:tc>
          <w:tcPr>
            <w:tcW w:w="980" w:type="dxa"/>
            <w:vAlign w:val="bottom"/>
            <w:shd w:val="clear" w:color="auto" w:fill="003595"/>
          </w:tcPr>
          <w:p>
            <w:pPr>
              <w:spacing w:after="0"/>
              <w:rPr>
                <w:sz w:val="7"/>
                <w:szCs w:val="7"/>
                <w:color w:val="auto"/>
              </w:rPr>
            </w:pPr>
          </w:p>
        </w:tc>
        <w:tc>
          <w:tcPr>
            <w:tcW w:w="880" w:type="dxa"/>
            <w:vAlign w:val="bottom"/>
            <w:vMerge w:val="continue"/>
            <w:shd w:val="clear" w:color="auto" w:fill="003595"/>
          </w:tcPr>
          <w:p>
            <w:pPr>
              <w:spacing w:after="0"/>
              <w:rPr>
                <w:sz w:val="7"/>
                <w:szCs w:val="7"/>
                <w:color w:val="auto"/>
              </w:rPr>
            </w:pPr>
          </w:p>
        </w:tc>
        <w:tc>
          <w:tcPr>
            <w:tcW w:w="820" w:type="dxa"/>
            <w:vAlign w:val="bottom"/>
            <w:vMerge w:val="restart"/>
            <w:shd w:val="clear" w:color="auto" w:fill="003595"/>
          </w:tcPr>
          <w:p>
            <w:pPr>
              <w:jc w:val="center"/>
              <w:ind w:left="83"/>
              <w:spacing w:after="0"/>
              <w:rPr>
                <w:sz w:val="20"/>
                <w:szCs w:val="20"/>
                <w:color w:val="auto"/>
              </w:rPr>
            </w:pPr>
            <w:r>
              <w:rPr>
                <w:rFonts w:ascii="Arial" w:cs="Arial" w:eastAsia="Arial" w:hAnsi="Arial"/>
                <w:sz w:val="11"/>
                <w:szCs w:val="11"/>
                <w:b w:val="1"/>
                <w:bCs w:val="1"/>
                <w:color w:val="FFFFFF"/>
                <w:w w:val="97"/>
              </w:rPr>
              <w:t>Shares</w:t>
            </w:r>
          </w:p>
        </w:tc>
        <w:tc>
          <w:tcPr>
            <w:tcW w:w="120" w:type="dxa"/>
            <w:vAlign w:val="bottom"/>
            <w:shd w:val="clear" w:color="auto" w:fill="003595"/>
          </w:tcPr>
          <w:p>
            <w:pPr>
              <w:spacing w:after="0"/>
              <w:rPr>
                <w:sz w:val="7"/>
                <w:szCs w:val="7"/>
                <w:color w:val="auto"/>
              </w:rPr>
            </w:pPr>
          </w:p>
        </w:tc>
        <w:tc>
          <w:tcPr>
            <w:tcW w:w="126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Number of</w:t>
            </w:r>
          </w:p>
        </w:tc>
        <w:tc>
          <w:tcPr>
            <w:tcW w:w="12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Payout</w:t>
            </w:r>
          </w:p>
        </w:tc>
        <w:tc>
          <w:tcPr>
            <w:tcW w:w="0" w:type="dxa"/>
            <w:vAlign w:val="bottom"/>
          </w:tcPr>
          <w:p>
            <w:pPr>
              <w:spacing w:after="0"/>
              <w:rPr>
                <w:sz w:val="1"/>
                <w:szCs w:val="1"/>
                <w:color w:val="auto"/>
              </w:rPr>
            </w:pPr>
          </w:p>
        </w:tc>
      </w:tr>
      <w:tr>
        <w:trPr>
          <w:trHeight w:val="54"/>
        </w:trPr>
        <w:tc>
          <w:tcPr>
            <w:tcW w:w="182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28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102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7"/>
              </w:rPr>
              <w:t>Underlying</w:t>
            </w:r>
          </w:p>
        </w:tc>
        <w:tc>
          <w:tcPr>
            <w:tcW w:w="116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7"/>
              </w:rPr>
              <w:t>Underlying</w:t>
            </w:r>
          </w:p>
        </w:tc>
        <w:tc>
          <w:tcPr>
            <w:tcW w:w="900" w:type="dxa"/>
            <w:vAlign w:val="bottom"/>
            <w:vMerge w:val="continue"/>
            <w:shd w:val="clear" w:color="auto" w:fill="003595"/>
          </w:tcPr>
          <w:p>
            <w:pPr>
              <w:spacing w:after="0"/>
              <w:rPr>
                <w:sz w:val="4"/>
                <w:szCs w:val="4"/>
                <w:color w:val="auto"/>
              </w:rPr>
            </w:pPr>
          </w:p>
        </w:tc>
        <w:tc>
          <w:tcPr>
            <w:tcW w:w="980" w:type="dxa"/>
            <w:vAlign w:val="bottom"/>
            <w:vMerge w:val="restart"/>
            <w:shd w:val="clear" w:color="auto" w:fill="003595"/>
          </w:tcPr>
          <w:p>
            <w:pPr>
              <w:jc w:val="center"/>
              <w:ind w:left="44"/>
              <w:spacing w:after="0" w:line="122" w:lineRule="exact"/>
              <w:rPr>
                <w:sz w:val="20"/>
                <w:szCs w:val="20"/>
                <w:color w:val="auto"/>
              </w:rPr>
            </w:pPr>
            <w:r>
              <w:rPr>
                <w:rFonts w:ascii="Arial" w:cs="Arial" w:eastAsia="Arial" w:hAnsi="Arial"/>
                <w:sz w:val="11"/>
                <w:szCs w:val="11"/>
                <w:b w:val="1"/>
                <w:bCs w:val="1"/>
                <w:color w:val="FFFFFF"/>
              </w:rPr>
              <w:t>Option</w:t>
            </w:r>
          </w:p>
        </w:tc>
        <w:tc>
          <w:tcPr>
            <w:tcW w:w="88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8"/>
              </w:rPr>
              <w:t>or Units of</w:t>
            </w:r>
          </w:p>
        </w:tc>
        <w:tc>
          <w:tcPr>
            <w:tcW w:w="820" w:type="dxa"/>
            <w:vAlign w:val="bottom"/>
            <w:vMerge w:val="continue"/>
            <w:shd w:val="clear" w:color="auto" w:fill="003595"/>
          </w:tcPr>
          <w:p>
            <w:pPr>
              <w:spacing w:after="0"/>
              <w:rPr>
                <w:sz w:val="4"/>
                <w:szCs w:val="4"/>
                <w:color w:val="auto"/>
              </w:rPr>
            </w:pPr>
          </w:p>
        </w:tc>
        <w:tc>
          <w:tcPr>
            <w:tcW w:w="120" w:type="dxa"/>
            <w:vAlign w:val="bottom"/>
            <w:shd w:val="clear" w:color="auto" w:fill="003595"/>
          </w:tcPr>
          <w:p>
            <w:pPr>
              <w:spacing w:after="0"/>
              <w:rPr>
                <w:sz w:val="4"/>
                <w:szCs w:val="4"/>
                <w:color w:val="auto"/>
              </w:rPr>
            </w:pPr>
          </w:p>
        </w:tc>
        <w:tc>
          <w:tcPr>
            <w:tcW w:w="1260" w:type="dxa"/>
            <w:vAlign w:val="bottom"/>
            <w:vMerge w:val="continue"/>
            <w:shd w:val="clear" w:color="auto" w:fill="003595"/>
          </w:tcPr>
          <w:p>
            <w:pPr>
              <w:spacing w:after="0"/>
              <w:rPr>
                <w:sz w:val="4"/>
                <w:szCs w:val="4"/>
                <w:color w:val="auto"/>
              </w:rPr>
            </w:pPr>
          </w:p>
        </w:tc>
        <w:tc>
          <w:tcPr>
            <w:tcW w:w="1240" w:type="dxa"/>
            <w:vAlign w:val="bottom"/>
            <w:vMerge w:val="continue"/>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820" w:type="dxa"/>
            <w:vAlign w:val="bottom"/>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360" w:type="dxa"/>
            <w:vAlign w:val="bottom"/>
            <w:gridSpan w:val="3"/>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6"/>
                <w:shd w:val="clear" w:color="auto" w:fill="003595"/>
              </w:rPr>
              <w:t>Date of</w:t>
            </w:r>
          </w:p>
        </w:tc>
        <w:tc>
          <w:tcPr>
            <w:tcW w:w="340" w:type="dxa"/>
            <w:vAlign w:val="bottom"/>
            <w:shd w:val="clear" w:color="auto" w:fill="003595"/>
          </w:tcPr>
          <w:p>
            <w:pPr>
              <w:spacing w:after="0"/>
              <w:rPr>
                <w:sz w:val="5"/>
                <w:szCs w:val="5"/>
                <w:color w:val="auto"/>
              </w:rPr>
            </w:pPr>
          </w:p>
        </w:tc>
        <w:tc>
          <w:tcPr>
            <w:tcW w:w="1020" w:type="dxa"/>
            <w:vAlign w:val="bottom"/>
            <w:vMerge w:val="continue"/>
            <w:shd w:val="clear" w:color="auto" w:fill="003595"/>
          </w:tcPr>
          <w:p>
            <w:pPr>
              <w:spacing w:after="0"/>
              <w:rPr>
                <w:sz w:val="5"/>
                <w:szCs w:val="5"/>
                <w:color w:val="auto"/>
              </w:rPr>
            </w:pPr>
          </w:p>
        </w:tc>
        <w:tc>
          <w:tcPr>
            <w:tcW w:w="1160" w:type="dxa"/>
            <w:vAlign w:val="bottom"/>
            <w:vMerge w:val="continue"/>
            <w:shd w:val="clear" w:color="auto" w:fill="003595"/>
          </w:tcPr>
          <w:p>
            <w:pPr>
              <w:spacing w:after="0"/>
              <w:rPr>
                <w:sz w:val="5"/>
                <w:szCs w:val="5"/>
                <w:color w:val="auto"/>
              </w:rPr>
            </w:pPr>
          </w:p>
        </w:tc>
        <w:tc>
          <w:tcPr>
            <w:tcW w:w="90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7"/>
              </w:rPr>
              <w:t>Exercise</w:t>
            </w:r>
          </w:p>
        </w:tc>
        <w:tc>
          <w:tcPr>
            <w:tcW w:w="980" w:type="dxa"/>
            <w:vAlign w:val="bottom"/>
            <w:vMerge w:val="continue"/>
            <w:shd w:val="clear" w:color="auto" w:fill="003595"/>
          </w:tcPr>
          <w:p>
            <w:pPr>
              <w:spacing w:after="0"/>
              <w:rPr>
                <w:sz w:val="5"/>
                <w:szCs w:val="5"/>
                <w:color w:val="auto"/>
              </w:rPr>
            </w:pPr>
          </w:p>
        </w:tc>
        <w:tc>
          <w:tcPr>
            <w:tcW w:w="880" w:type="dxa"/>
            <w:vAlign w:val="bottom"/>
            <w:vMerge w:val="continue"/>
            <w:shd w:val="clear" w:color="auto" w:fill="003595"/>
          </w:tcPr>
          <w:p>
            <w:pPr>
              <w:spacing w:after="0"/>
              <w:rPr>
                <w:sz w:val="5"/>
                <w:szCs w:val="5"/>
                <w:color w:val="auto"/>
              </w:rPr>
            </w:pPr>
          </w:p>
        </w:tc>
        <w:tc>
          <w:tcPr>
            <w:tcW w:w="820" w:type="dxa"/>
            <w:vAlign w:val="bottom"/>
            <w:vMerge w:val="restart"/>
            <w:shd w:val="clear" w:color="auto" w:fill="003595"/>
          </w:tcPr>
          <w:p>
            <w:pPr>
              <w:jc w:val="center"/>
              <w:ind w:left="63"/>
              <w:spacing w:after="0"/>
              <w:rPr>
                <w:sz w:val="20"/>
                <w:szCs w:val="20"/>
                <w:color w:val="auto"/>
              </w:rPr>
            </w:pPr>
            <w:r>
              <w:rPr>
                <w:rFonts w:ascii="Arial" w:cs="Arial" w:eastAsia="Arial" w:hAnsi="Arial"/>
                <w:sz w:val="11"/>
                <w:szCs w:val="11"/>
                <w:b w:val="1"/>
                <w:bCs w:val="1"/>
                <w:color w:val="FFFFFF"/>
                <w:w w:val="98"/>
              </w:rPr>
              <w:t>or Units of</w:t>
            </w:r>
          </w:p>
        </w:tc>
        <w:tc>
          <w:tcPr>
            <w:tcW w:w="120" w:type="dxa"/>
            <w:vAlign w:val="bottom"/>
            <w:shd w:val="clear" w:color="auto" w:fill="003595"/>
          </w:tcPr>
          <w:p>
            <w:pPr>
              <w:spacing w:after="0"/>
              <w:rPr>
                <w:sz w:val="5"/>
                <w:szCs w:val="5"/>
                <w:color w:val="auto"/>
              </w:rPr>
            </w:pPr>
          </w:p>
        </w:tc>
        <w:tc>
          <w:tcPr>
            <w:tcW w:w="126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Unearned</w:t>
            </w:r>
          </w:p>
        </w:tc>
        <w:tc>
          <w:tcPr>
            <w:tcW w:w="12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3"/>
              </w:rPr>
              <w:t>Value of</w:t>
            </w:r>
          </w:p>
        </w:tc>
        <w:tc>
          <w:tcPr>
            <w:tcW w:w="0" w:type="dxa"/>
            <w:vAlign w:val="bottom"/>
          </w:tcPr>
          <w:p>
            <w:pPr>
              <w:spacing w:after="0"/>
              <w:rPr>
                <w:sz w:val="1"/>
                <w:szCs w:val="1"/>
                <w:color w:val="auto"/>
              </w:rPr>
            </w:pPr>
          </w:p>
        </w:tc>
      </w:tr>
      <w:tr>
        <w:trPr>
          <w:trHeight w:val="68"/>
        </w:trPr>
        <w:tc>
          <w:tcPr>
            <w:tcW w:w="1820" w:type="dxa"/>
            <w:vAlign w:val="bottom"/>
            <w:vMerge w:val="restart"/>
            <w:shd w:val="clear" w:color="auto" w:fill="003595"/>
          </w:tcPr>
          <w:p>
            <w:pPr>
              <w:ind w:left="20"/>
              <w:spacing w:after="0" w:line="135" w:lineRule="exact"/>
              <w:rPr>
                <w:sz w:val="20"/>
                <w:szCs w:val="20"/>
                <w:color w:val="auto"/>
              </w:rPr>
            </w:pPr>
            <w:r>
              <w:rPr>
                <w:rFonts w:ascii="Arial" w:cs="Arial" w:eastAsia="Arial" w:hAnsi="Arial"/>
                <w:sz w:val="12"/>
                <w:szCs w:val="12"/>
                <w:b w:val="1"/>
                <w:bCs w:val="1"/>
                <w:color w:val="FFFFFF"/>
              </w:rPr>
              <w:t>Name</w:t>
            </w:r>
          </w:p>
        </w:tc>
        <w:tc>
          <w:tcPr>
            <w:tcW w:w="340" w:type="dxa"/>
            <w:vAlign w:val="bottom"/>
            <w:shd w:val="clear" w:color="auto" w:fill="003595"/>
          </w:tcPr>
          <w:p>
            <w:pPr>
              <w:spacing w:after="0"/>
              <w:rPr>
                <w:sz w:val="5"/>
                <w:szCs w:val="5"/>
                <w:color w:val="auto"/>
              </w:rPr>
            </w:pPr>
          </w:p>
        </w:tc>
        <w:tc>
          <w:tcPr>
            <w:tcW w:w="360" w:type="dxa"/>
            <w:vAlign w:val="bottom"/>
            <w:gridSpan w:val="3"/>
            <w:vMerge w:val="continue"/>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102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7"/>
              </w:rPr>
              <w:t>Unexercised</w:t>
            </w:r>
          </w:p>
        </w:tc>
        <w:tc>
          <w:tcPr>
            <w:tcW w:w="116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7"/>
              </w:rPr>
              <w:t>Unexercised</w:t>
            </w:r>
          </w:p>
        </w:tc>
        <w:tc>
          <w:tcPr>
            <w:tcW w:w="900" w:type="dxa"/>
            <w:vAlign w:val="bottom"/>
            <w:vMerge w:val="continue"/>
            <w:shd w:val="clear" w:color="auto" w:fill="003595"/>
          </w:tcPr>
          <w:p>
            <w:pPr>
              <w:spacing w:after="0"/>
              <w:rPr>
                <w:sz w:val="5"/>
                <w:szCs w:val="5"/>
                <w:color w:val="auto"/>
              </w:rPr>
            </w:pPr>
          </w:p>
        </w:tc>
        <w:tc>
          <w:tcPr>
            <w:tcW w:w="980" w:type="dxa"/>
            <w:vAlign w:val="bottom"/>
            <w:vMerge w:val="restart"/>
            <w:shd w:val="clear" w:color="auto" w:fill="003595"/>
          </w:tcPr>
          <w:p>
            <w:pPr>
              <w:jc w:val="center"/>
              <w:ind w:left="44"/>
              <w:spacing w:after="0"/>
              <w:rPr>
                <w:sz w:val="20"/>
                <w:szCs w:val="20"/>
                <w:color w:val="auto"/>
              </w:rPr>
            </w:pPr>
            <w:r>
              <w:rPr>
                <w:rFonts w:ascii="Arial" w:cs="Arial" w:eastAsia="Arial" w:hAnsi="Arial"/>
                <w:sz w:val="11"/>
                <w:szCs w:val="11"/>
                <w:b w:val="1"/>
                <w:bCs w:val="1"/>
                <w:color w:val="FFFFFF"/>
                <w:w w:val="96"/>
              </w:rPr>
              <w:t>Expiration</w:t>
            </w:r>
          </w:p>
        </w:tc>
        <w:tc>
          <w:tcPr>
            <w:tcW w:w="88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7"/>
              </w:rPr>
              <w:t>Stock that</w:t>
            </w:r>
          </w:p>
        </w:tc>
        <w:tc>
          <w:tcPr>
            <w:tcW w:w="820" w:type="dxa"/>
            <w:vAlign w:val="bottom"/>
            <w:vMerge w:val="continue"/>
            <w:shd w:val="clear" w:color="auto" w:fill="003595"/>
          </w:tcPr>
          <w:p>
            <w:pPr>
              <w:spacing w:after="0"/>
              <w:rPr>
                <w:sz w:val="5"/>
                <w:szCs w:val="5"/>
                <w:color w:val="auto"/>
              </w:rPr>
            </w:pPr>
          </w:p>
        </w:tc>
        <w:tc>
          <w:tcPr>
            <w:tcW w:w="120" w:type="dxa"/>
            <w:vAlign w:val="bottom"/>
            <w:shd w:val="clear" w:color="auto" w:fill="003595"/>
          </w:tcPr>
          <w:p>
            <w:pPr>
              <w:spacing w:after="0"/>
              <w:rPr>
                <w:sz w:val="5"/>
                <w:szCs w:val="5"/>
                <w:color w:val="auto"/>
              </w:rPr>
            </w:pPr>
          </w:p>
        </w:tc>
        <w:tc>
          <w:tcPr>
            <w:tcW w:w="1260" w:type="dxa"/>
            <w:vAlign w:val="bottom"/>
            <w:vMerge w:val="continue"/>
            <w:shd w:val="clear" w:color="auto" w:fill="003595"/>
          </w:tcPr>
          <w:p>
            <w:pPr>
              <w:spacing w:after="0"/>
              <w:rPr>
                <w:sz w:val="5"/>
                <w:szCs w:val="5"/>
                <w:color w:val="auto"/>
              </w:rPr>
            </w:pPr>
          </w:p>
        </w:tc>
        <w:tc>
          <w:tcPr>
            <w:tcW w:w="1240" w:type="dxa"/>
            <w:vAlign w:val="bottom"/>
            <w:vMerge w:val="continue"/>
            <w:shd w:val="clear" w:color="auto" w:fill="003595"/>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820" w:type="dxa"/>
            <w:vAlign w:val="bottom"/>
            <w:vMerge w:val="continue"/>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40" w:type="dxa"/>
            <w:vAlign w:val="bottom"/>
            <w:shd w:val="clear" w:color="auto" w:fill="003595"/>
          </w:tcPr>
          <w:p>
            <w:pPr>
              <w:spacing w:after="0"/>
              <w:rPr>
                <w:sz w:val="5"/>
                <w:szCs w:val="5"/>
                <w:color w:val="auto"/>
              </w:rPr>
            </w:pPr>
          </w:p>
        </w:tc>
        <w:tc>
          <w:tcPr>
            <w:tcW w:w="28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5"/>
                <w:shd w:val="clear" w:color="auto" w:fill="003595"/>
              </w:rPr>
              <w:t>Grant</w:t>
            </w:r>
          </w:p>
        </w:tc>
        <w:tc>
          <w:tcPr>
            <w:tcW w:w="40" w:type="dxa"/>
            <w:vAlign w:val="bottom"/>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1020" w:type="dxa"/>
            <w:vAlign w:val="bottom"/>
            <w:vMerge w:val="continue"/>
            <w:shd w:val="clear" w:color="auto" w:fill="003595"/>
          </w:tcPr>
          <w:p>
            <w:pPr>
              <w:spacing w:after="0"/>
              <w:rPr>
                <w:sz w:val="5"/>
                <w:szCs w:val="5"/>
                <w:color w:val="auto"/>
              </w:rPr>
            </w:pPr>
          </w:p>
        </w:tc>
        <w:tc>
          <w:tcPr>
            <w:tcW w:w="1160" w:type="dxa"/>
            <w:vAlign w:val="bottom"/>
            <w:vMerge w:val="continue"/>
            <w:shd w:val="clear" w:color="auto" w:fill="003595"/>
          </w:tcPr>
          <w:p>
            <w:pPr>
              <w:spacing w:after="0"/>
              <w:rPr>
                <w:sz w:val="5"/>
                <w:szCs w:val="5"/>
                <w:color w:val="auto"/>
              </w:rPr>
            </w:pPr>
          </w:p>
        </w:tc>
        <w:tc>
          <w:tcPr>
            <w:tcW w:w="90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2"/>
                <w:szCs w:val="12"/>
                <w:b w:val="1"/>
                <w:bCs w:val="1"/>
                <w:color w:val="FFFFFF"/>
                <w:w w:val="95"/>
              </w:rPr>
              <w:t>Price</w:t>
            </w:r>
          </w:p>
        </w:tc>
        <w:tc>
          <w:tcPr>
            <w:tcW w:w="980" w:type="dxa"/>
            <w:vAlign w:val="bottom"/>
            <w:vMerge w:val="continue"/>
            <w:shd w:val="clear" w:color="auto" w:fill="003595"/>
          </w:tcPr>
          <w:p>
            <w:pPr>
              <w:spacing w:after="0"/>
              <w:rPr>
                <w:sz w:val="5"/>
                <w:szCs w:val="5"/>
                <w:color w:val="auto"/>
              </w:rPr>
            </w:pPr>
          </w:p>
        </w:tc>
        <w:tc>
          <w:tcPr>
            <w:tcW w:w="880" w:type="dxa"/>
            <w:vAlign w:val="bottom"/>
            <w:vMerge w:val="continue"/>
            <w:shd w:val="clear" w:color="auto" w:fill="003595"/>
          </w:tcPr>
          <w:p>
            <w:pPr>
              <w:spacing w:after="0"/>
              <w:rPr>
                <w:sz w:val="5"/>
                <w:szCs w:val="5"/>
                <w:color w:val="auto"/>
              </w:rPr>
            </w:pPr>
          </w:p>
        </w:tc>
        <w:tc>
          <w:tcPr>
            <w:tcW w:w="820" w:type="dxa"/>
            <w:vAlign w:val="bottom"/>
            <w:vMerge w:val="restart"/>
            <w:shd w:val="clear" w:color="auto" w:fill="003595"/>
          </w:tcPr>
          <w:p>
            <w:pPr>
              <w:jc w:val="center"/>
              <w:ind w:left="83"/>
              <w:spacing w:after="0" w:line="122" w:lineRule="exact"/>
              <w:rPr>
                <w:sz w:val="20"/>
                <w:szCs w:val="20"/>
                <w:color w:val="auto"/>
              </w:rPr>
            </w:pPr>
            <w:r>
              <w:rPr>
                <w:rFonts w:ascii="Arial" w:cs="Arial" w:eastAsia="Arial" w:hAnsi="Arial"/>
                <w:sz w:val="11"/>
                <w:szCs w:val="11"/>
                <w:b w:val="1"/>
                <w:bCs w:val="1"/>
                <w:color w:val="FFFFFF"/>
                <w:w w:val="97"/>
              </w:rPr>
              <w:t>Stock that</w:t>
            </w:r>
          </w:p>
        </w:tc>
        <w:tc>
          <w:tcPr>
            <w:tcW w:w="120" w:type="dxa"/>
            <w:vAlign w:val="bottom"/>
            <w:shd w:val="clear" w:color="auto" w:fill="003595"/>
          </w:tcPr>
          <w:p>
            <w:pPr>
              <w:spacing w:after="0"/>
              <w:rPr>
                <w:sz w:val="5"/>
                <w:szCs w:val="5"/>
                <w:color w:val="auto"/>
              </w:rPr>
            </w:pPr>
          </w:p>
        </w:tc>
        <w:tc>
          <w:tcPr>
            <w:tcW w:w="126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9"/>
              </w:rPr>
              <w:t>Shares, Units</w:t>
            </w:r>
          </w:p>
        </w:tc>
        <w:tc>
          <w:tcPr>
            <w:tcW w:w="124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8"/>
              </w:rPr>
              <w:t>Unearned</w:t>
            </w:r>
          </w:p>
        </w:tc>
        <w:tc>
          <w:tcPr>
            <w:tcW w:w="0" w:type="dxa"/>
            <w:vAlign w:val="bottom"/>
          </w:tcPr>
          <w:p>
            <w:pPr>
              <w:spacing w:after="0"/>
              <w:rPr>
                <w:sz w:val="1"/>
                <w:szCs w:val="1"/>
                <w:color w:val="auto"/>
              </w:rPr>
            </w:pPr>
          </w:p>
        </w:tc>
      </w:tr>
      <w:tr>
        <w:trPr>
          <w:trHeight w:val="54"/>
        </w:trPr>
        <w:tc>
          <w:tcPr>
            <w:tcW w:w="182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280" w:type="dxa"/>
            <w:vAlign w:val="bottom"/>
            <w:vMerge w:val="continue"/>
            <w:shd w:val="clear" w:color="auto" w:fill="003595"/>
          </w:tcPr>
          <w:p>
            <w:pPr>
              <w:spacing w:after="0"/>
              <w:rPr>
                <w:sz w:val="4"/>
                <w:szCs w:val="4"/>
                <w:color w:val="auto"/>
              </w:rPr>
            </w:pPr>
          </w:p>
        </w:tc>
        <w:tc>
          <w:tcPr>
            <w:tcW w:w="380" w:type="dxa"/>
            <w:vAlign w:val="bottom"/>
            <w:gridSpan w:val="2"/>
            <w:shd w:val="clear" w:color="auto" w:fill="003595"/>
          </w:tcPr>
          <w:p>
            <w:pPr>
              <w:spacing w:after="0"/>
              <w:rPr>
                <w:sz w:val="4"/>
                <w:szCs w:val="4"/>
                <w:color w:val="auto"/>
              </w:rPr>
            </w:pPr>
          </w:p>
        </w:tc>
        <w:tc>
          <w:tcPr>
            <w:tcW w:w="102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6"/>
              </w:rPr>
              <w:t>Options</w:t>
            </w:r>
          </w:p>
        </w:tc>
        <w:tc>
          <w:tcPr>
            <w:tcW w:w="116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6"/>
              </w:rPr>
              <w:t>Options</w:t>
            </w:r>
          </w:p>
        </w:tc>
        <w:tc>
          <w:tcPr>
            <w:tcW w:w="900" w:type="dxa"/>
            <w:vAlign w:val="bottom"/>
            <w:vMerge w:val="continue"/>
            <w:shd w:val="clear" w:color="auto" w:fill="003595"/>
          </w:tcPr>
          <w:p>
            <w:pPr>
              <w:spacing w:after="0"/>
              <w:rPr>
                <w:sz w:val="4"/>
                <w:szCs w:val="4"/>
                <w:color w:val="auto"/>
              </w:rPr>
            </w:pPr>
          </w:p>
        </w:tc>
        <w:tc>
          <w:tcPr>
            <w:tcW w:w="980" w:type="dxa"/>
            <w:vAlign w:val="bottom"/>
            <w:vMerge w:val="restart"/>
            <w:shd w:val="clear" w:color="auto" w:fill="003595"/>
          </w:tcPr>
          <w:p>
            <w:pPr>
              <w:jc w:val="center"/>
              <w:ind w:left="44"/>
              <w:spacing w:after="0"/>
              <w:rPr>
                <w:sz w:val="20"/>
                <w:szCs w:val="20"/>
                <w:color w:val="auto"/>
              </w:rPr>
            </w:pPr>
            <w:r>
              <w:rPr>
                <w:rFonts w:ascii="Arial" w:cs="Arial" w:eastAsia="Arial" w:hAnsi="Arial"/>
                <w:sz w:val="11"/>
                <w:szCs w:val="11"/>
                <w:b w:val="1"/>
                <w:bCs w:val="1"/>
                <w:color w:val="FFFFFF"/>
              </w:rPr>
              <w:t>Date</w:t>
            </w:r>
          </w:p>
        </w:tc>
        <w:tc>
          <w:tcPr>
            <w:tcW w:w="88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Have not</w:t>
            </w:r>
          </w:p>
        </w:tc>
        <w:tc>
          <w:tcPr>
            <w:tcW w:w="820" w:type="dxa"/>
            <w:vAlign w:val="bottom"/>
            <w:vMerge w:val="continue"/>
            <w:shd w:val="clear" w:color="auto" w:fill="003595"/>
          </w:tcPr>
          <w:p>
            <w:pPr>
              <w:spacing w:after="0"/>
              <w:rPr>
                <w:sz w:val="4"/>
                <w:szCs w:val="4"/>
                <w:color w:val="auto"/>
              </w:rPr>
            </w:pPr>
          </w:p>
        </w:tc>
        <w:tc>
          <w:tcPr>
            <w:tcW w:w="120" w:type="dxa"/>
            <w:vAlign w:val="bottom"/>
            <w:shd w:val="clear" w:color="auto" w:fill="003595"/>
          </w:tcPr>
          <w:p>
            <w:pPr>
              <w:spacing w:after="0"/>
              <w:rPr>
                <w:sz w:val="4"/>
                <w:szCs w:val="4"/>
                <w:color w:val="auto"/>
              </w:rPr>
            </w:pPr>
          </w:p>
        </w:tc>
        <w:tc>
          <w:tcPr>
            <w:tcW w:w="1260" w:type="dxa"/>
            <w:vAlign w:val="bottom"/>
            <w:vMerge w:val="continue"/>
            <w:shd w:val="clear" w:color="auto" w:fill="003595"/>
          </w:tcPr>
          <w:p>
            <w:pPr>
              <w:spacing w:after="0"/>
              <w:rPr>
                <w:sz w:val="4"/>
                <w:szCs w:val="4"/>
                <w:color w:val="auto"/>
              </w:rPr>
            </w:pPr>
          </w:p>
        </w:tc>
        <w:tc>
          <w:tcPr>
            <w:tcW w:w="1240" w:type="dxa"/>
            <w:vAlign w:val="bottom"/>
            <w:vMerge w:val="continue"/>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20" w:type="dxa"/>
            <w:vAlign w:val="bottom"/>
            <w:shd w:val="clear" w:color="auto" w:fill="003595"/>
          </w:tcPr>
          <w:p>
            <w:pPr>
              <w:spacing w:after="0"/>
              <w:rPr>
                <w:sz w:val="7"/>
                <w:szCs w:val="7"/>
                <w:color w:val="auto"/>
              </w:rPr>
            </w:pPr>
          </w:p>
        </w:tc>
        <w:tc>
          <w:tcPr>
            <w:tcW w:w="340" w:type="dxa"/>
            <w:vAlign w:val="bottom"/>
            <w:shd w:val="clear" w:color="auto" w:fill="003595"/>
          </w:tcPr>
          <w:p>
            <w:pPr>
              <w:spacing w:after="0"/>
              <w:rPr>
                <w:sz w:val="7"/>
                <w:szCs w:val="7"/>
                <w:color w:val="auto"/>
              </w:rPr>
            </w:pPr>
          </w:p>
        </w:tc>
        <w:tc>
          <w:tcPr>
            <w:tcW w:w="40" w:type="dxa"/>
            <w:vAlign w:val="bottom"/>
            <w:shd w:val="clear" w:color="auto" w:fill="003595"/>
          </w:tcPr>
          <w:p>
            <w:pPr>
              <w:spacing w:after="0"/>
              <w:rPr>
                <w:sz w:val="7"/>
                <w:szCs w:val="7"/>
                <w:color w:val="auto"/>
              </w:rPr>
            </w:pPr>
          </w:p>
        </w:tc>
        <w:tc>
          <w:tcPr>
            <w:tcW w:w="280" w:type="dxa"/>
            <w:vAlign w:val="bottom"/>
            <w:shd w:val="clear" w:color="auto" w:fill="003595"/>
          </w:tcPr>
          <w:p>
            <w:pPr>
              <w:spacing w:after="0"/>
              <w:rPr>
                <w:sz w:val="7"/>
                <w:szCs w:val="7"/>
                <w:color w:val="auto"/>
              </w:rPr>
            </w:pPr>
          </w:p>
        </w:tc>
        <w:tc>
          <w:tcPr>
            <w:tcW w:w="40" w:type="dxa"/>
            <w:vAlign w:val="bottom"/>
            <w:shd w:val="clear" w:color="auto" w:fill="003595"/>
          </w:tcPr>
          <w:p>
            <w:pPr>
              <w:spacing w:after="0"/>
              <w:rPr>
                <w:sz w:val="7"/>
                <w:szCs w:val="7"/>
                <w:color w:val="auto"/>
              </w:rPr>
            </w:pPr>
          </w:p>
        </w:tc>
        <w:tc>
          <w:tcPr>
            <w:tcW w:w="340" w:type="dxa"/>
            <w:vAlign w:val="bottom"/>
            <w:shd w:val="clear" w:color="auto" w:fill="003595"/>
          </w:tcPr>
          <w:p>
            <w:pPr>
              <w:spacing w:after="0"/>
              <w:rPr>
                <w:sz w:val="7"/>
                <w:szCs w:val="7"/>
                <w:color w:val="auto"/>
              </w:rPr>
            </w:pPr>
          </w:p>
        </w:tc>
        <w:tc>
          <w:tcPr>
            <w:tcW w:w="1020" w:type="dxa"/>
            <w:vAlign w:val="bottom"/>
            <w:vMerge w:val="continue"/>
            <w:shd w:val="clear" w:color="auto" w:fill="003595"/>
          </w:tcPr>
          <w:p>
            <w:pPr>
              <w:spacing w:after="0"/>
              <w:rPr>
                <w:sz w:val="7"/>
                <w:szCs w:val="7"/>
                <w:color w:val="auto"/>
              </w:rPr>
            </w:pPr>
          </w:p>
        </w:tc>
        <w:tc>
          <w:tcPr>
            <w:tcW w:w="1160" w:type="dxa"/>
            <w:vAlign w:val="bottom"/>
            <w:vMerge w:val="continue"/>
            <w:shd w:val="clear" w:color="auto" w:fill="003595"/>
          </w:tcPr>
          <w:p>
            <w:pPr>
              <w:spacing w:after="0"/>
              <w:rPr>
                <w:sz w:val="7"/>
                <w:szCs w:val="7"/>
                <w:color w:val="auto"/>
              </w:rPr>
            </w:pPr>
          </w:p>
        </w:tc>
        <w:tc>
          <w:tcPr>
            <w:tcW w:w="900" w:type="dxa"/>
            <w:vAlign w:val="bottom"/>
            <w:vMerge w:val="restart"/>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w w:val="95"/>
              </w:rPr>
              <w:t>($)</w:t>
            </w:r>
          </w:p>
        </w:tc>
        <w:tc>
          <w:tcPr>
            <w:tcW w:w="980" w:type="dxa"/>
            <w:vAlign w:val="bottom"/>
            <w:vMerge w:val="continue"/>
            <w:shd w:val="clear" w:color="auto" w:fill="003595"/>
          </w:tcPr>
          <w:p>
            <w:pPr>
              <w:spacing w:after="0"/>
              <w:rPr>
                <w:sz w:val="7"/>
                <w:szCs w:val="7"/>
                <w:color w:val="auto"/>
              </w:rPr>
            </w:pPr>
          </w:p>
        </w:tc>
        <w:tc>
          <w:tcPr>
            <w:tcW w:w="880" w:type="dxa"/>
            <w:vAlign w:val="bottom"/>
            <w:vMerge w:val="continue"/>
            <w:shd w:val="clear" w:color="auto" w:fill="003595"/>
          </w:tcPr>
          <w:p>
            <w:pPr>
              <w:spacing w:after="0"/>
              <w:rPr>
                <w:sz w:val="7"/>
                <w:szCs w:val="7"/>
                <w:color w:val="auto"/>
              </w:rPr>
            </w:pPr>
          </w:p>
        </w:tc>
        <w:tc>
          <w:tcPr>
            <w:tcW w:w="820" w:type="dxa"/>
            <w:vAlign w:val="bottom"/>
            <w:vMerge w:val="restart"/>
            <w:shd w:val="clear" w:color="auto" w:fill="003595"/>
          </w:tcPr>
          <w:p>
            <w:pPr>
              <w:jc w:val="center"/>
              <w:ind w:left="63"/>
              <w:spacing w:after="0"/>
              <w:rPr>
                <w:sz w:val="20"/>
                <w:szCs w:val="20"/>
                <w:color w:val="auto"/>
              </w:rPr>
            </w:pPr>
            <w:r>
              <w:rPr>
                <w:rFonts w:ascii="Arial" w:cs="Arial" w:eastAsia="Arial" w:hAnsi="Arial"/>
                <w:sz w:val="11"/>
                <w:szCs w:val="11"/>
                <w:b w:val="1"/>
                <w:bCs w:val="1"/>
                <w:color w:val="FFFFFF"/>
                <w:w w:val="98"/>
              </w:rPr>
              <w:t>Have not</w:t>
            </w:r>
          </w:p>
        </w:tc>
        <w:tc>
          <w:tcPr>
            <w:tcW w:w="120" w:type="dxa"/>
            <w:vAlign w:val="bottom"/>
            <w:shd w:val="clear" w:color="auto" w:fill="003595"/>
          </w:tcPr>
          <w:p>
            <w:pPr>
              <w:spacing w:after="0"/>
              <w:rPr>
                <w:sz w:val="7"/>
                <w:szCs w:val="7"/>
                <w:color w:val="auto"/>
              </w:rPr>
            </w:pPr>
          </w:p>
        </w:tc>
        <w:tc>
          <w:tcPr>
            <w:tcW w:w="126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6"/>
              </w:rPr>
              <w:t>or Other Rights</w:t>
            </w:r>
          </w:p>
        </w:tc>
        <w:tc>
          <w:tcPr>
            <w:tcW w:w="12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6"/>
              </w:rPr>
              <w:t>Shares, Units</w:t>
            </w:r>
          </w:p>
        </w:tc>
        <w:tc>
          <w:tcPr>
            <w:tcW w:w="0" w:type="dxa"/>
            <w:vAlign w:val="bottom"/>
          </w:tcPr>
          <w:p>
            <w:pPr>
              <w:spacing w:after="0"/>
              <w:rPr>
                <w:sz w:val="1"/>
                <w:szCs w:val="1"/>
                <w:color w:val="auto"/>
              </w:rPr>
            </w:pPr>
          </w:p>
        </w:tc>
      </w:tr>
      <w:tr>
        <w:trPr>
          <w:trHeight w:val="54"/>
        </w:trPr>
        <w:tc>
          <w:tcPr>
            <w:tcW w:w="182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28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102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8"/>
              </w:rPr>
              <w:t>Exercisable</w:t>
            </w:r>
          </w:p>
        </w:tc>
        <w:tc>
          <w:tcPr>
            <w:tcW w:w="1160" w:type="dxa"/>
            <w:vAlign w:val="bottom"/>
            <w:vMerge w:val="restart"/>
            <w:shd w:val="clear" w:color="auto" w:fill="003595"/>
          </w:tcPr>
          <w:p>
            <w:pPr>
              <w:jc w:val="center"/>
              <w:ind w:right="5"/>
              <w:spacing w:after="0" w:line="122" w:lineRule="exact"/>
              <w:rPr>
                <w:sz w:val="20"/>
                <w:szCs w:val="20"/>
                <w:color w:val="auto"/>
              </w:rPr>
            </w:pPr>
            <w:r>
              <w:rPr>
                <w:rFonts w:ascii="Arial" w:cs="Arial" w:eastAsia="Arial" w:hAnsi="Arial"/>
                <w:sz w:val="11"/>
                <w:szCs w:val="11"/>
                <w:b w:val="1"/>
                <w:bCs w:val="1"/>
                <w:color w:val="FFFFFF"/>
                <w:w w:val="99"/>
              </w:rPr>
              <w:t>Unexercisable</w:t>
            </w:r>
          </w:p>
        </w:tc>
        <w:tc>
          <w:tcPr>
            <w:tcW w:w="900" w:type="dxa"/>
            <w:vAlign w:val="bottom"/>
            <w:vMerge w:val="continue"/>
            <w:shd w:val="clear" w:color="auto" w:fill="003595"/>
          </w:tcPr>
          <w:p>
            <w:pPr>
              <w:spacing w:after="0"/>
              <w:rPr>
                <w:sz w:val="4"/>
                <w:szCs w:val="4"/>
                <w:color w:val="auto"/>
              </w:rPr>
            </w:pPr>
          </w:p>
        </w:tc>
        <w:tc>
          <w:tcPr>
            <w:tcW w:w="980" w:type="dxa"/>
            <w:vAlign w:val="bottom"/>
            <w:shd w:val="clear" w:color="auto" w:fill="003595"/>
          </w:tcPr>
          <w:p>
            <w:pPr>
              <w:spacing w:after="0"/>
              <w:rPr>
                <w:sz w:val="4"/>
                <w:szCs w:val="4"/>
                <w:color w:val="auto"/>
              </w:rPr>
            </w:pPr>
          </w:p>
        </w:tc>
        <w:tc>
          <w:tcPr>
            <w:tcW w:w="88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4"/>
              </w:rPr>
              <w:t>Vested</w:t>
            </w:r>
          </w:p>
        </w:tc>
        <w:tc>
          <w:tcPr>
            <w:tcW w:w="820" w:type="dxa"/>
            <w:vAlign w:val="bottom"/>
            <w:vMerge w:val="continue"/>
            <w:shd w:val="clear" w:color="auto" w:fill="003595"/>
          </w:tcPr>
          <w:p>
            <w:pPr>
              <w:spacing w:after="0"/>
              <w:rPr>
                <w:sz w:val="4"/>
                <w:szCs w:val="4"/>
                <w:color w:val="auto"/>
              </w:rPr>
            </w:pPr>
          </w:p>
        </w:tc>
        <w:tc>
          <w:tcPr>
            <w:tcW w:w="120" w:type="dxa"/>
            <w:vAlign w:val="bottom"/>
            <w:shd w:val="clear" w:color="auto" w:fill="003595"/>
          </w:tcPr>
          <w:p>
            <w:pPr>
              <w:spacing w:after="0"/>
              <w:rPr>
                <w:sz w:val="4"/>
                <w:szCs w:val="4"/>
                <w:color w:val="auto"/>
              </w:rPr>
            </w:pPr>
          </w:p>
        </w:tc>
        <w:tc>
          <w:tcPr>
            <w:tcW w:w="1260" w:type="dxa"/>
            <w:vAlign w:val="bottom"/>
            <w:vMerge w:val="continue"/>
            <w:shd w:val="clear" w:color="auto" w:fill="003595"/>
          </w:tcPr>
          <w:p>
            <w:pPr>
              <w:spacing w:after="0"/>
              <w:rPr>
                <w:sz w:val="4"/>
                <w:szCs w:val="4"/>
                <w:color w:val="auto"/>
              </w:rPr>
            </w:pPr>
          </w:p>
        </w:tc>
        <w:tc>
          <w:tcPr>
            <w:tcW w:w="1240" w:type="dxa"/>
            <w:vAlign w:val="bottom"/>
            <w:vMerge w:val="continue"/>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820" w:type="dxa"/>
            <w:vAlign w:val="bottom"/>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40" w:type="dxa"/>
            <w:vAlign w:val="bottom"/>
            <w:shd w:val="clear" w:color="auto" w:fill="003595"/>
          </w:tcPr>
          <w:p>
            <w:pPr>
              <w:spacing w:after="0"/>
              <w:rPr>
                <w:sz w:val="5"/>
                <w:szCs w:val="5"/>
                <w:color w:val="auto"/>
              </w:rPr>
            </w:pPr>
          </w:p>
        </w:tc>
        <w:tc>
          <w:tcPr>
            <w:tcW w:w="280" w:type="dxa"/>
            <w:vAlign w:val="bottom"/>
            <w:shd w:val="clear" w:color="auto" w:fill="003595"/>
          </w:tcPr>
          <w:p>
            <w:pPr>
              <w:spacing w:after="0"/>
              <w:rPr>
                <w:sz w:val="5"/>
                <w:szCs w:val="5"/>
                <w:color w:val="auto"/>
              </w:rPr>
            </w:pPr>
          </w:p>
        </w:tc>
        <w:tc>
          <w:tcPr>
            <w:tcW w:w="40" w:type="dxa"/>
            <w:vAlign w:val="bottom"/>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1020" w:type="dxa"/>
            <w:vAlign w:val="bottom"/>
            <w:vMerge w:val="continue"/>
            <w:shd w:val="clear" w:color="auto" w:fill="003595"/>
          </w:tcPr>
          <w:p>
            <w:pPr>
              <w:spacing w:after="0"/>
              <w:rPr>
                <w:sz w:val="5"/>
                <w:szCs w:val="5"/>
                <w:color w:val="auto"/>
              </w:rPr>
            </w:pPr>
          </w:p>
        </w:tc>
        <w:tc>
          <w:tcPr>
            <w:tcW w:w="1160" w:type="dxa"/>
            <w:vAlign w:val="bottom"/>
            <w:vMerge w:val="continue"/>
            <w:shd w:val="clear" w:color="auto" w:fill="003595"/>
          </w:tcPr>
          <w:p>
            <w:pPr>
              <w:spacing w:after="0"/>
              <w:rPr>
                <w:sz w:val="5"/>
                <w:szCs w:val="5"/>
                <w:color w:val="auto"/>
              </w:rPr>
            </w:pPr>
          </w:p>
        </w:tc>
        <w:tc>
          <w:tcPr>
            <w:tcW w:w="900" w:type="dxa"/>
            <w:vAlign w:val="bottom"/>
            <w:shd w:val="clear" w:color="auto" w:fill="003595"/>
          </w:tcPr>
          <w:p>
            <w:pPr>
              <w:spacing w:after="0"/>
              <w:rPr>
                <w:sz w:val="5"/>
                <w:szCs w:val="5"/>
                <w:color w:val="auto"/>
              </w:rPr>
            </w:pPr>
          </w:p>
        </w:tc>
        <w:tc>
          <w:tcPr>
            <w:tcW w:w="980" w:type="dxa"/>
            <w:vAlign w:val="bottom"/>
            <w:shd w:val="clear" w:color="auto" w:fill="003595"/>
          </w:tcPr>
          <w:p>
            <w:pPr>
              <w:spacing w:after="0"/>
              <w:rPr>
                <w:sz w:val="5"/>
                <w:szCs w:val="5"/>
                <w:color w:val="auto"/>
              </w:rPr>
            </w:pPr>
          </w:p>
        </w:tc>
        <w:tc>
          <w:tcPr>
            <w:tcW w:w="880" w:type="dxa"/>
            <w:vAlign w:val="bottom"/>
            <w:vMerge w:val="continue"/>
            <w:shd w:val="clear" w:color="auto" w:fill="003595"/>
          </w:tcPr>
          <w:p>
            <w:pPr>
              <w:spacing w:after="0"/>
              <w:rPr>
                <w:sz w:val="5"/>
                <w:szCs w:val="5"/>
                <w:color w:val="auto"/>
              </w:rPr>
            </w:pPr>
          </w:p>
        </w:tc>
        <w:tc>
          <w:tcPr>
            <w:tcW w:w="820" w:type="dxa"/>
            <w:vAlign w:val="bottom"/>
            <w:vMerge w:val="restart"/>
            <w:shd w:val="clear" w:color="auto" w:fill="003595"/>
          </w:tcPr>
          <w:p>
            <w:pPr>
              <w:jc w:val="center"/>
              <w:ind w:left="83"/>
              <w:spacing w:after="0" w:line="122" w:lineRule="exact"/>
              <w:rPr>
                <w:sz w:val="20"/>
                <w:szCs w:val="20"/>
                <w:color w:val="auto"/>
              </w:rPr>
            </w:pPr>
            <w:r>
              <w:rPr>
                <w:rFonts w:ascii="Arial" w:cs="Arial" w:eastAsia="Arial" w:hAnsi="Arial"/>
                <w:sz w:val="11"/>
                <w:szCs w:val="11"/>
                <w:b w:val="1"/>
                <w:bCs w:val="1"/>
                <w:color w:val="FFFFFF"/>
                <w:w w:val="99"/>
              </w:rPr>
              <w:t>Vested</w:t>
            </w:r>
          </w:p>
        </w:tc>
        <w:tc>
          <w:tcPr>
            <w:tcW w:w="120" w:type="dxa"/>
            <w:vAlign w:val="bottom"/>
            <w:shd w:val="clear" w:color="auto" w:fill="003595"/>
          </w:tcPr>
          <w:p>
            <w:pPr>
              <w:spacing w:after="0"/>
              <w:rPr>
                <w:sz w:val="5"/>
                <w:szCs w:val="5"/>
                <w:color w:val="auto"/>
              </w:rPr>
            </w:pPr>
          </w:p>
        </w:tc>
        <w:tc>
          <w:tcPr>
            <w:tcW w:w="126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rPr>
              <w:t>that Have</w:t>
            </w:r>
          </w:p>
        </w:tc>
        <w:tc>
          <w:tcPr>
            <w:tcW w:w="124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9"/>
              </w:rPr>
              <w:t>or Other Rights</w:t>
            </w:r>
          </w:p>
        </w:tc>
        <w:tc>
          <w:tcPr>
            <w:tcW w:w="0" w:type="dxa"/>
            <w:vAlign w:val="bottom"/>
          </w:tcPr>
          <w:p>
            <w:pPr>
              <w:spacing w:after="0"/>
              <w:rPr>
                <w:sz w:val="1"/>
                <w:szCs w:val="1"/>
                <w:color w:val="auto"/>
              </w:rPr>
            </w:pPr>
          </w:p>
        </w:tc>
      </w:tr>
      <w:tr>
        <w:trPr>
          <w:trHeight w:val="54"/>
        </w:trPr>
        <w:tc>
          <w:tcPr>
            <w:tcW w:w="182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28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102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88"/>
              </w:rPr>
              <w:t>(#)</w:t>
            </w:r>
          </w:p>
        </w:tc>
        <w:tc>
          <w:tcPr>
            <w:tcW w:w="1160" w:type="dxa"/>
            <w:vAlign w:val="bottom"/>
            <w:vMerge w:val="restart"/>
            <w:shd w:val="clear" w:color="auto" w:fill="003595"/>
          </w:tcPr>
          <w:p>
            <w:pPr>
              <w:jc w:val="right"/>
              <w:ind w:right="485"/>
              <w:spacing w:after="0"/>
              <w:rPr>
                <w:sz w:val="20"/>
                <w:szCs w:val="20"/>
                <w:color w:val="auto"/>
              </w:rPr>
            </w:pPr>
            <w:r>
              <w:rPr>
                <w:rFonts w:ascii="Arial" w:cs="Arial" w:eastAsia="Arial" w:hAnsi="Arial"/>
                <w:sz w:val="11"/>
                <w:szCs w:val="11"/>
                <w:b w:val="1"/>
                <w:bCs w:val="1"/>
                <w:color w:val="FFFFFF"/>
              </w:rPr>
              <w:t>(#)</w:t>
            </w:r>
          </w:p>
        </w:tc>
        <w:tc>
          <w:tcPr>
            <w:tcW w:w="900" w:type="dxa"/>
            <w:vAlign w:val="bottom"/>
            <w:shd w:val="clear" w:color="auto" w:fill="003595"/>
          </w:tcPr>
          <w:p>
            <w:pPr>
              <w:spacing w:after="0"/>
              <w:rPr>
                <w:sz w:val="4"/>
                <w:szCs w:val="4"/>
                <w:color w:val="auto"/>
              </w:rPr>
            </w:pPr>
          </w:p>
        </w:tc>
        <w:tc>
          <w:tcPr>
            <w:tcW w:w="980" w:type="dxa"/>
            <w:vAlign w:val="bottom"/>
            <w:shd w:val="clear" w:color="auto" w:fill="003595"/>
          </w:tcPr>
          <w:p>
            <w:pPr>
              <w:spacing w:after="0"/>
              <w:rPr>
                <w:sz w:val="4"/>
                <w:szCs w:val="4"/>
                <w:color w:val="auto"/>
              </w:rPr>
            </w:pPr>
          </w:p>
        </w:tc>
        <w:tc>
          <w:tcPr>
            <w:tcW w:w="88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6"/>
              </w:rPr>
              <w:t>(#)(3)</w:t>
            </w:r>
          </w:p>
        </w:tc>
        <w:tc>
          <w:tcPr>
            <w:tcW w:w="820" w:type="dxa"/>
            <w:vAlign w:val="bottom"/>
            <w:vMerge w:val="continue"/>
            <w:shd w:val="clear" w:color="auto" w:fill="003595"/>
          </w:tcPr>
          <w:p>
            <w:pPr>
              <w:spacing w:after="0"/>
              <w:rPr>
                <w:sz w:val="4"/>
                <w:szCs w:val="4"/>
                <w:color w:val="auto"/>
              </w:rPr>
            </w:pPr>
          </w:p>
        </w:tc>
        <w:tc>
          <w:tcPr>
            <w:tcW w:w="120" w:type="dxa"/>
            <w:vAlign w:val="bottom"/>
            <w:shd w:val="clear" w:color="auto" w:fill="003595"/>
          </w:tcPr>
          <w:p>
            <w:pPr>
              <w:spacing w:after="0"/>
              <w:rPr>
                <w:sz w:val="4"/>
                <w:szCs w:val="4"/>
                <w:color w:val="auto"/>
              </w:rPr>
            </w:pPr>
          </w:p>
        </w:tc>
        <w:tc>
          <w:tcPr>
            <w:tcW w:w="1260" w:type="dxa"/>
            <w:vAlign w:val="bottom"/>
            <w:vMerge w:val="continue"/>
            <w:shd w:val="clear" w:color="auto" w:fill="003595"/>
          </w:tcPr>
          <w:p>
            <w:pPr>
              <w:spacing w:after="0"/>
              <w:rPr>
                <w:sz w:val="4"/>
                <w:szCs w:val="4"/>
                <w:color w:val="auto"/>
              </w:rPr>
            </w:pPr>
          </w:p>
        </w:tc>
        <w:tc>
          <w:tcPr>
            <w:tcW w:w="1240" w:type="dxa"/>
            <w:vAlign w:val="bottom"/>
            <w:vMerge w:val="continue"/>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820" w:type="dxa"/>
            <w:vAlign w:val="bottom"/>
            <w:shd w:val="clear" w:color="auto" w:fill="003595"/>
          </w:tcPr>
          <w:p>
            <w:pPr>
              <w:spacing w:after="0"/>
              <w:rPr>
                <w:sz w:val="8"/>
                <w:szCs w:val="8"/>
                <w:color w:val="auto"/>
              </w:rPr>
            </w:pPr>
          </w:p>
        </w:tc>
        <w:tc>
          <w:tcPr>
            <w:tcW w:w="340" w:type="dxa"/>
            <w:vAlign w:val="bottom"/>
            <w:shd w:val="clear" w:color="auto" w:fill="003595"/>
          </w:tcPr>
          <w:p>
            <w:pPr>
              <w:spacing w:after="0"/>
              <w:rPr>
                <w:sz w:val="8"/>
                <w:szCs w:val="8"/>
                <w:color w:val="auto"/>
              </w:rPr>
            </w:pPr>
          </w:p>
        </w:tc>
        <w:tc>
          <w:tcPr>
            <w:tcW w:w="40" w:type="dxa"/>
            <w:vAlign w:val="bottom"/>
            <w:shd w:val="clear" w:color="auto" w:fill="003595"/>
          </w:tcPr>
          <w:p>
            <w:pPr>
              <w:spacing w:after="0"/>
              <w:rPr>
                <w:sz w:val="8"/>
                <w:szCs w:val="8"/>
                <w:color w:val="auto"/>
              </w:rPr>
            </w:pPr>
          </w:p>
        </w:tc>
        <w:tc>
          <w:tcPr>
            <w:tcW w:w="280" w:type="dxa"/>
            <w:vAlign w:val="bottom"/>
            <w:shd w:val="clear" w:color="auto" w:fill="003595"/>
          </w:tcPr>
          <w:p>
            <w:pPr>
              <w:spacing w:after="0"/>
              <w:rPr>
                <w:sz w:val="8"/>
                <w:szCs w:val="8"/>
                <w:color w:val="auto"/>
              </w:rPr>
            </w:pPr>
          </w:p>
        </w:tc>
        <w:tc>
          <w:tcPr>
            <w:tcW w:w="40" w:type="dxa"/>
            <w:vAlign w:val="bottom"/>
            <w:shd w:val="clear" w:color="auto" w:fill="003595"/>
          </w:tcPr>
          <w:p>
            <w:pPr>
              <w:spacing w:after="0"/>
              <w:rPr>
                <w:sz w:val="8"/>
                <w:szCs w:val="8"/>
                <w:color w:val="auto"/>
              </w:rPr>
            </w:pPr>
          </w:p>
        </w:tc>
        <w:tc>
          <w:tcPr>
            <w:tcW w:w="340" w:type="dxa"/>
            <w:vAlign w:val="bottom"/>
            <w:shd w:val="clear" w:color="auto" w:fill="003595"/>
          </w:tcPr>
          <w:p>
            <w:pPr>
              <w:spacing w:after="0"/>
              <w:rPr>
                <w:sz w:val="8"/>
                <w:szCs w:val="8"/>
                <w:color w:val="auto"/>
              </w:rPr>
            </w:pPr>
          </w:p>
        </w:tc>
        <w:tc>
          <w:tcPr>
            <w:tcW w:w="1020" w:type="dxa"/>
            <w:vAlign w:val="bottom"/>
            <w:vMerge w:val="continue"/>
            <w:shd w:val="clear" w:color="auto" w:fill="003595"/>
          </w:tcPr>
          <w:p>
            <w:pPr>
              <w:spacing w:after="0"/>
              <w:rPr>
                <w:sz w:val="8"/>
                <w:szCs w:val="8"/>
                <w:color w:val="auto"/>
              </w:rPr>
            </w:pPr>
          </w:p>
        </w:tc>
        <w:tc>
          <w:tcPr>
            <w:tcW w:w="1160" w:type="dxa"/>
            <w:vAlign w:val="bottom"/>
            <w:vMerge w:val="continue"/>
            <w:shd w:val="clear" w:color="auto" w:fill="003595"/>
          </w:tcPr>
          <w:p>
            <w:pPr>
              <w:spacing w:after="0"/>
              <w:rPr>
                <w:sz w:val="8"/>
                <w:szCs w:val="8"/>
                <w:color w:val="auto"/>
              </w:rPr>
            </w:pPr>
          </w:p>
        </w:tc>
        <w:tc>
          <w:tcPr>
            <w:tcW w:w="900" w:type="dxa"/>
            <w:vAlign w:val="bottom"/>
            <w:shd w:val="clear" w:color="auto" w:fill="003595"/>
          </w:tcPr>
          <w:p>
            <w:pPr>
              <w:spacing w:after="0"/>
              <w:rPr>
                <w:sz w:val="8"/>
                <w:szCs w:val="8"/>
                <w:color w:val="auto"/>
              </w:rPr>
            </w:pPr>
          </w:p>
        </w:tc>
        <w:tc>
          <w:tcPr>
            <w:tcW w:w="980" w:type="dxa"/>
            <w:vAlign w:val="bottom"/>
            <w:shd w:val="clear" w:color="auto" w:fill="003595"/>
          </w:tcPr>
          <w:p>
            <w:pPr>
              <w:spacing w:after="0"/>
              <w:rPr>
                <w:sz w:val="8"/>
                <w:szCs w:val="8"/>
                <w:color w:val="auto"/>
              </w:rPr>
            </w:pPr>
          </w:p>
        </w:tc>
        <w:tc>
          <w:tcPr>
            <w:tcW w:w="880" w:type="dxa"/>
            <w:vAlign w:val="bottom"/>
            <w:vMerge w:val="continue"/>
            <w:shd w:val="clear" w:color="auto" w:fill="003595"/>
          </w:tcPr>
          <w:p>
            <w:pPr>
              <w:spacing w:after="0"/>
              <w:rPr>
                <w:sz w:val="8"/>
                <w:szCs w:val="8"/>
                <w:color w:val="auto"/>
              </w:rPr>
            </w:pPr>
          </w:p>
        </w:tc>
        <w:tc>
          <w:tcPr>
            <w:tcW w:w="820" w:type="dxa"/>
            <w:vAlign w:val="bottom"/>
            <w:vMerge w:val="restart"/>
            <w:shd w:val="clear" w:color="auto" w:fill="003595"/>
          </w:tcPr>
          <w:p>
            <w:pPr>
              <w:jc w:val="center"/>
              <w:ind w:left="63"/>
              <w:spacing w:after="0"/>
              <w:rPr>
                <w:sz w:val="20"/>
                <w:szCs w:val="20"/>
                <w:color w:val="auto"/>
              </w:rPr>
            </w:pPr>
            <w:r>
              <w:rPr>
                <w:rFonts w:ascii="Arial" w:cs="Arial" w:eastAsia="Arial" w:hAnsi="Arial"/>
                <w:sz w:val="11"/>
                <w:szCs w:val="11"/>
                <w:b w:val="1"/>
                <w:bCs w:val="1"/>
                <w:color w:val="FFFFFF"/>
                <w:w w:val="96"/>
              </w:rPr>
              <w:t>($)(4)</w:t>
            </w:r>
          </w:p>
        </w:tc>
        <w:tc>
          <w:tcPr>
            <w:tcW w:w="120" w:type="dxa"/>
            <w:vAlign w:val="bottom"/>
            <w:shd w:val="clear" w:color="auto" w:fill="003595"/>
          </w:tcPr>
          <w:p>
            <w:pPr>
              <w:spacing w:after="0"/>
              <w:rPr>
                <w:sz w:val="8"/>
                <w:szCs w:val="8"/>
                <w:color w:val="auto"/>
              </w:rPr>
            </w:pPr>
          </w:p>
        </w:tc>
        <w:tc>
          <w:tcPr>
            <w:tcW w:w="126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5"/>
              </w:rPr>
              <w:t>not Vested</w:t>
            </w:r>
          </w:p>
        </w:tc>
        <w:tc>
          <w:tcPr>
            <w:tcW w:w="12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6"/>
              </w:rPr>
              <w:t>that Have</w:t>
            </w:r>
          </w:p>
        </w:tc>
        <w:tc>
          <w:tcPr>
            <w:tcW w:w="0" w:type="dxa"/>
            <w:vAlign w:val="bottom"/>
          </w:tcPr>
          <w:p>
            <w:pPr>
              <w:spacing w:after="0"/>
              <w:rPr>
                <w:sz w:val="1"/>
                <w:szCs w:val="1"/>
                <w:color w:val="auto"/>
              </w:rPr>
            </w:pPr>
          </w:p>
        </w:tc>
      </w:tr>
      <w:tr>
        <w:trPr>
          <w:trHeight w:val="41"/>
        </w:trPr>
        <w:tc>
          <w:tcPr>
            <w:tcW w:w="1820" w:type="dxa"/>
            <w:vAlign w:val="bottom"/>
            <w:shd w:val="clear" w:color="auto" w:fill="003595"/>
          </w:tcPr>
          <w:p>
            <w:pPr>
              <w:spacing w:after="0"/>
              <w:rPr>
                <w:sz w:val="3"/>
                <w:szCs w:val="3"/>
                <w:color w:val="auto"/>
              </w:rPr>
            </w:pPr>
          </w:p>
        </w:tc>
        <w:tc>
          <w:tcPr>
            <w:tcW w:w="340" w:type="dxa"/>
            <w:vAlign w:val="bottom"/>
            <w:shd w:val="clear" w:color="auto" w:fill="003595"/>
          </w:tcPr>
          <w:p>
            <w:pPr>
              <w:spacing w:after="0"/>
              <w:rPr>
                <w:sz w:val="3"/>
                <w:szCs w:val="3"/>
                <w:color w:val="auto"/>
              </w:rPr>
            </w:pPr>
          </w:p>
        </w:tc>
        <w:tc>
          <w:tcPr>
            <w:tcW w:w="40" w:type="dxa"/>
            <w:vAlign w:val="bottom"/>
            <w:shd w:val="clear" w:color="auto" w:fill="003595"/>
          </w:tcPr>
          <w:p>
            <w:pPr>
              <w:spacing w:after="0"/>
              <w:rPr>
                <w:sz w:val="3"/>
                <w:szCs w:val="3"/>
                <w:color w:val="auto"/>
              </w:rPr>
            </w:pPr>
          </w:p>
        </w:tc>
        <w:tc>
          <w:tcPr>
            <w:tcW w:w="280" w:type="dxa"/>
            <w:vAlign w:val="bottom"/>
            <w:shd w:val="clear" w:color="auto" w:fill="003595"/>
          </w:tcPr>
          <w:p>
            <w:pPr>
              <w:spacing w:after="0"/>
              <w:rPr>
                <w:sz w:val="3"/>
                <w:szCs w:val="3"/>
                <w:color w:val="auto"/>
              </w:rPr>
            </w:pPr>
          </w:p>
        </w:tc>
        <w:tc>
          <w:tcPr>
            <w:tcW w:w="40" w:type="dxa"/>
            <w:vAlign w:val="bottom"/>
            <w:shd w:val="clear" w:color="auto" w:fill="003595"/>
          </w:tcPr>
          <w:p>
            <w:pPr>
              <w:spacing w:after="0"/>
              <w:rPr>
                <w:sz w:val="3"/>
                <w:szCs w:val="3"/>
                <w:color w:val="auto"/>
              </w:rPr>
            </w:pPr>
          </w:p>
        </w:tc>
        <w:tc>
          <w:tcPr>
            <w:tcW w:w="340" w:type="dxa"/>
            <w:vAlign w:val="bottom"/>
            <w:shd w:val="clear" w:color="auto" w:fill="003595"/>
          </w:tcPr>
          <w:p>
            <w:pPr>
              <w:spacing w:after="0"/>
              <w:rPr>
                <w:sz w:val="3"/>
                <w:szCs w:val="3"/>
                <w:color w:val="auto"/>
              </w:rPr>
            </w:pPr>
          </w:p>
        </w:tc>
        <w:tc>
          <w:tcPr>
            <w:tcW w:w="1020" w:type="dxa"/>
            <w:vAlign w:val="bottom"/>
            <w:shd w:val="clear" w:color="auto" w:fill="003595"/>
          </w:tcPr>
          <w:p>
            <w:pPr>
              <w:spacing w:after="0"/>
              <w:rPr>
                <w:sz w:val="3"/>
                <w:szCs w:val="3"/>
                <w:color w:val="auto"/>
              </w:rPr>
            </w:pPr>
          </w:p>
        </w:tc>
        <w:tc>
          <w:tcPr>
            <w:tcW w:w="1160" w:type="dxa"/>
            <w:vAlign w:val="bottom"/>
            <w:shd w:val="clear" w:color="auto" w:fill="003595"/>
          </w:tcPr>
          <w:p>
            <w:pPr>
              <w:spacing w:after="0"/>
              <w:rPr>
                <w:sz w:val="3"/>
                <w:szCs w:val="3"/>
                <w:color w:val="auto"/>
              </w:rPr>
            </w:pPr>
          </w:p>
        </w:tc>
        <w:tc>
          <w:tcPr>
            <w:tcW w:w="900" w:type="dxa"/>
            <w:vAlign w:val="bottom"/>
            <w:shd w:val="clear" w:color="auto" w:fill="003595"/>
          </w:tcPr>
          <w:p>
            <w:pPr>
              <w:spacing w:after="0"/>
              <w:rPr>
                <w:sz w:val="3"/>
                <w:szCs w:val="3"/>
                <w:color w:val="auto"/>
              </w:rPr>
            </w:pPr>
          </w:p>
        </w:tc>
        <w:tc>
          <w:tcPr>
            <w:tcW w:w="980" w:type="dxa"/>
            <w:vAlign w:val="bottom"/>
            <w:shd w:val="clear" w:color="auto" w:fill="003595"/>
          </w:tcPr>
          <w:p>
            <w:pPr>
              <w:spacing w:after="0"/>
              <w:rPr>
                <w:sz w:val="3"/>
                <w:szCs w:val="3"/>
                <w:color w:val="auto"/>
              </w:rPr>
            </w:pPr>
          </w:p>
        </w:tc>
        <w:tc>
          <w:tcPr>
            <w:tcW w:w="880" w:type="dxa"/>
            <w:vAlign w:val="bottom"/>
            <w:shd w:val="clear" w:color="auto" w:fill="003595"/>
          </w:tcPr>
          <w:p>
            <w:pPr>
              <w:spacing w:after="0"/>
              <w:rPr>
                <w:sz w:val="3"/>
                <w:szCs w:val="3"/>
                <w:color w:val="auto"/>
              </w:rPr>
            </w:pPr>
          </w:p>
        </w:tc>
        <w:tc>
          <w:tcPr>
            <w:tcW w:w="820" w:type="dxa"/>
            <w:vAlign w:val="bottom"/>
            <w:vMerge w:val="continue"/>
            <w:shd w:val="clear" w:color="auto" w:fill="003595"/>
          </w:tcPr>
          <w:p>
            <w:pPr>
              <w:spacing w:after="0"/>
              <w:rPr>
                <w:sz w:val="3"/>
                <w:szCs w:val="3"/>
                <w:color w:val="auto"/>
              </w:rPr>
            </w:pPr>
          </w:p>
        </w:tc>
        <w:tc>
          <w:tcPr>
            <w:tcW w:w="120" w:type="dxa"/>
            <w:vAlign w:val="bottom"/>
            <w:shd w:val="clear" w:color="auto" w:fill="003595"/>
          </w:tcPr>
          <w:p>
            <w:pPr>
              <w:spacing w:after="0"/>
              <w:rPr>
                <w:sz w:val="3"/>
                <w:szCs w:val="3"/>
                <w:color w:val="auto"/>
              </w:rPr>
            </w:pPr>
          </w:p>
        </w:tc>
        <w:tc>
          <w:tcPr>
            <w:tcW w:w="1260" w:type="dxa"/>
            <w:vAlign w:val="bottom"/>
            <w:vMerge w:val="continue"/>
            <w:shd w:val="clear" w:color="auto" w:fill="003595"/>
          </w:tcPr>
          <w:p>
            <w:pPr>
              <w:spacing w:after="0"/>
              <w:rPr>
                <w:sz w:val="3"/>
                <w:szCs w:val="3"/>
                <w:color w:val="auto"/>
              </w:rPr>
            </w:pPr>
          </w:p>
        </w:tc>
        <w:tc>
          <w:tcPr>
            <w:tcW w:w="1240" w:type="dxa"/>
            <w:vAlign w:val="bottom"/>
            <w:vMerge w:val="continue"/>
            <w:shd w:val="clear" w:color="auto" w:fill="003595"/>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003595"/>
          </w:tcPr>
          <w:p>
            <w:pPr>
              <w:spacing w:after="0"/>
              <w:rPr>
                <w:sz w:val="11"/>
                <w:szCs w:val="11"/>
                <w:color w:val="auto"/>
              </w:rPr>
            </w:pPr>
          </w:p>
        </w:tc>
        <w:tc>
          <w:tcPr>
            <w:tcW w:w="340" w:type="dxa"/>
            <w:vAlign w:val="bottom"/>
            <w:shd w:val="clear" w:color="auto" w:fill="003595"/>
          </w:tcPr>
          <w:p>
            <w:pPr>
              <w:spacing w:after="0"/>
              <w:rPr>
                <w:sz w:val="11"/>
                <w:szCs w:val="11"/>
                <w:color w:val="auto"/>
              </w:rPr>
            </w:pPr>
          </w:p>
        </w:tc>
        <w:tc>
          <w:tcPr>
            <w:tcW w:w="40" w:type="dxa"/>
            <w:vAlign w:val="bottom"/>
            <w:shd w:val="clear" w:color="auto" w:fill="003595"/>
          </w:tcPr>
          <w:p>
            <w:pPr>
              <w:spacing w:after="0"/>
              <w:rPr>
                <w:sz w:val="11"/>
                <w:szCs w:val="11"/>
                <w:color w:val="auto"/>
              </w:rPr>
            </w:pPr>
          </w:p>
        </w:tc>
        <w:tc>
          <w:tcPr>
            <w:tcW w:w="280" w:type="dxa"/>
            <w:vAlign w:val="bottom"/>
            <w:shd w:val="clear" w:color="auto" w:fill="003595"/>
          </w:tcPr>
          <w:p>
            <w:pPr>
              <w:spacing w:after="0"/>
              <w:rPr>
                <w:sz w:val="11"/>
                <w:szCs w:val="11"/>
                <w:color w:val="auto"/>
              </w:rPr>
            </w:pPr>
          </w:p>
        </w:tc>
        <w:tc>
          <w:tcPr>
            <w:tcW w:w="40" w:type="dxa"/>
            <w:vAlign w:val="bottom"/>
            <w:shd w:val="clear" w:color="auto" w:fill="003595"/>
          </w:tcPr>
          <w:p>
            <w:pPr>
              <w:spacing w:after="0"/>
              <w:rPr>
                <w:sz w:val="11"/>
                <w:szCs w:val="11"/>
                <w:color w:val="auto"/>
              </w:rPr>
            </w:pPr>
          </w:p>
        </w:tc>
        <w:tc>
          <w:tcPr>
            <w:tcW w:w="340" w:type="dxa"/>
            <w:vAlign w:val="bottom"/>
            <w:shd w:val="clear" w:color="auto" w:fill="003595"/>
          </w:tcPr>
          <w:p>
            <w:pPr>
              <w:spacing w:after="0"/>
              <w:rPr>
                <w:sz w:val="11"/>
                <w:szCs w:val="11"/>
                <w:color w:val="auto"/>
              </w:rPr>
            </w:pPr>
          </w:p>
        </w:tc>
        <w:tc>
          <w:tcPr>
            <w:tcW w:w="1020" w:type="dxa"/>
            <w:vAlign w:val="bottom"/>
            <w:shd w:val="clear" w:color="auto" w:fill="003595"/>
          </w:tcPr>
          <w:p>
            <w:pPr>
              <w:spacing w:after="0"/>
              <w:rPr>
                <w:sz w:val="11"/>
                <w:szCs w:val="11"/>
                <w:color w:val="auto"/>
              </w:rPr>
            </w:pPr>
          </w:p>
        </w:tc>
        <w:tc>
          <w:tcPr>
            <w:tcW w:w="1160" w:type="dxa"/>
            <w:vAlign w:val="bottom"/>
            <w:shd w:val="clear" w:color="auto" w:fill="003595"/>
          </w:tcPr>
          <w:p>
            <w:pPr>
              <w:spacing w:after="0"/>
              <w:rPr>
                <w:sz w:val="11"/>
                <w:szCs w:val="11"/>
                <w:color w:val="auto"/>
              </w:rPr>
            </w:pPr>
          </w:p>
        </w:tc>
        <w:tc>
          <w:tcPr>
            <w:tcW w:w="900" w:type="dxa"/>
            <w:vAlign w:val="bottom"/>
            <w:shd w:val="clear" w:color="auto" w:fill="003595"/>
          </w:tcPr>
          <w:p>
            <w:pPr>
              <w:spacing w:after="0"/>
              <w:rPr>
                <w:sz w:val="11"/>
                <w:szCs w:val="11"/>
                <w:color w:val="auto"/>
              </w:rPr>
            </w:pPr>
          </w:p>
        </w:tc>
        <w:tc>
          <w:tcPr>
            <w:tcW w:w="980" w:type="dxa"/>
            <w:vAlign w:val="bottom"/>
            <w:shd w:val="clear" w:color="auto" w:fill="003595"/>
          </w:tcPr>
          <w:p>
            <w:pPr>
              <w:spacing w:after="0"/>
              <w:rPr>
                <w:sz w:val="11"/>
                <w:szCs w:val="11"/>
                <w:color w:val="auto"/>
              </w:rPr>
            </w:pPr>
          </w:p>
        </w:tc>
        <w:tc>
          <w:tcPr>
            <w:tcW w:w="880" w:type="dxa"/>
            <w:vAlign w:val="bottom"/>
            <w:shd w:val="clear" w:color="auto" w:fill="003595"/>
          </w:tcPr>
          <w:p>
            <w:pPr>
              <w:spacing w:after="0"/>
              <w:rPr>
                <w:sz w:val="11"/>
                <w:szCs w:val="11"/>
                <w:color w:val="auto"/>
              </w:rPr>
            </w:pPr>
          </w:p>
        </w:tc>
        <w:tc>
          <w:tcPr>
            <w:tcW w:w="820" w:type="dxa"/>
            <w:vAlign w:val="bottom"/>
            <w:shd w:val="clear" w:color="auto" w:fill="003595"/>
          </w:tcPr>
          <w:p>
            <w:pPr>
              <w:spacing w:after="0"/>
              <w:rPr>
                <w:sz w:val="11"/>
                <w:szCs w:val="11"/>
                <w:color w:val="auto"/>
              </w:rPr>
            </w:pPr>
          </w:p>
        </w:tc>
        <w:tc>
          <w:tcPr>
            <w:tcW w:w="1380" w:type="dxa"/>
            <w:vAlign w:val="bottom"/>
            <w:gridSpan w:val="2"/>
            <w:shd w:val="clear" w:color="auto" w:fill="003595"/>
          </w:tcPr>
          <w:p>
            <w:pPr>
              <w:jc w:val="center"/>
              <w:ind w:left="62"/>
              <w:spacing w:after="0"/>
              <w:rPr>
                <w:sz w:val="20"/>
                <w:szCs w:val="20"/>
                <w:color w:val="auto"/>
              </w:rPr>
            </w:pPr>
            <w:r>
              <w:rPr>
                <w:rFonts w:ascii="Arial" w:cs="Arial" w:eastAsia="Arial" w:hAnsi="Arial"/>
                <w:sz w:val="11"/>
                <w:szCs w:val="11"/>
                <w:b w:val="1"/>
                <w:bCs w:val="1"/>
                <w:color w:val="FFFFFF"/>
                <w:w w:val="96"/>
              </w:rPr>
              <w:t>(#)(5)</w:t>
            </w:r>
          </w:p>
        </w:tc>
        <w:tc>
          <w:tcPr>
            <w:tcW w:w="1240" w:type="dxa"/>
            <w:vAlign w:val="bottom"/>
            <w:shd w:val="clear" w:color="auto" w:fill="003595"/>
          </w:tcPr>
          <w:p>
            <w:pPr>
              <w:jc w:val="center"/>
              <w:spacing w:after="0"/>
              <w:rPr>
                <w:sz w:val="20"/>
                <w:szCs w:val="20"/>
                <w:color w:val="auto"/>
              </w:rPr>
            </w:pPr>
            <w:r>
              <w:rPr>
                <w:rFonts w:ascii="Arial" w:cs="Arial" w:eastAsia="Arial" w:hAnsi="Arial"/>
                <w:sz w:val="11"/>
                <w:szCs w:val="11"/>
                <w:b w:val="1"/>
                <w:bCs w:val="1"/>
                <w:color w:val="FFFFFF"/>
                <w:w w:val="99"/>
              </w:rPr>
              <w:t>not Vested</w:t>
            </w:r>
          </w:p>
        </w:tc>
        <w:tc>
          <w:tcPr>
            <w:tcW w:w="0" w:type="dxa"/>
            <w:vAlign w:val="bottom"/>
          </w:tcPr>
          <w:p>
            <w:pPr>
              <w:spacing w:after="0"/>
              <w:rPr>
                <w:sz w:val="1"/>
                <w:szCs w:val="1"/>
                <w:color w:val="auto"/>
              </w:rPr>
            </w:pPr>
          </w:p>
        </w:tc>
      </w:tr>
      <w:tr>
        <w:trPr>
          <w:trHeight w:val="169"/>
        </w:trPr>
        <w:tc>
          <w:tcPr>
            <w:tcW w:w="1820" w:type="dxa"/>
            <w:vAlign w:val="bottom"/>
            <w:tcBorders>
              <w:bottom w:val="single" w:sz="8" w:color="003595"/>
            </w:tcBorders>
            <w:shd w:val="clear" w:color="auto" w:fill="003595"/>
          </w:tcPr>
          <w:p>
            <w:pPr>
              <w:spacing w:after="0"/>
              <w:rPr>
                <w:sz w:val="14"/>
                <w:szCs w:val="14"/>
                <w:color w:val="auto"/>
              </w:rPr>
            </w:pPr>
          </w:p>
        </w:tc>
        <w:tc>
          <w:tcPr>
            <w:tcW w:w="340" w:type="dxa"/>
            <w:vAlign w:val="bottom"/>
            <w:tcBorders>
              <w:bottom w:val="single" w:sz="8" w:color="003595"/>
            </w:tcBorders>
            <w:shd w:val="clear" w:color="auto" w:fill="003595"/>
          </w:tcPr>
          <w:p>
            <w:pPr>
              <w:spacing w:after="0"/>
              <w:rPr>
                <w:sz w:val="14"/>
                <w:szCs w:val="14"/>
                <w:color w:val="auto"/>
              </w:rPr>
            </w:pPr>
          </w:p>
        </w:tc>
        <w:tc>
          <w:tcPr>
            <w:tcW w:w="40" w:type="dxa"/>
            <w:vAlign w:val="bottom"/>
            <w:tcBorders>
              <w:bottom w:val="single" w:sz="8" w:color="003595"/>
            </w:tcBorders>
            <w:shd w:val="clear" w:color="auto" w:fill="003595"/>
          </w:tcPr>
          <w:p>
            <w:pPr>
              <w:spacing w:after="0"/>
              <w:rPr>
                <w:sz w:val="14"/>
                <w:szCs w:val="14"/>
                <w:color w:val="auto"/>
              </w:rPr>
            </w:pPr>
          </w:p>
        </w:tc>
        <w:tc>
          <w:tcPr>
            <w:tcW w:w="280" w:type="dxa"/>
            <w:vAlign w:val="bottom"/>
            <w:tcBorders>
              <w:bottom w:val="single" w:sz="8" w:color="003595"/>
            </w:tcBorders>
            <w:shd w:val="clear" w:color="auto" w:fill="003595"/>
          </w:tcPr>
          <w:p>
            <w:pPr>
              <w:spacing w:after="0"/>
              <w:rPr>
                <w:sz w:val="14"/>
                <w:szCs w:val="14"/>
                <w:color w:val="auto"/>
              </w:rPr>
            </w:pPr>
          </w:p>
        </w:tc>
        <w:tc>
          <w:tcPr>
            <w:tcW w:w="40" w:type="dxa"/>
            <w:vAlign w:val="bottom"/>
            <w:tcBorders>
              <w:bottom w:val="single" w:sz="8" w:color="003595"/>
            </w:tcBorders>
            <w:shd w:val="clear" w:color="auto" w:fill="003595"/>
          </w:tcPr>
          <w:p>
            <w:pPr>
              <w:spacing w:after="0"/>
              <w:rPr>
                <w:sz w:val="14"/>
                <w:szCs w:val="14"/>
                <w:color w:val="auto"/>
              </w:rPr>
            </w:pPr>
          </w:p>
        </w:tc>
        <w:tc>
          <w:tcPr>
            <w:tcW w:w="340" w:type="dxa"/>
            <w:vAlign w:val="bottom"/>
            <w:tcBorders>
              <w:bottom w:val="single" w:sz="8" w:color="003595"/>
            </w:tcBorders>
            <w:shd w:val="clear" w:color="auto" w:fill="003595"/>
          </w:tcPr>
          <w:p>
            <w:pPr>
              <w:spacing w:after="0"/>
              <w:rPr>
                <w:sz w:val="14"/>
                <w:szCs w:val="14"/>
                <w:color w:val="auto"/>
              </w:rPr>
            </w:pPr>
          </w:p>
        </w:tc>
        <w:tc>
          <w:tcPr>
            <w:tcW w:w="1020" w:type="dxa"/>
            <w:vAlign w:val="bottom"/>
            <w:tcBorders>
              <w:bottom w:val="single" w:sz="8" w:color="003595"/>
            </w:tcBorders>
            <w:shd w:val="clear" w:color="auto" w:fill="003595"/>
          </w:tcPr>
          <w:p>
            <w:pPr>
              <w:spacing w:after="0"/>
              <w:rPr>
                <w:sz w:val="14"/>
                <w:szCs w:val="14"/>
                <w:color w:val="auto"/>
              </w:rPr>
            </w:pPr>
          </w:p>
        </w:tc>
        <w:tc>
          <w:tcPr>
            <w:tcW w:w="1160" w:type="dxa"/>
            <w:vAlign w:val="bottom"/>
            <w:tcBorders>
              <w:bottom w:val="single" w:sz="8" w:color="003595"/>
            </w:tcBorders>
            <w:shd w:val="clear" w:color="auto" w:fill="003595"/>
          </w:tcPr>
          <w:p>
            <w:pPr>
              <w:spacing w:after="0"/>
              <w:rPr>
                <w:sz w:val="14"/>
                <w:szCs w:val="14"/>
                <w:color w:val="auto"/>
              </w:rPr>
            </w:pPr>
          </w:p>
        </w:tc>
        <w:tc>
          <w:tcPr>
            <w:tcW w:w="900" w:type="dxa"/>
            <w:vAlign w:val="bottom"/>
            <w:tcBorders>
              <w:bottom w:val="single" w:sz="8" w:color="003595"/>
            </w:tcBorders>
            <w:shd w:val="clear" w:color="auto" w:fill="003595"/>
          </w:tcPr>
          <w:p>
            <w:pPr>
              <w:spacing w:after="0"/>
              <w:rPr>
                <w:sz w:val="14"/>
                <w:szCs w:val="14"/>
                <w:color w:val="auto"/>
              </w:rPr>
            </w:pPr>
          </w:p>
        </w:tc>
        <w:tc>
          <w:tcPr>
            <w:tcW w:w="980" w:type="dxa"/>
            <w:vAlign w:val="bottom"/>
            <w:tcBorders>
              <w:bottom w:val="single" w:sz="8" w:color="003595"/>
            </w:tcBorders>
            <w:shd w:val="clear" w:color="auto" w:fill="003595"/>
          </w:tcPr>
          <w:p>
            <w:pPr>
              <w:spacing w:after="0"/>
              <w:rPr>
                <w:sz w:val="14"/>
                <w:szCs w:val="14"/>
                <w:color w:val="auto"/>
              </w:rPr>
            </w:pPr>
          </w:p>
        </w:tc>
        <w:tc>
          <w:tcPr>
            <w:tcW w:w="880" w:type="dxa"/>
            <w:vAlign w:val="bottom"/>
            <w:tcBorders>
              <w:bottom w:val="single" w:sz="8" w:color="003595"/>
            </w:tcBorders>
            <w:shd w:val="clear" w:color="auto" w:fill="003595"/>
          </w:tcPr>
          <w:p>
            <w:pPr>
              <w:spacing w:after="0"/>
              <w:rPr>
                <w:sz w:val="14"/>
                <w:szCs w:val="14"/>
                <w:color w:val="auto"/>
              </w:rPr>
            </w:pPr>
          </w:p>
        </w:tc>
        <w:tc>
          <w:tcPr>
            <w:tcW w:w="820" w:type="dxa"/>
            <w:vAlign w:val="bottom"/>
            <w:tcBorders>
              <w:bottom w:val="single" w:sz="8" w:color="003595"/>
            </w:tcBorders>
            <w:shd w:val="clear" w:color="auto" w:fill="003595"/>
          </w:tcPr>
          <w:p>
            <w:pPr>
              <w:spacing w:after="0"/>
              <w:rPr>
                <w:sz w:val="14"/>
                <w:szCs w:val="14"/>
                <w:color w:val="auto"/>
              </w:rPr>
            </w:pPr>
          </w:p>
        </w:tc>
        <w:tc>
          <w:tcPr>
            <w:tcW w:w="120" w:type="dxa"/>
            <w:vAlign w:val="bottom"/>
            <w:tcBorders>
              <w:bottom w:val="single" w:sz="8" w:color="003595"/>
            </w:tcBorders>
            <w:shd w:val="clear" w:color="auto" w:fill="003595"/>
          </w:tcPr>
          <w:p>
            <w:pPr>
              <w:spacing w:after="0"/>
              <w:rPr>
                <w:sz w:val="14"/>
                <w:szCs w:val="14"/>
                <w:color w:val="auto"/>
              </w:rPr>
            </w:pPr>
          </w:p>
        </w:tc>
        <w:tc>
          <w:tcPr>
            <w:tcW w:w="1260" w:type="dxa"/>
            <w:vAlign w:val="bottom"/>
            <w:tcBorders>
              <w:bottom w:val="single" w:sz="8" w:color="003595"/>
            </w:tcBorders>
            <w:shd w:val="clear" w:color="auto" w:fill="003595"/>
          </w:tcPr>
          <w:p>
            <w:pPr>
              <w:spacing w:after="0"/>
              <w:rPr>
                <w:sz w:val="14"/>
                <w:szCs w:val="14"/>
                <w:color w:val="auto"/>
              </w:rPr>
            </w:pPr>
          </w:p>
        </w:tc>
        <w:tc>
          <w:tcPr>
            <w:tcW w:w="124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1"/>
                <w:szCs w:val="11"/>
                <w:b w:val="1"/>
                <w:bCs w:val="1"/>
                <w:color w:val="FFFFFF"/>
              </w:rPr>
              <w:t>($)(4)</w:t>
            </w:r>
          </w:p>
        </w:tc>
        <w:tc>
          <w:tcPr>
            <w:tcW w:w="0" w:type="dxa"/>
            <w:vAlign w:val="bottom"/>
          </w:tcPr>
          <w:p>
            <w:pPr>
              <w:spacing w:after="0"/>
              <w:rPr>
                <w:sz w:val="1"/>
                <w:szCs w:val="1"/>
                <w:color w:val="auto"/>
              </w:rPr>
            </w:pPr>
          </w:p>
        </w:tc>
      </w:tr>
      <w:tr>
        <w:trPr>
          <w:trHeight w:val="171"/>
        </w:trPr>
        <w:tc>
          <w:tcPr>
            <w:tcW w:w="1820" w:type="dxa"/>
            <w:vAlign w:val="bottom"/>
          </w:tcPr>
          <w:p>
            <w:pPr>
              <w:ind w:left="20"/>
              <w:spacing w:after="0"/>
              <w:rPr>
                <w:sz w:val="20"/>
                <w:szCs w:val="20"/>
                <w:color w:val="auto"/>
              </w:rPr>
            </w:pPr>
            <w:r>
              <w:rPr>
                <w:rFonts w:ascii="Arial" w:cs="Arial" w:eastAsia="Arial" w:hAnsi="Arial"/>
                <w:sz w:val="12"/>
                <w:szCs w:val="12"/>
                <w:color w:val="auto"/>
              </w:rPr>
              <w:t>Samraat S. Raha</w:t>
            </w: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12/11/2023</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6"/>
              </w:rPr>
              <w:t>118,180</w:t>
            </w:r>
          </w:p>
        </w:tc>
        <w:tc>
          <w:tcPr>
            <w:tcW w:w="820" w:type="dxa"/>
            <w:vAlign w:val="bottom"/>
          </w:tcPr>
          <w:p>
            <w:pPr>
              <w:jc w:val="center"/>
              <w:ind w:left="83"/>
              <w:spacing w:after="0"/>
              <w:rPr>
                <w:sz w:val="20"/>
                <w:szCs w:val="20"/>
                <w:color w:val="auto"/>
              </w:rPr>
            </w:pPr>
            <w:r>
              <w:rPr>
                <w:rFonts w:ascii="Arial" w:cs="Arial" w:eastAsia="Arial" w:hAnsi="Arial"/>
                <w:sz w:val="12"/>
                <w:szCs w:val="12"/>
                <w:color w:val="auto"/>
                <w:w w:val="95"/>
              </w:rPr>
              <w:t>$726,807</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03/14/2024</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42,996</w:t>
            </w:r>
          </w:p>
        </w:tc>
        <w:tc>
          <w:tcPr>
            <w:tcW w:w="820" w:type="dxa"/>
            <w:vAlign w:val="bottom"/>
          </w:tcPr>
          <w:p>
            <w:pPr>
              <w:jc w:val="center"/>
              <w:ind w:left="83"/>
              <w:spacing w:after="0"/>
              <w:rPr>
                <w:sz w:val="20"/>
                <w:szCs w:val="20"/>
                <w:color w:val="auto"/>
              </w:rPr>
            </w:pPr>
            <w:r>
              <w:rPr>
                <w:rFonts w:ascii="Arial" w:cs="Arial" w:eastAsia="Arial" w:hAnsi="Arial"/>
                <w:sz w:val="12"/>
                <w:szCs w:val="12"/>
                <w:color w:val="auto"/>
                <w:w w:val="95"/>
              </w:rPr>
              <w:t>$264,425</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03/14/2024</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gridSpan w:val="2"/>
          </w:tcPr>
          <w:p>
            <w:pPr>
              <w:jc w:val="center"/>
              <w:ind w:left="62"/>
              <w:spacing w:after="0"/>
              <w:rPr>
                <w:sz w:val="20"/>
                <w:szCs w:val="20"/>
                <w:color w:val="auto"/>
              </w:rPr>
            </w:pPr>
            <w:r>
              <w:rPr>
                <w:rFonts w:ascii="Arial" w:cs="Arial" w:eastAsia="Arial" w:hAnsi="Arial"/>
                <w:sz w:val="12"/>
                <w:szCs w:val="12"/>
                <w:color w:val="auto"/>
                <w:w w:val="92"/>
              </w:rPr>
              <w:t>64,493</w:t>
            </w: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$396,632</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03/13/2025</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6"/>
              </w:rPr>
              <w:t>216,495</w:t>
            </w:r>
          </w:p>
        </w:tc>
        <w:tc>
          <w:tcPr>
            <w:tcW w:w="820" w:type="dxa"/>
            <w:vAlign w:val="bottom"/>
          </w:tcPr>
          <w:p>
            <w:pPr>
              <w:jc w:val="center"/>
              <w:ind w:left="63"/>
              <w:spacing w:after="0"/>
              <w:rPr>
                <w:sz w:val="20"/>
                <w:szCs w:val="20"/>
                <w:color w:val="auto"/>
              </w:rPr>
            </w:pPr>
            <w:r>
              <w:rPr>
                <w:rFonts w:ascii="Arial" w:cs="Arial" w:eastAsia="Arial" w:hAnsi="Arial"/>
                <w:sz w:val="12"/>
                <w:szCs w:val="12"/>
                <w:color w:val="auto"/>
                <w:w w:val="96"/>
              </w:rPr>
              <w:t>$1,331,444</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20" w:type="dxa"/>
            <w:vAlign w:val="bottom"/>
          </w:tcPr>
          <w:p>
            <w:pPr>
              <w:spacing w:after="0"/>
              <w:rPr>
                <w:sz w:val="19"/>
                <w:szCs w:val="19"/>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04/30/2025</w:t>
            </w: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80" w:type="dxa"/>
            <w:vAlign w:val="bottom"/>
            <w:gridSpan w:val="2"/>
          </w:tcPr>
          <w:p>
            <w:pPr>
              <w:jc w:val="center"/>
              <w:ind w:left="62"/>
              <w:spacing w:after="0"/>
              <w:rPr>
                <w:sz w:val="20"/>
                <w:szCs w:val="20"/>
                <w:color w:val="auto"/>
              </w:rPr>
            </w:pPr>
            <w:r>
              <w:rPr>
                <w:rFonts w:ascii="Arial" w:cs="Arial" w:eastAsia="Arial" w:hAnsi="Arial"/>
                <w:sz w:val="12"/>
                <w:szCs w:val="12"/>
                <w:color w:val="auto"/>
                <w:w w:val="91"/>
              </w:rPr>
              <w:t xml:space="preserve">141,050 </w:t>
            </w:r>
            <w:r>
              <w:rPr>
                <w:rFonts w:ascii="Arial" w:cs="Arial" w:eastAsia="Arial" w:hAnsi="Arial"/>
                <w:sz w:val="15"/>
                <w:szCs w:val="15"/>
                <w:color w:val="auto"/>
                <w:w w:val="91"/>
                <w:vertAlign w:val="superscript"/>
              </w:rPr>
              <w:t>(6)</w:t>
            </w: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$867,458</w:t>
            </w:r>
          </w:p>
        </w:tc>
        <w:tc>
          <w:tcPr>
            <w:tcW w:w="0" w:type="dxa"/>
            <w:vAlign w:val="bottom"/>
          </w:tcPr>
          <w:p>
            <w:pPr>
              <w:spacing w:after="0"/>
              <w:rPr>
                <w:sz w:val="1"/>
                <w:szCs w:val="1"/>
                <w:color w:val="auto"/>
              </w:rPr>
            </w:pPr>
          </w:p>
        </w:tc>
      </w:tr>
      <w:tr>
        <w:trPr>
          <w:trHeight w:val="163"/>
        </w:trPr>
        <w:tc>
          <w:tcPr>
            <w:tcW w:w="1820" w:type="dxa"/>
            <w:vAlign w:val="bottom"/>
          </w:tcPr>
          <w:p>
            <w:pPr>
              <w:spacing w:after="0"/>
              <w:rPr>
                <w:sz w:val="14"/>
                <w:szCs w:val="14"/>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06/05/2025</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2"/>
          </w:tcPr>
          <w:p>
            <w:pPr>
              <w:jc w:val="center"/>
              <w:ind w:left="62"/>
              <w:spacing w:after="0"/>
              <w:rPr>
                <w:sz w:val="20"/>
                <w:szCs w:val="20"/>
                <w:color w:val="auto"/>
              </w:rPr>
            </w:pPr>
            <w:r>
              <w:rPr>
                <w:rFonts w:ascii="Arial" w:cs="Arial" w:eastAsia="Arial" w:hAnsi="Arial"/>
                <w:sz w:val="12"/>
                <w:szCs w:val="12"/>
                <w:color w:val="auto"/>
                <w:w w:val="96"/>
              </w:rPr>
              <w:t>216,495</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$1,331,444</w:t>
            </w:r>
          </w:p>
        </w:tc>
        <w:tc>
          <w:tcPr>
            <w:tcW w:w="0" w:type="dxa"/>
            <w:vAlign w:val="bottom"/>
          </w:tcPr>
          <w:p>
            <w:pPr>
              <w:spacing w:after="0"/>
              <w:rPr>
                <w:sz w:val="1"/>
                <w:szCs w:val="1"/>
                <w:color w:val="auto"/>
              </w:rPr>
            </w:pPr>
          </w:p>
        </w:tc>
      </w:tr>
      <w:tr>
        <w:trPr>
          <w:trHeight w:val="208"/>
        </w:trPr>
        <w:tc>
          <w:tcPr>
            <w:tcW w:w="1820" w:type="dxa"/>
            <w:vAlign w:val="bottom"/>
            <w:tcBorders>
              <w:top w:val="single" w:sz="8" w:color="003595"/>
            </w:tcBorders>
          </w:tcPr>
          <w:p>
            <w:pPr>
              <w:ind w:left="20"/>
              <w:spacing w:after="0"/>
              <w:rPr>
                <w:sz w:val="20"/>
                <w:szCs w:val="20"/>
                <w:color w:val="auto"/>
              </w:rPr>
            </w:pPr>
            <w:r>
              <w:rPr>
                <w:rFonts w:ascii="Arial" w:cs="Arial" w:eastAsia="Arial" w:hAnsi="Arial"/>
                <w:sz w:val="12"/>
                <w:szCs w:val="12"/>
                <w:color w:val="auto"/>
              </w:rPr>
              <w:t>Paul J. Diaz</w:t>
            </w:r>
          </w:p>
        </w:tc>
        <w:tc>
          <w:tcPr>
            <w:tcW w:w="1040" w:type="dxa"/>
            <w:vAlign w:val="bottom"/>
            <w:tcBorders>
              <w:top w:val="single" w:sz="8" w:color="003595"/>
            </w:tcBorders>
            <w:gridSpan w:val="5"/>
          </w:tcPr>
          <w:p>
            <w:pPr>
              <w:jc w:val="center"/>
              <w:ind w:right="20"/>
              <w:spacing w:after="0"/>
              <w:rPr>
                <w:sz w:val="20"/>
                <w:szCs w:val="20"/>
                <w:color w:val="auto"/>
              </w:rPr>
            </w:pPr>
            <w:r>
              <w:rPr>
                <w:rFonts w:ascii="Arial" w:cs="Arial" w:eastAsia="Arial" w:hAnsi="Arial"/>
                <w:sz w:val="12"/>
                <w:szCs w:val="12"/>
                <w:color w:val="auto"/>
                <w:w w:val="96"/>
              </w:rPr>
              <w:t>08/13/2020</w:t>
            </w:r>
          </w:p>
        </w:tc>
        <w:tc>
          <w:tcPr>
            <w:tcW w:w="1020" w:type="dxa"/>
            <w:vAlign w:val="bottom"/>
            <w:tcBorders>
              <w:top w:val="single" w:sz="8" w:color="003595"/>
            </w:tcBorders>
          </w:tcPr>
          <w:p>
            <w:pPr>
              <w:jc w:val="center"/>
              <w:spacing w:after="0"/>
              <w:rPr>
                <w:sz w:val="20"/>
                <w:szCs w:val="20"/>
                <w:color w:val="auto"/>
              </w:rPr>
            </w:pPr>
            <w:r>
              <w:rPr>
                <w:rFonts w:ascii="Arial" w:cs="Arial" w:eastAsia="Arial" w:hAnsi="Arial"/>
                <w:sz w:val="12"/>
                <w:szCs w:val="12"/>
                <w:color w:val="auto"/>
                <w:w w:val="94"/>
              </w:rPr>
              <w:t xml:space="preserve">342,040 </w:t>
            </w:r>
            <w:r>
              <w:rPr>
                <w:rFonts w:ascii="Arial" w:cs="Arial" w:eastAsia="Arial" w:hAnsi="Arial"/>
                <w:sz w:val="15"/>
                <w:szCs w:val="15"/>
                <w:color w:val="auto"/>
                <w:w w:val="94"/>
                <w:vertAlign w:val="superscript"/>
              </w:rPr>
              <w:t>(1)</w:t>
            </w:r>
          </w:p>
        </w:tc>
        <w:tc>
          <w:tcPr>
            <w:tcW w:w="1160" w:type="dxa"/>
            <w:vAlign w:val="bottom"/>
            <w:tcBorders>
              <w:top w:val="single" w:sz="8" w:color="003595"/>
            </w:tcBorders>
          </w:tcPr>
          <w:p>
            <w:pPr>
              <w:spacing w:after="0"/>
              <w:rPr>
                <w:sz w:val="18"/>
                <w:szCs w:val="18"/>
                <w:color w:val="auto"/>
              </w:rPr>
            </w:pPr>
          </w:p>
        </w:tc>
        <w:tc>
          <w:tcPr>
            <w:tcW w:w="900" w:type="dxa"/>
            <w:vAlign w:val="bottom"/>
            <w:tcBorders>
              <w:top w:val="single" w:sz="8" w:color="003595"/>
            </w:tcBorders>
          </w:tcPr>
          <w:p>
            <w:pPr>
              <w:jc w:val="center"/>
              <w:spacing w:after="0"/>
              <w:rPr>
                <w:sz w:val="20"/>
                <w:szCs w:val="20"/>
                <w:color w:val="auto"/>
              </w:rPr>
            </w:pPr>
            <w:r>
              <w:rPr>
                <w:rFonts w:ascii="Arial" w:cs="Arial" w:eastAsia="Arial" w:hAnsi="Arial"/>
                <w:sz w:val="12"/>
                <w:szCs w:val="12"/>
                <w:color w:val="auto"/>
                <w:w w:val="97"/>
              </w:rPr>
              <w:t>$13.38</w:t>
            </w:r>
          </w:p>
        </w:tc>
        <w:tc>
          <w:tcPr>
            <w:tcW w:w="980" w:type="dxa"/>
            <w:vAlign w:val="bottom"/>
            <w:tcBorders>
              <w:top w:val="single" w:sz="8" w:color="003595"/>
            </w:tcBorders>
          </w:tcPr>
          <w:p>
            <w:pPr>
              <w:jc w:val="center"/>
              <w:ind w:left="44"/>
              <w:spacing w:after="0"/>
              <w:rPr>
                <w:sz w:val="20"/>
                <w:szCs w:val="20"/>
                <w:color w:val="auto"/>
              </w:rPr>
            </w:pPr>
            <w:r>
              <w:rPr>
                <w:rFonts w:ascii="Arial" w:cs="Arial" w:eastAsia="Arial" w:hAnsi="Arial"/>
                <w:sz w:val="12"/>
                <w:szCs w:val="12"/>
                <w:color w:val="auto"/>
                <w:w w:val="99"/>
              </w:rPr>
              <w:t>08/13/2027</w:t>
            </w:r>
          </w:p>
        </w:tc>
        <w:tc>
          <w:tcPr>
            <w:tcW w:w="880" w:type="dxa"/>
            <w:vAlign w:val="bottom"/>
            <w:tcBorders>
              <w:top w:val="single" w:sz="8" w:color="003595"/>
            </w:tcBorders>
          </w:tcPr>
          <w:p>
            <w:pPr>
              <w:spacing w:after="0"/>
              <w:rPr>
                <w:sz w:val="18"/>
                <w:szCs w:val="18"/>
                <w:color w:val="auto"/>
              </w:rPr>
            </w:pPr>
          </w:p>
        </w:tc>
        <w:tc>
          <w:tcPr>
            <w:tcW w:w="820" w:type="dxa"/>
            <w:vAlign w:val="bottom"/>
            <w:tcBorders>
              <w:top w:val="single" w:sz="8" w:color="003595"/>
            </w:tcBorders>
          </w:tcPr>
          <w:p>
            <w:pPr>
              <w:spacing w:after="0"/>
              <w:rPr>
                <w:sz w:val="18"/>
                <w:szCs w:val="18"/>
                <w:color w:val="auto"/>
              </w:rPr>
            </w:pPr>
          </w:p>
        </w:tc>
        <w:tc>
          <w:tcPr>
            <w:tcW w:w="120" w:type="dxa"/>
            <w:vAlign w:val="bottom"/>
            <w:tcBorders>
              <w:top w:val="single" w:sz="8" w:color="003595"/>
            </w:tcBorders>
          </w:tcPr>
          <w:p>
            <w:pPr>
              <w:spacing w:after="0"/>
              <w:rPr>
                <w:sz w:val="18"/>
                <w:szCs w:val="18"/>
                <w:color w:val="auto"/>
              </w:rPr>
            </w:pPr>
          </w:p>
        </w:tc>
        <w:tc>
          <w:tcPr>
            <w:tcW w:w="1260" w:type="dxa"/>
            <w:vAlign w:val="bottom"/>
            <w:tcBorders>
              <w:top w:val="single" w:sz="8" w:color="0A2299"/>
            </w:tcBorders>
          </w:tcPr>
          <w:p>
            <w:pPr>
              <w:spacing w:after="0"/>
              <w:rPr>
                <w:sz w:val="18"/>
                <w:szCs w:val="18"/>
                <w:color w:val="auto"/>
              </w:rPr>
            </w:pPr>
          </w:p>
        </w:tc>
        <w:tc>
          <w:tcPr>
            <w:tcW w:w="1240" w:type="dxa"/>
            <w:vAlign w:val="bottom"/>
            <w:tcBorders>
              <w:top w:val="single" w:sz="8" w:color="0A2299"/>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08/13/2020</w:t>
            </w:r>
          </w:p>
        </w:tc>
        <w:tc>
          <w:tcPr>
            <w:tcW w:w="1020" w:type="dxa"/>
            <w:vAlign w:val="bottom"/>
          </w:tcPr>
          <w:p>
            <w:pPr>
              <w:jc w:val="center"/>
              <w:spacing w:after="0"/>
              <w:rPr>
                <w:sz w:val="20"/>
                <w:szCs w:val="20"/>
                <w:color w:val="auto"/>
              </w:rPr>
            </w:pPr>
            <w:r>
              <w:rPr>
                <w:rFonts w:ascii="Arial" w:cs="Arial" w:eastAsia="Arial" w:hAnsi="Arial"/>
                <w:sz w:val="12"/>
                <w:szCs w:val="12"/>
                <w:color w:val="auto"/>
                <w:w w:val="94"/>
              </w:rPr>
              <w:t xml:space="preserve">203,452 </w:t>
            </w:r>
            <w:r>
              <w:rPr>
                <w:rFonts w:ascii="Arial" w:cs="Arial" w:eastAsia="Arial" w:hAnsi="Arial"/>
                <w:sz w:val="15"/>
                <w:szCs w:val="15"/>
                <w:color w:val="auto"/>
                <w:w w:val="94"/>
                <w:vertAlign w:val="superscript"/>
              </w:rPr>
              <w:t>(2)</w:t>
            </w:r>
          </w:p>
        </w:tc>
        <w:tc>
          <w:tcPr>
            <w:tcW w:w="1160" w:type="dxa"/>
            <w:vAlign w:val="bottom"/>
          </w:tcPr>
          <w:p>
            <w:pPr>
              <w:jc w:val="center"/>
              <w:ind w:right="265"/>
              <w:spacing w:after="0"/>
              <w:rPr>
                <w:sz w:val="20"/>
                <w:szCs w:val="20"/>
                <w:color w:val="auto"/>
              </w:rPr>
            </w:pPr>
            <w:r>
              <w:rPr>
                <w:rFonts w:ascii="Arial" w:cs="Arial" w:eastAsia="Arial" w:hAnsi="Arial"/>
                <w:sz w:val="12"/>
                <w:szCs w:val="12"/>
                <w:color w:val="auto"/>
              </w:rPr>
              <w:t xml:space="preserve">135,636 </w:t>
            </w:r>
            <w:r>
              <w:rPr>
                <w:rFonts w:ascii="Arial" w:cs="Arial" w:eastAsia="Arial" w:hAnsi="Arial"/>
                <w:sz w:val="15"/>
                <w:szCs w:val="15"/>
                <w:color w:val="auto"/>
                <w:vertAlign w:val="superscript"/>
              </w:rPr>
              <w:t>(2)</w:t>
            </w:r>
          </w:p>
        </w:tc>
        <w:tc>
          <w:tcPr>
            <w:tcW w:w="900" w:type="dxa"/>
            <w:vAlign w:val="bottom"/>
          </w:tcPr>
          <w:p>
            <w:pPr>
              <w:jc w:val="center"/>
              <w:spacing w:after="0"/>
              <w:rPr>
                <w:sz w:val="20"/>
                <w:szCs w:val="20"/>
                <w:color w:val="auto"/>
              </w:rPr>
            </w:pPr>
            <w:r>
              <w:rPr>
                <w:rFonts w:ascii="Arial" w:cs="Arial" w:eastAsia="Arial" w:hAnsi="Arial"/>
                <w:sz w:val="12"/>
                <w:szCs w:val="12"/>
                <w:color w:val="auto"/>
                <w:w w:val="97"/>
              </w:rPr>
              <w:t>$13.38</w:t>
            </w:r>
          </w:p>
        </w:tc>
        <w:tc>
          <w:tcPr>
            <w:tcW w:w="980" w:type="dxa"/>
            <w:vAlign w:val="bottom"/>
          </w:tcPr>
          <w:p>
            <w:pPr>
              <w:jc w:val="center"/>
              <w:ind w:left="44"/>
              <w:spacing w:after="0"/>
              <w:rPr>
                <w:sz w:val="20"/>
                <w:szCs w:val="20"/>
                <w:color w:val="auto"/>
              </w:rPr>
            </w:pPr>
            <w:r>
              <w:rPr>
                <w:rFonts w:ascii="Arial" w:cs="Arial" w:eastAsia="Arial" w:hAnsi="Arial"/>
                <w:sz w:val="12"/>
                <w:szCs w:val="12"/>
                <w:color w:val="auto"/>
                <w:w w:val="99"/>
              </w:rPr>
              <w:t>08/13/2027</w:t>
            </w: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03/22/2022</w:t>
            </w: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43,286</w:t>
            </w:r>
          </w:p>
        </w:tc>
        <w:tc>
          <w:tcPr>
            <w:tcW w:w="820" w:type="dxa"/>
            <w:vAlign w:val="bottom"/>
          </w:tcPr>
          <w:p>
            <w:pPr>
              <w:jc w:val="center"/>
              <w:ind w:left="83"/>
              <w:spacing w:after="0"/>
              <w:rPr>
                <w:sz w:val="20"/>
                <w:szCs w:val="20"/>
                <w:color w:val="auto"/>
              </w:rPr>
            </w:pPr>
            <w:r>
              <w:rPr>
                <w:rFonts w:ascii="Arial" w:cs="Arial" w:eastAsia="Arial" w:hAnsi="Arial"/>
                <w:sz w:val="12"/>
                <w:szCs w:val="12"/>
                <w:color w:val="auto"/>
                <w:w w:val="95"/>
              </w:rPr>
              <w:t>$266,209</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03/15/2023</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65,674</w:t>
            </w:r>
          </w:p>
        </w:tc>
        <w:tc>
          <w:tcPr>
            <w:tcW w:w="820" w:type="dxa"/>
            <w:vAlign w:val="bottom"/>
          </w:tcPr>
          <w:p>
            <w:pPr>
              <w:jc w:val="center"/>
              <w:ind w:left="83"/>
              <w:spacing w:after="0"/>
              <w:rPr>
                <w:sz w:val="20"/>
                <w:szCs w:val="20"/>
                <w:color w:val="auto"/>
              </w:rPr>
            </w:pPr>
            <w:r>
              <w:rPr>
                <w:rFonts w:ascii="Arial" w:cs="Arial" w:eastAsia="Arial" w:hAnsi="Arial"/>
                <w:sz w:val="12"/>
                <w:szCs w:val="12"/>
                <w:color w:val="auto"/>
                <w:w w:val="95"/>
              </w:rPr>
              <w:t>$403,895</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03/15/2023</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gridSpan w:val="2"/>
          </w:tcPr>
          <w:p>
            <w:pPr>
              <w:jc w:val="center"/>
              <w:ind w:left="62"/>
              <w:spacing w:after="0"/>
              <w:rPr>
                <w:sz w:val="20"/>
                <w:szCs w:val="20"/>
                <w:color w:val="auto"/>
              </w:rPr>
            </w:pPr>
            <w:r>
              <w:rPr>
                <w:rFonts w:ascii="Arial" w:cs="Arial" w:eastAsia="Arial" w:hAnsi="Arial"/>
                <w:sz w:val="12"/>
                <w:szCs w:val="12"/>
                <w:color w:val="auto"/>
                <w:w w:val="96"/>
              </w:rPr>
              <w:t>197,023</w:t>
            </w: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$1,211,691</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03/14/2024</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6"/>
              </w:rPr>
              <w:t>164,165</w:t>
            </w:r>
          </w:p>
        </w:tc>
        <w:tc>
          <w:tcPr>
            <w:tcW w:w="820" w:type="dxa"/>
            <w:vAlign w:val="bottom"/>
          </w:tcPr>
          <w:p>
            <w:pPr>
              <w:jc w:val="center"/>
              <w:ind w:left="63"/>
              <w:spacing w:after="0"/>
              <w:rPr>
                <w:sz w:val="20"/>
                <w:szCs w:val="20"/>
                <w:color w:val="auto"/>
              </w:rPr>
            </w:pPr>
            <w:r>
              <w:rPr>
                <w:rFonts w:ascii="Arial" w:cs="Arial" w:eastAsia="Arial" w:hAnsi="Arial"/>
                <w:sz w:val="12"/>
                <w:szCs w:val="12"/>
                <w:color w:val="auto"/>
                <w:w w:val="96"/>
              </w:rPr>
              <w:t>$1,009,615</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20" w:type="dxa"/>
            <w:vAlign w:val="bottom"/>
            <w:tcBorders>
              <w:bottom w:val="single" w:sz="8" w:color="003595"/>
            </w:tcBorders>
          </w:tcPr>
          <w:p>
            <w:pPr>
              <w:spacing w:after="0"/>
              <w:rPr>
                <w:sz w:val="17"/>
                <w:szCs w:val="17"/>
                <w:color w:val="auto"/>
              </w:rPr>
            </w:pPr>
          </w:p>
        </w:tc>
        <w:tc>
          <w:tcPr>
            <w:tcW w:w="1040" w:type="dxa"/>
            <w:vAlign w:val="bottom"/>
            <w:tcBorders>
              <w:bottom w:val="single" w:sz="8" w:color="003595"/>
            </w:tcBorders>
            <w:gridSpan w:val="5"/>
          </w:tcPr>
          <w:p>
            <w:pPr>
              <w:jc w:val="center"/>
              <w:ind w:right="20"/>
              <w:spacing w:after="0"/>
              <w:rPr>
                <w:sz w:val="20"/>
                <w:szCs w:val="20"/>
                <w:color w:val="auto"/>
              </w:rPr>
            </w:pPr>
            <w:r>
              <w:rPr>
                <w:rFonts w:ascii="Arial" w:cs="Arial" w:eastAsia="Arial" w:hAnsi="Arial"/>
                <w:sz w:val="12"/>
                <w:szCs w:val="12"/>
                <w:color w:val="auto"/>
                <w:w w:val="96"/>
              </w:rPr>
              <w:t>03/14/2024</w:t>
            </w:r>
          </w:p>
        </w:tc>
        <w:tc>
          <w:tcPr>
            <w:tcW w:w="1020" w:type="dxa"/>
            <w:vAlign w:val="bottom"/>
            <w:tcBorders>
              <w:bottom w:val="single" w:sz="8" w:color="003595"/>
            </w:tcBorders>
          </w:tcPr>
          <w:p>
            <w:pPr>
              <w:spacing w:after="0"/>
              <w:rPr>
                <w:sz w:val="17"/>
                <w:szCs w:val="17"/>
                <w:color w:val="auto"/>
              </w:rPr>
            </w:pPr>
          </w:p>
        </w:tc>
        <w:tc>
          <w:tcPr>
            <w:tcW w:w="1160" w:type="dxa"/>
            <w:vAlign w:val="bottom"/>
            <w:tcBorders>
              <w:bottom w:val="single" w:sz="8" w:color="003595"/>
            </w:tcBorders>
          </w:tcPr>
          <w:p>
            <w:pPr>
              <w:spacing w:after="0"/>
              <w:rPr>
                <w:sz w:val="17"/>
                <w:szCs w:val="17"/>
                <w:color w:val="auto"/>
              </w:rPr>
            </w:pPr>
          </w:p>
        </w:tc>
        <w:tc>
          <w:tcPr>
            <w:tcW w:w="900" w:type="dxa"/>
            <w:vAlign w:val="bottom"/>
            <w:tcBorders>
              <w:bottom w:val="single" w:sz="8" w:color="003595"/>
            </w:tcBorders>
          </w:tcPr>
          <w:p>
            <w:pPr>
              <w:spacing w:after="0"/>
              <w:rPr>
                <w:sz w:val="17"/>
                <w:szCs w:val="17"/>
                <w:color w:val="auto"/>
              </w:rPr>
            </w:pPr>
          </w:p>
        </w:tc>
        <w:tc>
          <w:tcPr>
            <w:tcW w:w="980" w:type="dxa"/>
            <w:vAlign w:val="bottom"/>
            <w:tcBorders>
              <w:bottom w:val="single" w:sz="8" w:color="003595"/>
            </w:tcBorders>
          </w:tcPr>
          <w:p>
            <w:pPr>
              <w:spacing w:after="0"/>
              <w:rPr>
                <w:sz w:val="17"/>
                <w:szCs w:val="17"/>
                <w:color w:val="auto"/>
              </w:rPr>
            </w:pPr>
          </w:p>
        </w:tc>
        <w:tc>
          <w:tcPr>
            <w:tcW w:w="880" w:type="dxa"/>
            <w:vAlign w:val="bottom"/>
            <w:tcBorders>
              <w:bottom w:val="single" w:sz="8" w:color="003595"/>
            </w:tcBorders>
          </w:tcPr>
          <w:p>
            <w:pPr>
              <w:spacing w:after="0"/>
              <w:rPr>
                <w:sz w:val="17"/>
                <w:szCs w:val="17"/>
                <w:color w:val="auto"/>
              </w:rPr>
            </w:pPr>
          </w:p>
        </w:tc>
        <w:tc>
          <w:tcPr>
            <w:tcW w:w="820" w:type="dxa"/>
            <w:vAlign w:val="bottom"/>
            <w:tcBorders>
              <w:bottom w:val="single" w:sz="8" w:color="003595"/>
            </w:tcBorders>
          </w:tcPr>
          <w:p>
            <w:pPr>
              <w:spacing w:after="0"/>
              <w:rPr>
                <w:sz w:val="17"/>
                <w:szCs w:val="17"/>
                <w:color w:val="auto"/>
              </w:rPr>
            </w:pPr>
          </w:p>
        </w:tc>
        <w:tc>
          <w:tcPr>
            <w:tcW w:w="1380" w:type="dxa"/>
            <w:vAlign w:val="bottom"/>
            <w:tcBorders>
              <w:bottom w:val="single" w:sz="8" w:color="003595"/>
            </w:tcBorders>
            <w:gridSpan w:val="2"/>
          </w:tcPr>
          <w:p>
            <w:pPr>
              <w:jc w:val="center"/>
              <w:ind w:left="62"/>
              <w:spacing w:after="0"/>
              <w:rPr>
                <w:sz w:val="20"/>
                <w:szCs w:val="20"/>
                <w:color w:val="auto"/>
              </w:rPr>
            </w:pPr>
            <w:r>
              <w:rPr>
                <w:rFonts w:ascii="Arial" w:cs="Arial" w:eastAsia="Arial" w:hAnsi="Arial"/>
                <w:sz w:val="12"/>
                <w:szCs w:val="12"/>
                <w:color w:val="auto"/>
                <w:w w:val="99"/>
              </w:rPr>
              <w:t>$246,247</w:t>
            </w:r>
          </w:p>
        </w:tc>
        <w:tc>
          <w:tcPr>
            <w:tcW w:w="12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9"/>
              </w:rPr>
              <w:t>$1,514,419</w:t>
            </w:r>
          </w:p>
        </w:tc>
        <w:tc>
          <w:tcPr>
            <w:tcW w:w="0" w:type="dxa"/>
            <w:vAlign w:val="bottom"/>
          </w:tcPr>
          <w:p>
            <w:pPr>
              <w:spacing w:after="0"/>
              <w:rPr>
                <w:sz w:val="1"/>
                <w:szCs w:val="1"/>
                <w:color w:val="auto"/>
              </w:rPr>
            </w:pPr>
          </w:p>
        </w:tc>
      </w:tr>
      <w:tr>
        <w:trPr>
          <w:trHeight w:val="171"/>
        </w:trPr>
        <w:tc>
          <w:tcPr>
            <w:tcW w:w="1820" w:type="dxa"/>
            <w:vAlign w:val="bottom"/>
          </w:tcPr>
          <w:p>
            <w:pPr>
              <w:ind w:left="20"/>
              <w:spacing w:after="0"/>
              <w:rPr>
                <w:sz w:val="20"/>
                <w:szCs w:val="20"/>
                <w:color w:val="auto"/>
              </w:rPr>
            </w:pPr>
            <w:r>
              <w:rPr>
                <w:rFonts w:ascii="Arial" w:cs="Arial" w:eastAsia="Arial" w:hAnsi="Arial"/>
                <w:sz w:val="12"/>
                <w:szCs w:val="12"/>
                <w:color w:val="auto"/>
              </w:rPr>
              <w:t>Benjamin R. Wheeler</w:t>
            </w: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03/22/2022</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1,250</w:t>
            </w:r>
          </w:p>
        </w:tc>
        <w:tc>
          <w:tcPr>
            <w:tcW w:w="820" w:type="dxa"/>
            <w:vAlign w:val="bottom"/>
          </w:tcPr>
          <w:p>
            <w:pPr>
              <w:jc w:val="center"/>
              <w:ind w:left="83"/>
              <w:spacing w:after="0"/>
              <w:rPr>
                <w:sz w:val="20"/>
                <w:szCs w:val="20"/>
                <w:color w:val="auto"/>
              </w:rPr>
            </w:pPr>
            <w:r>
              <w:rPr>
                <w:rFonts w:ascii="Arial" w:cs="Arial" w:eastAsia="Arial" w:hAnsi="Arial"/>
                <w:sz w:val="12"/>
                <w:szCs w:val="12"/>
                <w:color w:val="auto"/>
                <w:w w:val="97"/>
              </w:rPr>
              <w:t>$7,688</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09/21/2022</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2,500</w:t>
            </w:r>
          </w:p>
        </w:tc>
        <w:tc>
          <w:tcPr>
            <w:tcW w:w="820" w:type="dxa"/>
            <w:vAlign w:val="bottom"/>
          </w:tcPr>
          <w:p>
            <w:pPr>
              <w:jc w:val="center"/>
              <w:ind w:left="63"/>
              <w:spacing w:after="0"/>
              <w:rPr>
                <w:sz w:val="20"/>
                <w:szCs w:val="20"/>
                <w:color w:val="auto"/>
              </w:rPr>
            </w:pPr>
            <w:r>
              <w:rPr>
                <w:rFonts w:ascii="Arial" w:cs="Arial" w:eastAsia="Arial" w:hAnsi="Arial"/>
                <w:sz w:val="12"/>
                <w:szCs w:val="12"/>
                <w:color w:val="auto"/>
                <w:w w:val="96"/>
              </w:rPr>
              <w:t>$15,375</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03/15/2023</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1,999</w:t>
            </w:r>
          </w:p>
        </w:tc>
        <w:tc>
          <w:tcPr>
            <w:tcW w:w="820" w:type="dxa"/>
            <w:vAlign w:val="bottom"/>
          </w:tcPr>
          <w:p>
            <w:pPr>
              <w:jc w:val="center"/>
              <w:ind w:left="63"/>
              <w:spacing w:after="0"/>
              <w:rPr>
                <w:sz w:val="20"/>
                <w:szCs w:val="20"/>
                <w:color w:val="auto"/>
              </w:rPr>
            </w:pPr>
            <w:r>
              <w:rPr>
                <w:rFonts w:ascii="Arial" w:cs="Arial" w:eastAsia="Arial" w:hAnsi="Arial"/>
                <w:sz w:val="12"/>
                <w:szCs w:val="12"/>
                <w:color w:val="auto"/>
                <w:w w:val="96"/>
              </w:rPr>
              <w:t>$12,294</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03/15/2023</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gridSpan w:val="2"/>
          </w:tcPr>
          <w:p>
            <w:pPr>
              <w:jc w:val="center"/>
              <w:ind w:left="62"/>
              <w:spacing w:after="0"/>
              <w:rPr>
                <w:sz w:val="20"/>
                <w:szCs w:val="20"/>
                <w:color w:val="auto"/>
              </w:rPr>
            </w:pPr>
            <w:r>
              <w:rPr>
                <w:rFonts w:ascii="Arial" w:cs="Arial" w:eastAsia="Arial" w:hAnsi="Arial"/>
                <w:sz w:val="12"/>
                <w:szCs w:val="12"/>
                <w:color w:val="auto"/>
                <w:w w:val="99"/>
              </w:rPr>
              <w:t>6,000</w:t>
            </w:r>
          </w:p>
        </w:tc>
        <w:tc>
          <w:tcPr>
            <w:tcW w:w="1240" w:type="dxa"/>
            <w:vAlign w:val="bottom"/>
          </w:tcPr>
          <w:p>
            <w:pPr>
              <w:jc w:val="center"/>
              <w:spacing w:after="0"/>
              <w:rPr>
                <w:sz w:val="20"/>
                <w:szCs w:val="20"/>
                <w:color w:val="auto"/>
              </w:rPr>
            </w:pPr>
            <w:r>
              <w:rPr>
                <w:rFonts w:ascii="Arial" w:cs="Arial" w:eastAsia="Arial" w:hAnsi="Arial"/>
                <w:sz w:val="12"/>
                <w:szCs w:val="12"/>
                <w:color w:val="auto"/>
              </w:rPr>
              <w:t>$36,900</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09/21/2023</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3,333</w:t>
            </w:r>
          </w:p>
        </w:tc>
        <w:tc>
          <w:tcPr>
            <w:tcW w:w="820" w:type="dxa"/>
            <w:vAlign w:val="bottom"/>
          </w:tcPr>
          <w:p>
            <w:pPr>
              <w:jc w:val="center"/>
              <w:ind w:left="63"/>
              <w:spacing w:after="0"/>
              <w:rPr>
                <w:sz w:val="20"/>
                <w:szCs w:val="20"/>
                <w:color w:val="auto"/>
              </w:rPr>
            </w:pPr>
            <w:r>
              <w:rPr>
                <w:rFonts w:ascii="Arial" w:cs="Arial" w:eastAsia="Arial" w:hAnsi="Arial"/>
                <w:sz w:val="12"/>
                <w:szCs w:val="12"/>
                <w:color w:val="auto"/>
                <w:w w:val="96"/>
              </w:rPr>
              <w:t>$20,498</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2"/>
                <w:szCs w:val="12"/>
                <w:color w:val="auto"/>
                <w:w w:val="96"/>
              </w:rPr>
              <w:t>03/14/2024</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5,000</w:t>
            </w:r>
          </w:p>
        </w:tc>
        <w:tc>
          <w:tcPr>
            <w:tcW w:w="820" w:type="dxa"/>
            <w:vAlign w:val="bottom"/>
          </w:tcPr>
          <w:p>
            <w:pPr>
              <w:jc w:val="center"/>
              <w:ind w:left="63"/>
              <w:spacing w:after="0"/>
              <w:rPr>
                <w:sz w:val="20"/>
                <w:szCs w:val="20"/>
                <w:color w:val="auto"/>
              </w:rPr>
            </w:pPr>
            <w:r>
              <w:rPr>
                <w:rFonts w:ascii="Arial" w:cs="Arial" w:eastAsia="Arial" w:hAnsi="Arial"/>
                <w:sz w:val="12"/>
                <w:szCs w:val="12"/>
                <w:color w:val="auto"/>
                <w:w w:val="96"/>
              </w:rPr>
              <w:t>$30,750</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-3322320</wp:posOffset>
            </wp:positionV>
            <wp:extent cx="59836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80"/>
        </w:trPr>
        <w:tc>
          <w:tcPr>
            <w:tcW w:w="1800" w:type="dxa"/>
            <w:vAlign w:val="bottom"/>
            <w:shd w:val="clear" w:color="auto" w:fill="003595"/>
          </w:tcPr>
          <w:p>
            <w:pPr>
              <w:spacing w:after="0"/>
              <w:rPr>
                <w:sz w:val="15"/>
                <w:szCs w:val="15"/>
                <w:color w:val="auto"/>
              </w:rPr>
            </w:pPr>
          </w:p>
        </w:tc>
        <w:tc>
          <w:tcPr>
            <w:tcW w:w="340" w:type="dxa"/>
            <w:vAlign w:val="bottom"/>
            <w:shd w:val="clear" w:color="auto" w:fill="003595"/>
          </w:tcPr>
          <w:p>
            <w:pPr>
              <w:spacing w:after="0"/>
              <w:rPr>
                <w:sz w:val="15"/>
                <w:szCs w:val="15"/>
                <w:color w:val="auto"/>
              </w:rPr>
            </w:pPr>
          </w:p>
        </w:tc>
        <w:tc>
          <w:tcPr>
            <w:tcW w:w="40" w:type="dxa"/>
            <w:vAlign w:val="bottom"/>
            <w:shd w:val="clear" w:color="auto" w:fill="003595"/>
          </w:tcPr>
          <w:p>
            <w:pPr>
              <w:spacing w:after="0"/>
              <w:rPr>
                <w:sz w:val="15"/>
                <w:szCs w:val="15"/>
                <w:color w:val="auto"/>
              </w:rPr>
            </w:pPr>
          </w:p>
        </w:tc>
        <w:tc>
          <w:tcPr>
            <w:tcW w:w="280" w:type="dxa"/>
            <w:vAlign w:val="bottom"/>
            <w:shd w:val="clear" w:color="auto" w:fill="003595"/>
          </w:tcPr>
          <w:p>
            <w:pPr>
              <w:spacing w:after="0"/>
              <w:rPr>
                <w:sz w:val="15"/>
                <w:szCs w:val="15"/>
                <w:color w:val="auto"/>
              </w:rPr>
            </w:pPr>
          </w:p>
        </w:tc>
        <w:tc>
          <w:tcPr>
            <w:tcW w:w="40" w:type="dxa"/>
            <w:vAlign w:val="bottom"/>
            <w:shd w:val="clear" w:color="auto" w:fill="003595"/>
          </w:tcPr>
          <w:p>
            <w:pPr>
              <w:spacing w:after="0"/>
              <w:rPr>
                <w:sz w:val="15"/>
                <w:szCs w:val="15"/>
                <w:color w:val="auto"/>
              </w:rPr>
            </w:pPr>
          </w:p>
        </w:tc>
        <w:tc>
          <w:tcPr>
            <w:tcW w:w="340" w:type="dxa"/>
            <w:vAlign w:val="bottom"/>
            <w:shd w:val="clear" w:color="auto" w:fill="003595"/>
          </w:tcPr>
          <w:p>
            <w:pPr>
              <w:spacing w:after="0"/>
              <w:rPr>
                <w:sz w:val="15"/>
                <w:szCs w:val="15"/>
                <w:color w:val="auto"/>
              </w:rPr>
            </w:pPr>
          </w:p>
        </w:tc>
        <w:tc>
          <w:tcPr>
            <w:tcW w:w="2180" w:type="dxa"/>
            <w:vAlign w:val="bottom"/>
            <w:gridSpan w:val="2"/>
            <w:shd w:val="clear" w:color="auto" w:fill="003595"/>
          </w:tcPr>
          <w:p>
            <w:pPr>
              <w:ind w:left="640"/>
              <w:spacing w:after="0"/>
              <w:rPr>
                <w:sz w:val="20"/>
                <w:szCs w:val="20"/>
                <w:color w:val="auto"/>
              </w:rPr>
            </w:pPr>
            <w:r>
              <w:rPr>
                <w:rFonts w:ascii="Arial" w:cs="Arial" w:eastAsia="Arial" w:hAnsi="Arial"/>
                <w:sz w:val="12"/>
                <w:szCs w:val="12"/>
                <w:b w:val="1"/>
                <w:bCs w:val="1"/>
                <w:color w:val="FFFFFF"/>
              </w:rPr>
              <w:t>Option Awards</w:t>
            </w:r>
          </w:p>
        </w:tc>
        <w:tc>
          <w:tcPr>
            <w:tcW w:w="920" w:type="dxa"/>
            <w:vAlign w:val="bottom"/>
            <w:shd w:val="clear" w:color="auto" w:fill="003595"/>
          </w:tcPr>
          <w:p>
            <w:pPr>
              <w:spacing w:after="0"/>
              <w:rPr>
                <w:sz w:val="15"/>
                <w:szCs w:val="15"/>
                <w:color w:val="auto"/>
              </w:rPr>
            </w:pPr>
          </w:p>
        </w:tc>
        <w:tc>
          <w:tcPr>
            <w:tcW w:w="960" w:type="dxa"/>
            <w:vAlign w:val="bottom"/>
            <w:shd w:val="clear" w:color="auto" w:fill="003595"/>
          </w:tcPr>
          <w:p>
            <w:pPr>
              <w:spacing w:after="0"/>
              <w:rPr>
                <w:sz w:val="15"/>
                <w:szCs w:val="15"/>
                <w:color w:val="auto"/>
              </w:rPr>
            </w:pPr>
          </w:p>
        </w:tc>
        <w:tc>
          <w:tcPr>
            <w:tcW w:w="880" w:type="dxa"/>
            <w:vAlign w:val="bottom"/>
            <w:shd w:val="clear" w:color="auto" w:fill="003595"/>
          </w:tcPr>
          <w:p>
            <w:pPr>
              <w:spacing w:after="0"/>
              <w:rPr>
                <w:sz w:val="15"/>
                <w:szCs w:val="15"/>
                <w:color w:val="auto"/>
              </w:rPr>
            </w:pPr>
          </w:p>
        </w:tc>
        <w:tc>
          <w:tcPr>
            <w:tcW w:w="840" w:type="dxa"/>
            <w:vAlign w:val="bottom"/>
            <w:shd w:val="clear" w:color="auto" w:fill="003595"/>
          </w:tcPr>
          <w:p>
            <w:pPr>
              <w:spacing w:after="0"/>
              <w:rPr>
                <w:sz w:val="15"/>
                <w:szCs w:val="15"/>
                <w:color w:val="auto"/>
              </w:rPr>
            </w:pPr>
          </w:p>
        </w:tc>
        <w:tc>
          <w:tcPr>
            <w:tcW w:w="1380" w:type="dxa"/>
            <w:vAlign w:val="bottom"/>
            <w:shd w:val="clear" w:color="auto" w:fill="003595"/>
          </w:tcPr>
          <w:p>
            <w:pPr>
              <w:ind w:left="40"/>
              <w:spacing w:after="0"/>
              <w:rPr>
                <w:sz w:val="20"/>
                <w:szCs w:val="20"/>
                <w:color w:val="auto"/>
              </w:rPr>
            </w:pPr>
            <w:r>
              <w:rPr>
                <w:rFonts w:ascii="Arial" w:cs="Arial" w:eastAsia="Arial" w:hAnsi="Arial"/>
                <w:sz w:val="12"/>
                <w:szCs w:val="12"/>
                <w:b w:val="1"/>
                <w:bCs w:val="1"/>
                <w:color w:val="FFFFFF"/>
              </w:rPr>
              <w:t>Stock Awards</w:t>
            </w:r>
          </w:p>
        </w:tc>
        <w:tc>
          <w:tcPr>
            <w:tcW w:w="1240" w:type="dxa"/>
            <w:vAlign w:val="bottom"/>
            <w:shd w:val="clear" w:color="auto" w:fill="003595"/>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00" w:type="dxa"/>
            <w:vAlign w:val="bottom"/>
            <w:shd w:val="clear" w:color="auto" w:fill="003595"/>
          </w:tcPr>
          <w:p>
            <w:pPr>
              <w:spacing w:after="0"/>
              <w:rPr>
                <w:sz w:val="14"/>
                <w:szCs w:val="14"/>
                <w:color w:val="auto"/>
              </w:rPr>
            </w:pPr>
          </w:p>
        </w:tc>
        <w:tc>
          <w:tcPr>
            <w:tcW w:w="340" w:type="dxa"/>
            <w:vAlign w:val="bottom"/>
            <w:shd w:val="clear" w:color="auto" w:fill="003595"/>
          </w:tcPr>
          <w:p>
            <w:pPr>
              <w:spacing w:after="0"/>
              <w:rPr>
                <w:sz w:val="14"/>
                <w:szCs w:val="14"/>
                <w:color w:val="auto"/>
              </w:rPr>
            </w:pPr>
          </w:p>
        </w:tc>
        <w:tc>
          <w:tcPr>
            <w:tcW w:w="40" w:type="dxa"/>
            <w:vAlign w:val="bottom"/>
            <w:shd w:val="clear" w:color="auto" w:fill="003595"/>
          </w:tcPr>
          <w:p>
            <w:pPr>
              <w:spacing w:after="0"/>
              <w:rPr>
                <w:sz w:val="14"/>
                <w:szCs w:val="14"/>
                <w:color w:val="auto"/>
              </w:rPr>
            </w:pPr>
          </w:p>
        </w:tc>
        <w:tc>
          <w:tcPr>
            <w:tcW w:w="280" w:type="dxa"/>
            <w:vAlign w:val="bottom"/>
            <w:shd w:val="clear" w:color="auto" w:fill="003595"/>
          </w:tcPr>
          <w:p>
            <w:pPr>
              <w:spacing w:after="0"/>
              <w:rPr>
                <w:sz w:val="14"/>
                <w:szCs w:val="14"/>
                <w:color w:val="auto"/>
              </w:rPr>
            </w:pPr>
          </w:p>
        </w:tc>
        <w:tc>
          <w:tcPr>
            <w:tcW w:w="40" w:type="dxa"/>
            <w:vAlign w:val="bottom"/>
            <w:shd w:val="clear" w:color="auto" w:fill="003595"/>
          </w:tcPr>
          <w:p>
            <w:pPr>
              <w:spacing w:after="0"/>
              <w:rPr>
                <w:sz w:val="14"/>
                <w:szCs w:val="14"/>
                <w:color w:val="auto"/>
              </w:rPr>
            </w:pPr>
          </w:p>
        </w:tc>
        <w:tc>
          <w:tcPr>
            <w:tcW w:w="340" w:type="dxa"/>
            <w:vAlign w:val="bottom"/>
            <w:shd w:val="clear" w:color="auto" w:fill="003595"/>
          </w:tcPr>
          <w:p>
            <w:pPr>
              <w:spacing w:after="0"/>
              <w:rPr>
                <w:sz w:val="14"/>
                <w:szCs w:val="14"/>
                <w:color w:val="auto"/>
              </w:rPr>
            </w:pPr>
          </w:p>
        </w:tc>
        <w:tc>
          <w:tcPr>
            <w:tcW w:w="1040" w:type="dxa"/>
            <w:vAlign w:val="bottom"/>
            <w:shd w:val="clear" w:color="auto" w:fill="003595"/>
          </w:tcPr>
          <w:p>
            <w:pPr>
              <w:spacing w:after="0"/>
              <w:rPr>
                <w:sz w:val="14"/>
                <w:szCs w:val="14"/>
                <w:color w:val="auto"/>
              </w:rPr>
            </w:pPr>
          </w:p>
        </w:tc>
        <w:tc>
          <w:tcPr>
            <w:tcW w:w="1140" w:type="dxa"/>
            <w:vAlign w:val="bottom"/>
            <w:shd w:val="clear" w:color="auto" w:fill="003595"/>
          </w:tcPr>
          <w:p>
            <w:pPr>
              <w:spacing w:after="0"/>
              <w:rPr>
                <w:sz w:val="14"/>
                <w:szCs w:val="14"/>
                <w:color w:val="auto"/>
              </w:rPr>
            </w:pPr>
          </w:p>
        </w:tc>
        <w:tc>
          <w:tcPr>
            <w:tcW w:w="920" w:type="dxa"/>
            <w:vAlign w:val="bottom"/>
            <w:shd w:val="clear" w:color="auto" w:fill="003595"/>
          </w:tcPr>
          <w:p>
            <w:pPr>
              <w:spacing w:after="0"/>
              <w:rPr>
                <w:sz w:val="14"/>
                <w:szCs w:val="14"/>
                <w:color w:val="auto"/>
              </w:rPr>
            </w:pPr>
          </w:p>
        </w:tc>
        <w:tc>
          <w:tcPr>
            <w:tcW w:w="960" w:type="dxa"/>
            <w:vAlign w:val="bottom"/>
            <w:shd w:val="clear" w:color="auto" w:fill="003595"/>
          </w:tcPr>
          <w:p>
            <w:pPr>
              <w:spacing w:after="0"/>
              <w:rPr>
                <w:sz w:val="14"/>
                <w:szCs w:val="14"/>
                <w:color w:val="auto"/>
              </w:rPr>
            </w:pPr>
          </w:p>
        </w:tc>
        <w:tc>
          <w:tcPr>
            <w:tcW w:w="880" w:type="dxa"/>
            <w:vAlign w:val="bottom"/>
            <w:shd w:val="clear" w:color="auto" w:fill="003595"/>
          </w:tcPr>
          <w:p>
            <w:pPr>
              <w:spacing w:after="0"/>
              <w:rPr>
                <w:sz w:val="14"/>
                <w:szCs w:val="14"/>
                <w:color w:val="auto"/>
              </w:rPr>
            </w:pPr>
          </w:p>
        </w:tc>
        <w:tc>
          <w:tcPr>
            <w:tcW w:w="840" w:type="dxa"/>
            <w:vAlign w:val="bottom"/>
            <w:shd w:val="clear" w:color="auto" w:fill="003595"/>
          </w:tcPr>
          <w:p>
            <w:pPr>
              <w:spacing w:after="0"/>
              <w:rPr>
                <w:sz w:val="14"/>
                <w:szCs w:val="14"/>
                <w:color w:val="auto"/>
              </w:rPr>
            </w:pPr>
          </w:p>
        </w:tc>
        <w:tc>
          <w:tcPr>
            <w:tcW w:w="1380" w:type="dxa"/>
            <w:vAlign w:val="bottom"/>
            <w:vMerge w:val="restart"/>
            <w:shd w:val="clear" w:color="auto" w:fill="003595"/>
          </w:tcPr>
          <w:p>
            <w:pPr>
              <w:jc w:val="center"/>
              <w:ind w:left="43"/>
              <w:spacing w:after="0"/>
              <w:rPr>
                <w:sz w:val="20"/>
                <w:szCs w:val="20"/>
                <w:color w:val="auto"/>
              </w:rPr>
            </w:pPr>
            <w:r>
              <w:rPr>
                <w:rFonts w:ascii="Arial" w:cs="Arial" w:eastAsia="Arial" w:hAnsi="Arial"/>
                <w:sz w:val="11"/>
                <w:szCs w:val="11"/>
                <w:b w:val="1"/>
                <w:bCs w:val="1"/>
                <w:color w:val="FFFFFF"/>
                <w:w w:val="95"/>
              </w:rPr>
              <w:t>Equity</w:t>
            </w:r>
          </w:p>
        </w:tc>
        <w:tc>
          <w:tcPr>
            <w:tcW w:w="1240" w:type="dxa"/>
            <w:vAlign w:val="bottom"/>
            <w:shd w:val="clear" w:color="auto" w:fill="003595"/>
          </w:tcPr>
          <w:p>
            <w:pPr>
              <w:jc w:val="center"/>
              <w:spacing w:after="0"/>
              <w:rPr>
                <w:sz w:val="20"/>
                <w:szCs w:val="20"/>
                <w:color w:val="auto"/>
              </w:rPr>
            </w:pPr>
            <w:r>
              <w:rPr>
                <w:rFonts w:ascii="Arial" w:cs="Arial" w:eastAsia="Arial" w:hAnsi="Arial"/>
                <w:sz w:val="11"/>
                <w:szCs w:val="11"/>
                <w:b w:val="1"/>
                <w:bCs w:val="1"/>
                <w:color w:val="FFFFFF"/>
                <w:w w:val="95"/>
              </w:rPr>
              <w:t>Equity</w:t>
            </w:r>
          </w:p>
        </w:tc>
        <w:tc>
          <w:tcPr>
            <w:tcW w:w="0" w:type="dxa"/>
            <w:vAlign w:val="bottom"/>
          </w:tcPr>
          <w:p>
            <w:pPr>
              <w:spacing w:after="0"/>
              <w:rPr>
                <w:sz w:val="1"/>
                <w:szCs w:val="1"/>
                <w:color w:val="auto"/>
              </w:rPr>
            </w:pPr>
          </w:p>
        </w:tc>
      </w:tr>
      <w:tr>
        <w:trPr>
          <w:trHeight w:val="122"/>
        </w:trPr>
        <w:tc>
          <w:tcPr>
            <w:tcW w:w="1800" w:type="dxa"/>
            <w:vAlign w:val="bottom"/>
            <w:shd w:val="clear" w:color="auto" w:fill="003595"/>
          </w:tcPr>
          <w:p>
            <w:pPr>
              <w:spacing w:after="0"/>
              <w:rPr>
                <w:sz w:val="10"/>
                <w:szCs w:val="10"/>
                <w:color w:val="auto"/>
              </w:rPr>
            </w:pPr>
          </w:p>
        </w:tc>
        <w:tc>
          <w:tcPr>
            <w:tcW w:w="340" w:type="dxa"/>
            <w:vAlign w:val="bottom"/>
            <w:shd w:val="clear" w:color="auto" w:fill="003595"/>
          </w:tcPr>
          <w:p>
            <w:pPr>
              <w:spacing w:after="0"/>
              <w:rPr>
                <w:sz w:val="10"/>
                <w:szCs w:val="10"/>
                <w:color w:val="auto"/>
              </w:rPr>
            </w:pPr>
          </w:p>
        </w:tc>
        <w:tc>
          <w:tcPr>
            <w:tcW w:w="40" w:type="dxa"/>
            <w:vAlign w:val="bottom"/>
            <w:shd w:val="clear" w:color="auto" w:fill="003595"/>
          </w:tcPr>
          <w:p>
            <w:pPr>
              <w:spacing w:after="0"/>
              <w:rPr>
                <w:sz w:val="10"/>
                <w:szCs w:val="10"/>
                <w:color w:val="auto"/>
              </w:rPr>
            </w:pPr>
          </w:p>
        </w:tc>
        <w:tc>
          <w:tcPr>
            <w:tcW w:w="280" w:type="dxa"/>
            <w:vAlign w:val="bottom"/>
            <w:shd w:val="clear" w:color="auto" w:fill="003595"/>
          </w:tcPr>
          <w:p>
            <w:pPr>
              <w:spacing w:after="0"/>
              <w:rPr>
                <w:sz w:val="10"/>
                <w:szCs w:val="10"/>
                <w:color w:val="auto"/>
              </w:rPr>
            </w:pPr>
          </w:p>
        </w:tc>
        <w:tc>
          <w:tcPr>
            <w:tcW w:w="40" w:type="dxa"/>
            <w:vAlign w:val="bottom"/>
            <w:shd w:val="clear" w:color="auto" w:fill="003595"/>
          </w:tcPr>
          <w:p>
            <w:pPr>
              <w:spacing w:after="0"/>
              <w:rPr>
                <w:sz w:val="10"/>
                <w:szCs w:val="10"/>
                <w:color w:val="auto"/>
              </w:rPr>
            </w:pPr>
          </w:p>
        </w:tc>
        <w:tc>
          <w:tcPr>
            <w:tcW w:w="340" w:type="dxa"/>
            <w:vAlign w:val="bottom"/>
            <w:shd w:val="clear" w:color="auto" w:fill="003595"/>
          </w:tcPr>
          <w:p>
            <w:pPr>
              <w:spacing w:after="0"/>
              <w:rPr>
                <w:sz w:val="10"/>
                <w:szCs w:val="10"/>
                <w:color w:val="auto"/>
              </w:rPr>
            </w:pPr>
          </w:p>
        </w:tc>
        <w:tc>
          <w:tcPr>
            <w:tcW w:w="1040" w:type="dxa"/>
            <w:vAlign w:val="bottom"/>
            <w:shd w:val="clear" w:color="auto" w:fill="003595"/>
          </w:tcPr>
          <w:p>
            <w:pPr>
              <w:spacing w:after="0"/>
              <w:rPr>
                <w:sz w:val="10"/>
                <w:szCs w:val="10"/>
                <w:color w:val="auto"/>
              </w:rPr>
            </w:pPr>
          </w:p>
        </w:tc>
        <w:tc>
          <w:tcPr>
            <w:tcW w:w="1140" w:type="dxa"/>
            <w:vAlign w:val="bottom"/>
            <w:shd w:val="clear" w:color="auto" w:fill="003595"/>
          </w:tcPr>
          <w:p>
            <w:pPr>
              <w:spacing w:after="0"/>
              <w:rPr>
                <w:sz w:val="10"/>
                <w:szCs w:val="10"/>
                <w:color w:val="auto"/>
              </w:rPr>
            </w:pPr>
          </w:p>
        </w:tc>
        <w:tc>
          <w:tcPr>
            <w:tcW w:w="920" w:type="dxa"/>
            <w:vAlign w:val="bottom"/>
            <w:shd w:val="clear" w:color="auto" w:fill="003595"/>
          </w:tcPr>
          <w:p>
            <w:pPr>
              <w:spacing w:after="0"/>
              <w:rPr>
                <w:sz w:val="10"/>
                <w:szCs w:val="10"/>
                <w:color w:val="auto"/>
              </w:rPr>
            </w:pPr>
          </w:p>
        </w:tc>
        <w:tc>
          <w:tcPr>
            <w:tcW w:w="960" w:type="dxa"/>
            <w:vAlign w:val="bottom"/>
            <w:shd w:val="clear" w:color="auto" w:fill="003595"/>
          </w:tcPr>
          <w:p>
            <w:pPr>
              <w:spacing w:after="0"/>
              <w:rPr>
                <w:sz w:val="10"/>
                <w:szCs w:val="10"/>
                <w:color w:val="auto"/>
              </w:rPr>
            </w:pPr>
          </w:p>
        </w:tc>
        <w:tc>
          <w:tcPr>
            <w:tcW w:w="880" w:type="dxa"/>
            <w:vAlign w:val="bottom"/>
            <w:shd w:val="clear" w:color="auto" w:fill="003595"/>
          </w:tcPr>
          <w:p>
            <w:pPr>
              <w:spacing w:after="0"/>
              <w:rPr>
                <w:sz w:val="10"/>
                <w:szCs w:val="10"/>
                <w:color w:val="auto"/>
              </w:rPr>
            </w:pPr>
          </w:p>
        </w:tc>
        <w:tc>
          <w:tcPr>
            <w:tcW w:w="840" w:type="dxa"/>
            <w:vAlign w:val="bottom"/>
            <w:shd w:val="clear" w:color="auto" w:fill="003595"/>
          </w:tcPr>
          <w:p>
            <w:pPr>
              <w:spacing w:after="0"/>
              <w:rPr>
                <w:sz w:val="10"/>
                <w:szCs w:val="10"/>
                <w:color w:val="auto"/>
              </w:rPr>
            </w:pPr>
          </w:p>
        </w:tc>
        <w:tc>
          <w:tcPr>
            <w:tcW w:w="1380" w:type="dxa"/>
            <w:vAlign w:val="bottom"/>
            <w:vMerge w:val="continue"/>
            <w:shd w:val="clear" w:color="auto" w:fill="003595"/>
          </w:tcPr>
          <w:p>
            <w:pPr>
              <w:spacing w:after="0"/>
              <w:rPr>
                <w:sz w:val="10"/>
                <w:szCs w:val="10"/>
                <w:color w:val="auto"/>
              </w:rPr>
            </w:pPr>
          </w:p>
        </w:tc>
        <w:tc>
          <w:tcPr>
            <w:tcW w:w="1240" w:type="dxa"/>
            <w:vAlign w:val="bottom"/>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rPr>
              <w:t>Incentive</w:t>
            </w:r>
          </w:p>
        </w:tc>
        <w:tc>
          <w:tcPr>
            <w:tcW w:w="0" w:type="dxa"/>
            <w:vAlign w:val="bottom"/>
          </w:tcPr>
          <w:p>
            <w:pPr>
              <w:spacing w:after="0"/>
              <w:rPr>
                <w:sz w:val="1"/>
                <w:szCs w:val="1"/>
                <w:color w:val="auto"/>
              </w:rPr>
            </w:pPr>
          </w:p>
        </w:tc>
      </w:tr>
      <w:tr>
        <w:trPr>
          <w:trHeight w:val="122"/>
        </w:trPr>
        <w:tc>
          <w:tcPr>
            <w:tcW w:w="1800" w:type="dxa"/>
            <w:vAlign w:val="bottom"/>
            <w:shd w:val="clear" w:color="auto" w:fill="003595"/>
          </w:tcPr>
          <w:p>
            <w:pPr>
              <w:spacing w:after="0"/>
              <w:rPr>
                <w:sz w:val="10"/>
                <w:szCs w:val="10"/>
                <w:color w:val="auto"/>
              </w:rPr>
            </w:pPr>
          </w:p>
        </w:tc>
        <w:tc>
          <w:tcPr>
            <w:tcW w:w="340" w:type="dxa"/>
            <w:vAlign w:val="bottom"/>
            <w:shd w:val="clear" w:color="auto" w:fill="003595"/>
          </w:tcPr>
          <w:p>
            <w:pPr>
              <w:spacing w:after="0"/>
              <w:rPr>
                <w:sz w:val="10"/>
                <w:szCs w:val="10"/>
                <w:color w:val="auto"/>
              </w:rPr>
            </w:pPr>
          </w:p>
        </w:tc>
        <w:tc>
          <w:tcPr>
            <w:tcW w:w="40" w:type="dxa"/>
            <w:vAlign w:val="bottom"/>
            <w:shd w:val="clear" w:color="auto" w:fill="003595"/>
          </w:tcPr>
          <w:p>
            <w:pPr>
              <w:spacing w:after="0"/>
              <w:rPr>
                <w:sz w:val="10"/>
                <w:szCs w:val="10"/>
                <w:color w:val="auto"/>
              </w:rPr>
            </w:pPr>
          </w:p>
        </w:tc>
        <w:tc>
          <w:tcPr>
            <w:tcW w:w="280" w:type="dxa"/>
            <w:vAlign w:val="bottom"/>
            <w:shd w:val="clear" w:color="auto" w:fill="003595"/>
          </w:tcPr>
          <w:p>
            <w:pPr>
              <w:spacing w:after="0"/>
              <w:rPr>
                <w:sz w:val="10"/>
                <w:szCs w:val="10"/>
                <w:color w:val="auto"/>
              </w:rPr>
            </w:pPr>
          </w:p>
        </w:tc>
        <w:tc>
          <w:tcPr>
            <w:tcW w:w="40" w:type="dxa"/>
            <w:vAlign w:val="bottom"/>
            <w:shd w:val="clear" w:color="auto" w:fill="003595"/>
          </w:tcPr>
          <w:p>
            <w:pPr>
              <w:spacing w:after="0"/>
              <w:rPr>
                <w:sz w:val="10"/>
                <w:szCs w:val="10"/>
                <w:color w:val="auto"/>
              </w:rPr>
            </w:pPr>
          </w:p>
        </w:tc>
        <w:tc>
          <w:tcPr>
            <w:tcW w:w="340" w:type="dxa"/>
            <w:vAlign w:val="bottom"/>
            <w:shd w:val="clear" w:color="auto" w:fill="003595"/>
          </w:tcPr>
          <w:p>
            <w:pPr>
              <w:spacing w:after="0"/>
              <w:rPr>
                <w:sz w:val="10"/>
                <w:szCs w:val="10"/>
                <w:color w:val="auto"/>
              </w:rPr>
            </w:pPr>
          </w:p>
        </w:tc>
        <w:tc>
          <w:tcPr>
            <w:tcW w:w="10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Number of</w:t>
            </w:r>
          </w:p>
        </w:tc>
        <w:tc>
          <w:tcPr>
            <w:tcW w:w="11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Number of</w:t>
            </w:r>
          </w:p>
        </w:tc>
        <w:tc>
          <w:tcPr>
            <w:tcW w:w="920" w:type="dxa"/>
            <w:vAlign w:val="bottom"/>
            <w:shd w:val="clear" w:color="auto" w:fill="003595"/>
          </w:tcPr>
          <w:p>
            <w:pPr>
              <w:spacing w:after="0"/>
              <w:rPr>
                <w:sz w:val="10"/>
                <w:szCs w:val="10"/>
                <w:color w:val="auto"/>
              </w:rPr>
            </w:pPr>
          </w:p>
        </w:tc>
        <w:tc>
          <w:tcPr>
            <w:tcW w:w="960" w:type="dxa"/>
            <w:vAlign w:val="bottom"/>
            <w:shd w:val="clear" w:color="auto" w:fill="003595"/>
          </w:tcPr>
          <w:p>
            <w:pPr>
              <w:spacing w:after="0"/>
              <w:rPr>
                <w:sz w:val="10"/>
                <w:szCs w:val="10"/>
                <w:color w:val="auto"/>
              </w:rPr>
            </w:pPr>
          </w:p>
        </w:tc>
        <w:tc>
          <w:tcPr>
            <w:tcW w:w="88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Number of</w:t>
            </w:r>
          </w:p>
        </w:tc>
        <w:tc>
          <w:tcPr>
            <w:tcW w:w="840" w:type="dxa"/>
            <w:vAlign w:val="bottom"/>
            <w:shd w:val="clear" w:color="auto" w:fill="003595"/>
          </w:tcPr>
          <w:p>
            <w:pPr>
              <w:jc w:val="center"/>
              <w:ind w:left="63"/>
              <w:spacing w:after="0" w:line="122" w:lineRule="exact"/>
              <w:rPr>
                <w:sz w:val="20"/>
                <w:szCs w:val="20"/>
                <w:color w:val="auto"/>
              </w:rPr>
            </w:pPr>
            <w:r>
              <w:rPr>
                <w:rFonts w:ascii="Arial" w:cs="Arial" w:eastAsia="Arial" w:hAnsi="Arial"/>
                <w:sz w:val="11"/>
                <w:szCs w:val="11"/>
                <w:b w:val="1"/>
                <w:bCs w:val="1"/>
                <w:color w:val="FFFFFF"/>
              </w:rPr>
              <w:t>Market</w:t>
            </w:r>
          </w:p>
        </w:tc>
        <w:tc>
          <w:tcPr>
            <w:tcW w:w="1380" w:type="dxa"/>
            <w:vAlign w:val="bottom"/>
            <w:shd w:val="clear" w:color="auto" w:fill="003595"/>
          </w:tcPr>
          <w:p>
            <w:pPr>
              <w:jc w:val="center"/>
              <w:ind w:left="43"/>
              <w:spacing w:after="0" w:line="122" w:lineRule="exact"/>
              <w:rPr>
                <w:sz w:val="20"/>
                <w:szCs w:val="20"/>
                <w:color w:val="auto"/>
              </w:rPr>
            </w:pPr>
            <w:r>
              <w:rPr>
                <w:rFonts w:ascii="Arial" w:cs="Arial" w:eastAsia="Arial" w:hAnsi="Arial"/>
                <w:sz w:val="11"/>
                <w:szCs w:val="11"/>
                <w:b w:val="1"/>
                <w:bCs w:val="1"/>
                <w:color w:val="FFFFFF"/>
              </w:rPr>
              <w:t>Incentive</w:t>
            </w:r>
          </w:p>
        </w:tc>
        <w:tc>
          <w:tcPr>
            <w:tcW w:w="1240" w:type="dxa"/>
            <w:vAlign w:val="bottom"/>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7"/>
              </w:rPr>
              <w:t>Plan Awards:</w:t>
            </w:r>
          </w:p>
        </w:tc>
        <w:tc>
          <w:tcPr>
            <w:tcW w:w="0" w:type="dxa"/>
            <w:vAlign w:val="bottom"/>
          </w:tcPr>
          <w:p>
            <w:pPr>
              <w:spacing w:after="0"/>
              <w:rPr>
                <w:sz w:val="1"/>
                <w:szCs w:val="1"/>
                <w:color w:val="auto"/>
              </w:rPr>
            </w:pPr>
          </w:p>
        </w:tc>
      </w:tr>
      <w:tr>
        <w:trPr>
          <w:trHeight w:val="81"/>
        </w:trPr>
        <w:tc>
          <w:tcPr>
            <w:tcW w:w="1800" w:type="dxa"/>
            <w:vAlign w:val="bottom"/>
            <w:shd w:val="clear" w:color="auto" w:fill="003595"/>
          </w:tcPr>
          <w:p>
            <w:pPr>
              <w:spacing w:after="0"/>
              <w:rPr>
                <w:sz w:val="7"/>
                <w:szCs w:val="7"/>
                <w:color w:val="auto"/>
              </w:rPr>
            </w:pPr>
          </w:p>
        </w:tc>
        <w:tc>
          <w:tcPr>
            <w:tcW w:w="340" w:type="dxa"/>
            <w:vAlign w:val="bottom"/>
            <w:shd w:val="clear" w:color="auto" w:fill="003595"/>
          </w:tcPr>
          <w:p>
            <w:pPr>
              <w:spacing w:after="0"/>
              <w:rPr>
                <w:sz w:val="7"/>
                <w:szCs w:val="7"/>
                <w:color w:val="auto"/>
              </w:rPr>
            </w:pPr>
          </w:p>
        </w:tc>
        <w:tc>
          <w:tcPr>
            <w:tcW w:w="40" w:type="dxa"/>
            <w:vAlign w:val="bottom"/>
            <w:shd w:val="clear" w:color="auto" w:fill="003595"/>
          </w:tcPr>
          <w:p>
            <w:pPr>
              <w:spacing w:after="0"/>
              <w:rPr>
                <w:sz w:val="7"/>
                <w:szCs w:val="7"/>
                <w:color w:val="auto"/>
              </w:rPr>
            </w:pPr>
          </w:p>
        </w:tc>
        <w:tc>
          <w:tcPr>
            <w:tcW w:w="280" w:type="dxa"/>
            <w:vAlign w:val="bottom"/>
            <w:shd w:val="clear" w:color="auto" w:fill="003595"/>
          </w:tcPr>
          <w:p>
            <w:pPr>
              <w:spacing w:after="0"/>
              <w:rPr>
                <w:sz w:val="7"/>
                <w:szCs w:val="7"/>
                <w:color w:val="auto"/>
              </w:rPr>
            </w:pPr>
          </w:p>
        </w:tc>
        <w:tc>
          <w:tcPr>
            <w:tcW w:w="40" w:type="dxa"/>
            <w:vAlign w:val="bottom"/>
            <w:shd w:val="clear" w:color="auto" w:fill="003595"/>
          </w:tcPr>
          <w:p>
            <w:pPr>
              <w:spacing w:after="0"/>
              <w:rPr>
                <w:sz w:val="7"/>
                <w:szCs w:val="7"/>
                <w:color w:val="auto"/>
              </w:rPr>
            </w:pPr>
          </w:p>
        </w:tc>
        <w:tc>
          <w:tcPr>
            <w:tcW w:w="340" w:type="dxa"/>
            <w:vAlign w:val="bottom"/>
            <w:shd w:val="clear" w:color="auto" w:fill="003595"/>
          </w:tcPr>
          <w:p>
            <w:pPr>
              <w:spacing w:after="0"/>
              <w:rPr>
                <w:sz w:val="7"/>
                <w:szCs w:val="7"/>
                <w:color w:val="auto"/>
              </w:rPr>
            </w:pPr>
          </w:p>
        </w:tc>
        <w:tc>
          <w:tcPr>
            <w:tcW w:w="1040" w:type="dxa"/>
            <w:vAlign w:val="bottom"/>
            <w:vMerge w:val="continue"/>
            <w:shd w:val="clear" w:color="auto" w:fill="003595"/>
          </w:tcPr>
          <w:p>
            <w:pPr>
              <w:spacing w:after="0"/>
              <w:rPr>
                <w:sz w:val="7"/>
                <w:szCs w:val="7"/>
                <w:color w:val="auto"/>
              </w:rPr>
            </w:pPr>
          </w:p>
        </w:tc>
        <w:tc>
          <w:tcPr>
            <w:tcW w:w="1140" w:type="dxa"/>
            <w:vAlign w:val="bottom"/>
            <w:vMerge w:val="continue"/>
            <w:shd w:val="clear" w:color="auto" w:fill="003595"/>
          </w:tcPr>
          <w:p>
            <w:pPr>
              <w:spacing w:after="0"/>
              <w:rPr>
                <w:sz w:val="7"/>
                <w:szCs w:val="7"/>
                <w:color w:val="auto"/>
              </w:rPr>
            </w:pPr>
          </w:p>
        </w:tc>
        <w:tc>
          <w:tcPr>
            <w:tcW w:w="920" w:type="dxa"/>
            <w:vAlign w:val="bottom"/>
            <w:shd w:val="clear" w:color="auto" w:fill="003595"/>
          </w:tcPr>
          <w:p>
            <w:pPr>
              <w:spacing w:after="0"/>
              <w:rPr>
                <w:sz w:val="7"/>
                <w:szCs w:val="7"/>
                <w:color w:val="auto"/>
              </w:rPr>
            </w:pPr>
          </w:p>
        </w:tc>
        <w:tc>
          <w:tcPr>
            <w:tcW w:w="960" w:type="dxa"/>
            <w:vAlign w:val="bottom"/>
            <w:shd w:val="clear" w:color="auto" w:fill="003595"/>
          </w:tcPr>
          <w:p>
            <w:pPr>
              <w:spacing w:after="0"/>
              <w:rPr>
                <w:sz w:val="7"/>
                <w:szCs w:val="7"/>
                <w:color w:val="auto"/>
              </w:rPr>
            </w:pPr>
          </w:p>
        </w:tc>
        <w:tc>
          <w:tcPr>
            <w:tcW w:w="880" w:type="dxa"/>
            <w:vAlign w:val="bottom"/>
            <w:vMerge w:val="continue"/>
            <w:shd w:val="clear" w:color="auto" w:fill="003595"/>
          </w:tcPr>
          <w:p>
            <w:pPr>
              <w:spacing w:after="0"/>
              <w:rPr>
                <w:sz w:val="7"/>
                <w:szCs w:val="7"/>
                <w:color w:val="auto"/>
              </w:rPr>
            </w:pPr>
          </w:p>
        </w:tc>
        <w:tc>
          <w:tcPr>
            <w:tcW w:w="840" w:type="dxa"/>
            <w:vAlign w:val="bottom"/>
            <w:vMerge w:val="restart"/>
            <w:shd w:val="clear" w:color="auto" w:fill="003595"/>
          </w:tcPr>
          <w:p>
            <w:pPr>
              <w:jc w:val="center"/>
              <w:ind w:left="83"/>
              <w:spacing w:after="0"/>
              <w:rPr>
                <w:sz w:val="20"/>
                <w:szCs w:val="20"/>
                <w:color w:val="auto"/>
              </w:rPr>
            </w:pPr>
            <w:r>
              <w:rPr>
                <w:rFonts w:ascii="Arial" w:cs="Arial" w:eastAsia="Arial" w:hAnsi="Arial"/>
                <w:sz w:val="11"/>
                <w:szCs w:val="11"/>
                <w:b w:val="1"/>
                <w:bCs w:val="1"/>
                <w:color w:val="FFFFFF"/>
                <w:w w:val="98"/>
              </w:rPr>
              <w:t>Value of</w:t>
            </w:r>
          </w:p>
        </w:tc>
        <w:tc>
          <w:tcPr>
            <w:tcW w:w="1380" w:type="dxa"/>
            <w:vAlign w:val="bottom"/>
            <w:vMerge w:val="restart"/>
            <w:shd w:val="clear" w:color="auto" w:fill="003595"/>
          </w:tcPr>
          <w:p>
            <w:pPr>
              <w:jc w:val="center"/>
              <w:ind w:left="43"/>
              <w:spacing w:after="0"/>
              <w:rPr>
                <w:sz w:val="20"/>
                <w:szCs w:val="20"/>
                <w:color w:val="auto"/>
              </w:rPr>
            </w:pPr>
            <w:r>
              <w:rPr>
                <w:rFonts w:ascii="Arial" w:cs="Arial" w:eastAsia="Arial" w:hAnsi="Arial"/>
                <w:sz w:val="11"/>
                <w:szCs w:val="11"/>
                <w:b w:val="1"/>
                <w:bCs w:val="1"/>
                <w:color w:val="FFFFFF"/>
                <w:w w:val="97"/>
              </w:rPr>
              <w:t>Plan Awards:</w:t>
            </w:r>
          </w:p>
        </w:tc>
        <w:tc>
          <w:tcPr>
            <w:tcW w:w="12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6"/>
              </w:rPr>
              <w:t>Market or</w:t>
            </w:r>
          </w:p>
        </w:tc>
        <w:tc>
          <w:tcPr>
            <w:tcW w:w="0" w:type="dxa"/>
            <w:vAlign w:val="bottom"/>
          </w:tcPr>
          <w:p>
            <w:pPr>
              <w:spacing w:after="0"/>
              <w:rPr>
                <w:sz w:val="1"/>
                <w:szCs w:val="1"/>
                <w:color w:val="auto"/>
              </w:rPr>
            </w:pPr>
          </w:p>
        </w:tc>
      </w:tr>
      <w:tr>
        <w:trPr>
          <w:trHeight w:val="54"/>
        </w:trPr>
        <w:tc>
          <w:tcPr>
            <w:tcW w:w="180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28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104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4"/>
              </w:rPr>
              <w:t>Securities</w:t>
            </w:r>
          </w:p>
        </w:tc>
        <w:tc>
          <w:tcPr>
            <w:tcW w:w="1140" w:type="dxa"/>
            <w:vAlign w:val="bottom"/>
            <w:vMerge w:val="restart"/>
            <w:shd w:val="clear" w:color="auto" w:fill="003595"/>
          </w:tcPr>
          <w:p>
            <w:pPr>
              <w:jc w:val="center"/>
              <w:ind w:right="6"/>
              <w:spacing w:after="0" w:line="122" w:lineRule="exact"/>
              <w:rPr>
                <w:sz w:val="20"/>
                <w:szCs w:val="20"/>
                <w:color w:val="auto"/>
              </w:rPr>
            </w:pPr>
            <w:r>
              <w:rPr>
                <w:rFonts w:ascii="Arial" w:cs="Arial" w:eastAsia="Arial" w:hAnsi="Arial"/>
                <w:sz w:val="11"/>
                <w:szCs w:val="11"/>
                <w:b w:val="1"/>
                <w:bCs w:val="1"/>
                <w:color w:val="FFFFFF"/>
                <w:w w:val="98"/>
              </w:rPr>
              <w:t>Securities</w:t>
            </w:r>
          </w:p>
        </w:tc>
        <w:tc>
          <w:tcPr>
            <w:tcW w:w="920" w:type="dxa"/>
            <w:vAlign w:val="bottom"/>
            <w:vMerge w:val="restart"/>
            <w:shd w:val="clear" w:color="auto" w:fill="003595"/>
          </w:tcPr>
          <w:p>
            <w:pPr>
              <w:jc w:val="center"/>
              <w:spacing w:after="0"/>
              <w:rPr>
                <w:sz w:val="20"/>
                <w:szCs w:val="20"/>
                <w:color w:val="auto"/>
              </w:rPr>
            </w:pPr>
            <w:r>
              <w:rPr>
                <w:rFonts w:ascii="Arial" w:cs="Arial" w:eastAsia="Arial" w:hAnsi="Arial"/>
                <w:sz w:val="12"/>
                <w:szCs w:val="12"/>
                <w:b w:val="1"/>
                <w:bCs w:val="1"/>
                <w:color w:val="FFFFFF"/>
                <w:w w:val="98"/>
              </w:rPr>
              <w:t>Option</w:t>
            </w:r>
          </w:p>
        </w:tc>
        <w:tc>
          <w:tcPr>
            <w:tcW w:w="960" w:type="dxa"/>
            <w:vAlign w:val="bottom"/>
            <w:shd w:val="clear" w:color="auto" w:fill="003595"/>
          </w:tcPr>
          <w:p>
            <w:pPr>
              <w:spacing w:after="0"/>
              <w:rPr>
                <w:sz w:val="4"/>
                <w:szCs w:val="4"/>
                <w:color w:val="auto"/>
              </w:rPr>
            </w:pPr>
          </w:p>
        </w:tc>
        <w:tc>
          <w:tcPr>
            <w:tcW w:w="88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7"/>
              </w:rPr>
              <w:t>Shares</w:t>
            </w:r>
          </w:p>
        </w:tc>
        <w:tc>
          <w:tcPr>
            <w:tcW w:w="840" w:type="dxa"/>
            <w:vAlign w:val="bottom"/>
            <w:vMerge w:val="continue"/>
            <w:shd w:val="clear" w:color="auto" w:fill="003595"/>
          </w:tcPr>
          <w:p>
            <w:pPr>
              <w:spacing w:after="0"/>
              <w:rPr>
                <w:sz w:val="4"/>
                <w:szCs w:val="4"/>
                <w:color w:val="auto"/>
              </w:rPr>
            </w:pPr>
          </w:p>
        </w:tc>
        <w:tc>
          <w:tcPr>
            <w:tcW w:w="1380" w:type="dxa"/>
            <w:vAlign w:val="bottom"/>
            <w:vMerge w:val="continue"/>
            <w:shd w:val="clear" w:color="auto" w:fill="003595"/>
          </w:tcPr>
          <w:p>
            <w:pPr>
              <w:spacing w:after="0"/>
              <w:rPr>
                <w:sz w:val="4"/>
                <w:szCs w:val="4"/>
                <w:color w:val="auto"/>
              </w:rPr>
            </w:pPr>
          </w:p>
        </w:tc>
        <w:tc>
          <w:tcPr>
            <w:tcW w:w="1240" w:type="dxa"/>
            <w:vAlign w:val="bottom"/>
            <w:vMerge w:val="continue"/>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800" w:type="dxa"/>
            <w:vAlign w:val="bottom"/>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40" w:type="dxa"/>
            <w:vAlign w:val="bottom"/>
            <w:shd w:val="clear" w:color="auto" w:fill="003595"/>
          </w:tcPr>
          <w:p>
            <w:pPr>
              <w:spacing w:after="0"/>
              <w:rPr>
                <w:sz w:val="5"/>
                <w:szCs w:val="5"/>
                <w:color w:val="auto"/>
              </w:rPr>
            </w:pPr>
          </w:p>
        </w:tc>
        <w:tc>
          <w:tcPr>
            <w:tcW w:w="280" w:type="dxa"/>
            <w:vAlign w:val="bottom"/>
            <w:shd w:val="clear" w:color="auto" w:fill="003595"/>
          </w:tcPr>
          <w:p>
            <w:pPr>
              <w:spacing w:after="0"/>
              <w:rPr>
                <w:sz w:val="5"/>
                <w:szCs w:val="5"/>
                <w:color w:val="auto"/>
              </w:rPr>
            </w:pPr>
          </w:p>
        </w:tc>
        <w:tc>
          <w:tcPr>
            <w:tcW w:w="40" w:type="dxa"/>
            <w:vAlign w:val="bottom"/>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1040" w:type="dxa"/>
            <w:vAlign w:val="bottom"/>
            <w:vMerge w:val="continue"/>
            <w:shd w:val="clear" w:color="auto" w:fill="003595"/>
          </w:tcPr>
          <w:p>
            <w:pPr>
              <w:spacing w:after="0"/>
              <w:rPr>
                <w:sz w:val="5"/>
                <w:szCs w:val="5"/>
                <w:color w:val="auto"/>
              </w:rPr>
            </w:pPr>
          </w:p>
        </w:tc>
        <w:tc>
          <w:tcPr>
            <w:tcW w:w="1140" w:type="dxa"/>
            <w:vAlign w:val="bottom"/>
            <w:vMerge w:val="continue"/>
            <w:shd w:val="clear" w:color="auto" w:fill="003595"/>
          </w:tcPr>
          <w:p>
            <w:pPr>
              <w:spacing w:after="0"/>
              <w:rPr>
                <w:sz w:val="5"/>
                <w:szCs w:val="5"/>
                <w:color w:val="auto"/>
              </w:rPr>
            </w:pPr>
          </w:p>
        </w:tc>
        <w:tc>
          <w:tcPr>
            <w:tcW w:w="920" w:type="dxa"/>
            <w:vAlign w:val="bottom"/>
            <w:vMerge w:val="continue"/>
            <w:shd w:val="clear" w:color="auto" w:fill="003595"/>
          </w:tcPr>
          <w:p>
            <w:pPr>
              <w:spacing w:after="0"/>
              <w:rPr>
                <w:sz w:val="5"/>
                <w:szCs w:val="5"/>
                <w:color w:val="auto"/>
              </w:rPr>
            </w:pPr>
          </w:p>
        </w:tc>
        <w:tc>
          <w:tcPr>
            <w:tcW w:w="960" w:type="dxa"/>
            <w:vAlign w:val="bottom"/>
            <w:shd w:val="clear" w:color="auto" w:fill="003595"/>
          </w:tcPr>
          <w:p>
            <w:pPr>
              <w:spacing w:after="0"/>
              <w:rPr>
                <w:sz w:val="5"/>
                <w:szCs w:val="5"/>
                <w:color w:val="auto"/>
              </w:rPr>
            </w:pPr>
          </w:p>
        </w:tc>
        <w:tc>
          <w:tcPr>
            <w:tcW w:w="880" w:type="dxa"/>
            <w:vAlign w:val="bottom"/>
            <w:vMerge w:val="continue"/>
            <w:shd w:val="clear" w:color="auto" w:fill="003595"/>
          </w:tcPr>
          <w:p>
            <w:pPr>
              <w:spacing w:after="0"/>
              <w:rPr>
                <w:sz w:val="5"/>
                <w:szCs w:val="5"/>
                <w:color w:val="auto"/>
              </w:rPr>
            </w:pPr>
          </w:p>
        </w:tc>
        <w:tc>
          <w:tcPr>
            <w:tcW w:w="840" w:type="dxa"/>
            <w:vAlign w:val="bottom"/>
            <w:vMerge w:val="restart"/>
            <w:shd w:val="clear" w:color="auto" w:fill="003595"/>
          </w:tcPr>
          <w:p>
            <w:pPr>
              <w:jc w:val="center"/>
              <w:ind w:left="63"/>
              <w:spacing w:after="0" w:line="122" w:lineRule="exact"/>
              <w:rPr>
                <w:sz w:val="20"/>
                <w:szCs w:val="20"/>
                <w:color w:val="auto"/>
              </w:rPr>
            </w:pPr>
            <w:r>
              <w:rPr>
                <w:rFonts w:ascii="Arial" w:cs="Arial" w:eastAsia="Arial" w:hAnsi="Arial"/>
                <w:sz w:val="11"/>
                <w:szCs w:val="11"/>
                <w:b w:val="1"/>
                <w:bCs w:val="1"/>
                <w:color w:val="FFFFFF"/>
                <w:w w:val="97"/>
              </w:rPr>
              <w:t>Shares</w:t>
            </w:r>
          </w:p>
        </w:tc>
        <w:tc>
          <w:tcPr>
            <w:tcW w:w="1380" w:type="dxa"/>
            <w:vAlign w:val="bottom"/>
            <w:vMerge w:val="restart"/>
            <w:shd w:val="clear" w:color="auto" w:fill="003595"/>
          </w:tcPr>
          <w:p>
            <w:pPr>
              <w:jc w:val="center"/>
              <w:ind w:left="63"/>
              <w:spacing w:after="0" w:line="122" w:lineRule="exact"/>
              <w:rPr>
                <w:sz w:val="20"/>
                <w:szCs w:val="20"/>
                <w:color w:val="auto"/>
              </w:rPr>
            </w:pPr>
            <w:r>
              <w:rPr>
                <w:rFonts w:ascii="Arial" w:cs="Arial" w:eastAsia="Arial" w:hAnsi="Arial"/>
                <w:sz w:val="11"/>
                <w:szCs w:val="11"/>
                <w:b w:val="1"/>
                <w:bCs w:val="1"/>
                <w:color w:val="FFFFFF"/>
                <w:w w:val="98"/>
              </w:rPr>
              <w:t>Number of</w:t>
            </w:r>
          </w:p>
        </w:tc>
        <w:tc>
          <w:tcPr>
            <w:tcW w:w="124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8"/>
              </w:rPr>
              <w:t>Payout</w:t>
            </w:r>
          </w:p>
        </w:tc>
        <w:tc>
          <w:tcPr>
            <w:tcW w:w="0" w:type="dxa"/>
            <w:vAlign w:val="bottom"/>
          </w:tcPr>
          <w:p>
            <w:pPr>
              <w:spacing w:after="0"/>
              <w:rPr>
                <w:sz w:val="1"/>
                <w:szCs w:val="1"/>
                <w:color w:val="auto"/>
              </w:rPr>
            </w:pPr>
          </w:p>
        </w:tc>
      </w:tr>
      <w:tr>
        <w:trPr>
          <w:trHeight w:val="54"/>
        </w:trPr>
        <w:tc>
          <w:tcPr>
            <w:tcW w:w="180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28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10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rPr>
              <w:t>Underlying</w:t>
            </w:r>
          </w:p>
        </w:tc>
        <w:tc>
          <w:tcPr>
            <w:tcW w:w="1140" w:type="dxa"/>
            <w:vAlign w:val="bottom"/>
            <w:vMerge w:val="restart"/>
            <w:shd w:val="clear" w:color="auto" w:fill="003595"/>
          </w:tcPr>
          <w:p>
            <w:pPr>
              <w:jc w:val="center"/>
              <w:ind w:right="6"/>
              <w:spacing w:after="0"/>
              <w:rPr>
                <w:sz w:val="20"/>
                <w:szCs w:val="20"/>
                <w:color w:val="auto"/>
              </w:rPr>
            </w:pPr>
            <w:r>
              <w:rPr>
                <w:rFonts w:ascii="Arial" w:cs="Arial" w:eastAsia="Arial" w:hAnsi="Arial"/>
                <w:sz w:val="11"/>
                <w:szCs w:val="11"/>
                <w:b w:val="1"/>
                <w:bCs w:val="1"/>
                <w:color w:val="FFFFFF"/>
                <w:w w:val="97"/>
              </w:rPr>
              <w:t>Underlying</w:t>
            </w:r>
          </w:p>
        </w:tc>
        <w:tc>
          <w:tcPr>
            <w:tcW w:w="920" w:type="dxa"/>
            <w:vAlign w:val="bottom"/>
            <w:vMerge w:val="continue"/>
            <w:shd w:val="clear" w:color="auto" w:fill="003595"/>
          </w:tcPr>
          <w:p>
            <w:pPr>
              <w:spacing w:after="0"/>
              <w:rPr>
                <w:sz w:val="4"/>
                <w:szCs w:val="4"/>
                <w:color w:val="auto"/>
              </w:rPr>
            </w:pPr>
          </w:p>
        </w:tc>
        <w:tc>
          <w:tcPr>
            <w:tcW w:w="960" w:type="dxa"/>
            <w:vAlign w:val="bottom"/>
            <w:vMerge w:val="restart"/>
            <w:shd w:val="clear" w:color="auto" w:fill="003595"/>
          </w:tcPr>
          <w:p>
            <w:pPr>
              <w:jc w:val="center"/>
              <w:ind w:left="46"/>
              <w:spacing w:after="0"/>
              <w:rPr>
                <w:sz w:val="20"/>
                <w:szCs w:val="20"/>
                <w:color w:val="auto"/>
              </w:rPr>
            </w:pPr>
            <w:r>
              <w:rPr>
                <w:rFonts w:ascii="Arial" w:cs="Arial" w:eastAsia="Arial" w:hAnsi="Arial"/>
                <w:sz w:val="11"/>
                <w:szCs w:val="11"/>
                <w:b w:val="1"/>
                <w:bCs w:val="1"/>
                <w:color w:val="FFFFFF"/>
                <w:w w:val="95"/>
              </w:rPr>
              <w:t>Option</w:t>
            </w:r>
          </w:p>
        </w:tc>
        <w:tc>
          <w:tcPr>
            <w:tcW w:w="88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or Units of</w:t>
            </w:r>
          </w:p>
        </w:tc>
        <w:tc>
          <w:tcPr>
            <w:tcW w:w="840" w:type="dxa"/>
            <w:vAlign w:val="bottom"/>
            <w:vMerge w:val="continue"/>
            <w:shd w:val="clear" w:color="auto" w:fill="003595"/>
          </w:tcPr>
          <w:p>
            <w:pPr>
              <w:spacing w:after="0"/>
              <w:rPr>
                <w:sz w:val="4"/>
                <w:szCs w:val="4"/>
                <w:color w:val="auto"/>
              </w:rPr>
            </w:pPr>
          </w:p>
        </w:tc>
        <w:tc>
          <w:tcPr>
            <w:tcW w:w="1380" w:type="dxa"/>
            <w:vAlign w:val="bottom"/>
            <w:vMerge w:val="continue"/>
            <w:shd w:val="clear" w:color="auto" w:fill="003595"/>
          </w:tcPr>
          <w:p>
            <w:pPr>
              <w:spacing w:after="0"/>
              <w:rPr>
                <w:sz w:val="4"/>
                <w:szCs w:val="4"/>
                <w:color w:val="auto"/>
              </w:rPr>
            </w:pPr>
          </w:p>
        </w:tc>
        <w:tc>
          <w:tcPr>
            <w:tcW w:w="1240" w:type="dxa"/>
            <w:vAlign w:val="bottom"/>
            <w:vMerge w:val="continue"/>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shd w:val="clear" w:color="auto" w:fill="003595"/>
          </w:tcPr>
          <w:p>
            <w:pPr>
              <w:ind w:left="20"/>
              <w:spacing w:after="0"/>
              <w:rPr>
                <w:sz w:val="20"/>
                <w:szCs w:val="20"/>
                <w:color w:val="auto"/>
              </w:rPr>
            </w:pPr>
            <w:r>
              <w:rPr>
                <w:rFonts w:ascii="Arial" w:cs="Arial" w:eastAsia="Arial" w:hAnsi="Arial"/>
                <w:sz w:val="12"/>
                <w:szCs w:val="12"/>
                <w:b w:val="1"/>
                <w:bCs w:val="1"/>
                <w:color w:val="FFFFFF"/>
              </w:rPr>
              <w:t>Name</w:t>
            </w:r>
          </w:p>
        </w:tc>
        <w:tc>
          <w:tcPr>
            <w:tcW w:w="340" w:type="dxa"/>
            <w:vAlign w:val="bottom"/>
            <w:shd w:val="clear" w:color="auto" w:fill="003595"/>
          </w:tcPr>
          <w:p>
            <w:pPr>
              <w:spacing w:after="0"/>
              <w:rPr>
                <w:sz w:val="7"/>
                <w:szCs w:val="7"/>
                <w:color w:val="auto"/>
              </w:rPr>
            </w:pPr>
          </w:p>
        </w:tc>
        <w:tc>
          <w:tcPr>
            <w:tcW w:w="360" w:type="dxa"/>
            <w:vAlign w:val="bottom"/>
            <w:gridSpan w:val="3"/>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6"/>
                <w:shd w:val="clear" w:color="auto" w:fill="003595"/>
              </w:rPr>
              <w:t>Date of</w:t>
            </w:r>
          </w:p>
        </w:tc>
        <w:tc>
          <w:tcPr>
            <w:tcW w:w="340" w:type="dxa"/>
            <w:vAlign w:val="bottom"/>
            <w:shd w:val="clear" w:color="auto" w:fill="003595"/>
          </w:tcPr>
          <w:p>
            <w:pPr>
              <w:spacing w:after="0"/>
              <w:rPr>
                <w:sz w:val="7"/>
                <w:szCs w:val="7"/>
                <w:color w:val="auto"/>
              </w:rPr>
            </w:pPr>
          </w:p>
        </w:tc>
        <w:tc>
          <w:tcPr>
            <w:tcW w:w="1040" w:type="dxa"/>
            <w:vAlign w:val="bottom"/>
            <w:vMerge w:val="continue"/>
            <w:shd w:val="clear" w:color="auto" w:fill="003595"/>
          </w:tcPr>
          <w:p>
            <w:pPr>
              <w:spacing w:after="0"/>
              <w:rPr>
                <w:sz w:val="7"/>
                <w:szCs w:val="7"/>
                <w:color w:val="auto"/>
              </w:rPr>
            </w:pPr>
          </w:p>
        </w:tc>
        <w:tc>
          <w:tcPr>
            <w:tcW w:w="1140" w:type="dxa"/>
            <w:vAlign w:val="bottom"/>
            <w:vMerge w:val="continue"/>
            <w:shd w:val="clear" w:color="auto" w:fill="003595"/>
          </w:tcPr>
          <w:p>
            <w:pPr>
              <w:spacing w:after="0"/>
              <w:rPr>
                <w:sz w:val="7"/>
                <w:szCs w:val="7"/>
                <w:color w:val="auto"/>
              </w:rPr>
            </w:pPr>
          </w:p>
        </w:tc>
        <w:tc>
          <w:tcPr>
            <w:tcW w:w="92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rPr>
              <w:t>Exercise</w:t>
            </w:r>
          </w:p>
        </w:tc>
        <w:tc>
          <w:tcPr>
            <w:tcW w:w="960" w:type="dxa"/>
            <w:vAlign w:val="bottom"/>
            <w:vMerge w:val="continue"/>
            <w:shd w:val="clear" w:color="auto" w:fill="003595"/>
          </w:tcPr>
          <w:p>
            <w:pPr>
              <w:spacing w:after="0"/>
              <w:rPr>
                <w:sz w:val="7"/>
                <w:szCs w:val="7"/>
                <w:color w:val="auto"/>
              </w:rPr>
            </w:pPr>
          </w:p>
        </w:tc>
        <w:tc>
          <w:tcPr>
            <w:tcW w:w="880" w:type="dxa"/>
            <w:vAlign w:val="bottom"/>
            <w:vMerge w:val="continue"/>
            <w:shd w:val="clear" w:color="auto" w:fill="003595"/>
          </w:tcPr>
          <w:p>
            <w:pPr>
              <w:spacing w:after="0"/>
              <w:rPr>
                <w:sz w:val="7"/>
                <w:szCs w:val="7"/>
                <w:color w:val="auto"/>
              </w:rPr>
            </w:pPr>
          </w:p>
        </w:tc>
        <w:tc>
          <w:tcPr>
            <w:tcW w:w="840" w:type="dxa"/>
            <w:vAlign w:val="bottom"/>
            <w:vMerge w:val="restart"/>
            <w:shd w:val="clear" w:color="auto" w:fill="003595"/>
          </w:tcPr>
          <w:p>
            <w:pPr>
              <w:jc w:val="center"/>
              <w:ind w:left="83"/>
              <w:spacing w:after="0"/>
              <w:rPr>
                <w:sz w:val="20"/>
                <w:szCs w:val="20"/>
                <w:color w:val="auto"/>
              </w:rPr>
            </w:pPr>
            <w:r>
              <w:rPr>
                <w:rFonts w:ascii="Arial" w:cs="Arial" w:eastAsia="Arial" w:hAnsi="Arial"/>
                <w:sz w:val="11"/>
                <w:szCs w:val="11"/>
                <w:b w:val="1"/>
                <w:bCs w:val="1"/>
                <w:color w:val="FFFFFF"/>
                <w:w w:val="98"/>
              </w:rPr>
              <w:t>or Units of</w:t>
            </w:r>
          </w:p>
        </w:tc>
        <w:tc>
          <w:tcPr>
            <w:tcW w:w="1380" w:type="dxa"/>
            <w:vAlign w:val="bottom"/>
            <w:vMerge w:val="restart"/>
            <w:shd w:val="clear" w:color="auto" w:fill="003595"/>
          </w:tcPr>
          <w:p>
            <w:pPr>
              <w:jc w:val="center"/>
              <w:ind w:left="63"/>
              <w:spacing w:after="0"/>
              <w:rPr>
                <w:sz w:val="20"/>
                <w:szCs w:val="20"/>
                <w:color w:val="auto"/>
              </w:rPr>
            </w:pPr>
            <w:r>
              <w:rPr>
                <w:rFonts w:ascii="Arial" w:cs="Arial" w:eastAsia="Arial" w:hAnsi="Arial"/>
                <w:sz w:val="11"/>
                <w:szCs w:val="11"/>
                <w:b w:val="1"/>
                <w:bCs w:val="1"/>
                <w:color w:val="FFFFFF"/>
                <w:w w:val="98"/>
              </w:rPr>
              <w:t>Unearned</w:t>
            </w:r>
          </w:p>
        </w:tc>
        <w:tc>
          <w:tcPr>
            <w:tcW w:w="12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3"/>
              </w:rPr>
              <w:t>Value of</w:t>
            </w:r>
          </w:p>
        </w:tc>
        <w:tc>
          <w:tcPr>
            <w:tcW w:w="0" w:type="dxa"/>
            <w:vAlign w:val="bottom"/>
          </w:tcPr>
          <w:p>
            <w:pPr>
              <w:spacing w:after="0"/>
              <w:rPr>
                <w:sz w:val="1"/>
                <w:szCs w:val="1"/>
                <w:color w:val="auto"/>
              </w:rPr>
            </w:pPr>
          </w:p>
        </w:tc>
      </w:tr>
      <w:tr>
        <w:trPr>
          <w:trHeight w:val="54"/>
        </w:trPr>
        <w:tc>
          <w:tcPr>
            <w:tcW w:w="1800" w:type="dxa"/>
            <w:vAlign w:val="bottom"/>
            <w:vMerge w:val="continue"/>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360" w:type="dxa"/>
            <w:vAlign w:val="bottom"/>
            <w:gridSpan w:val="3"/>
            <w:vMerge w:val="continue"/>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104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rPr>
              <w:t>Unexercised</w:t>
            </w:r>
          </w:p>
        </w:tc>
        <w:tc>
          <w:tcPr>
            <w:tcW w:w="1140" w:type="dxa"/>
            <w:vAlign w:val="bottom"/>
            <w:vMerge w:val="restart"/>
            <w:shd w:val="clear" w:color="auto" w:fill="003595"/>
          </w:tcPr>
          <w:p>
            <w:pPr>
              <w:jc w:val="center"/>
              <w:ind w:right="6"/>
              <w:spacing w:after="0" w:line="122" w:lineRule="exact"/>
              <w:rPr>
                <w:sz w:val="20"/>
                <w:szCs w:val="20"/>
                <w:color w:val="auto"/>
              </w:rPr>
            </w:pPr>
            <w:r>
              <w:rPr>
                <w:rFonts w:ascii="Arial" w:cs="Arial" w:eastAsia="Arial" w:hAnsi="Arial"/>
                <w:sz w:val="11"/>
                <w:szCs w:val="11"/>
                <w:b w:val="1"/>
                <w:bCs w:val="1"/>
                <w:color w:val="FFFFFF"/>
                <w:w w:val="97"/>
              </w:rPr>
              <w:t>Unexercised</w:t>
            </w:r>
          </w:p>
        </w:tc>
        <w:tc>
          <w:tcPr>
            <w:tcW w:w="920" w:type="dxa"/>
            <w:vAlign w:val="bottom"/>
            <w:vMerge w:val="continue"/>
            <w:shd w:val="clear" w:color="auto" w:fill="003595"/>
          </w:tcPr>
          <w:p>
            <w:pPr>
              <w:spacing w:after="0"/>
              <w:rPr>
                <w:sz w:val="4"/>
                <w:szCs w:val="4"/>
                <w:color w:val="auto"/>
              </w:rPr>
            </w:pPr>
          </w:p>
        </w:tc>
        <w:tc>
          <w:tcPr>
            <w:tcW w:w="960" w:type="dxa"/>
            <w:vAlign w:val="bottom"/>
            <w:vMerge w:val="restart"/>
            <w:shd w:val="clear" w:color="auto" w:fill="003595"/>
          </w:tcPr>
          <w:p>
            <w:pPr>
              <w:jc w:val="center"/>
              <w:ind w:left="46"/>
              <w:spacing w:after="0" w:line="122" w:lineRule="exact"/>
              <w:rPr>
                <w:sz w:val="20"/>
                <w:szCs w:val="20"/>
                <w:color w:val="auto"/>
              </w:rPr>
            </w:pPr>
            <w:r>
              <w:rPr>
                <w:rFonts w:ascii="Arial" w:cs="Arial" w:eastAsia="Arial" w:hAnsi="Arial"/>
                <w:sz w:val="11"/>
                <w:szCs w:val="11"/>
                <w:b w:val="1"/>
                <w:bCs w:val="1"/>
                <w:color w:val="FFFFFF"/>
              </w:rPr>
              <w:t>Expiration</w:t>
            </w:r>
          </w:p>
        </w:tc>
        <w:tc>
          <w:tcPr>
            <w:tcW w:w="88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7"/>
              </w:rPr>
              <w:t>Stock that</w:t>
            </w:r>
          </w:p>
        </w:tc>
        <w:tc>
          <w:tcPr>
            <w:tcW w:w="840" w:type="dxa"/>
            <w:vAlign w:val="bottom"/>
            <w:vMerge w:val="continue"/>
            <w:shd w:val="clear" w:color="auto" w:fill="003595"/>
          </w:tcPr>
          <w:p>
            <w:pPr>
              <w:spacing w:after="0"/>
              <w:rPr>
                <w:sz w:val="4"/>
                <w:szCs w:val="4"/>
                <w:color w:val="auto"/>
              </w:rPr>
            </w:pPr>
          </w:p>
        </w:tc>
        <w:tc>
          <w:tcPr>
            <w:tcW w:w="1380" w:type="dxa"/>
            <w:vAlign w:val="bottom"/>
            <w:vMerge w:val="continue"/>
            <w:shd w:val="clear" w:color="auto" w:fill="003595"/>
          </w:tcPr>
          <w:p>
            <w:pPr>
              <w:spacing w:after="0"/>
              <w:rPr>
                <w:sz w:val="4"/>
                <w:szCs w:val="4"/>
                <w:color w:val="auto"/>
              </w:rPr>
            </w:pPr>
          </w:p>
        </w:tc>
        <w:tc>
          <w:tcPr>
            <w:tcW w:w="1240" w:type="dxa"/>
            <w:vAlign w:val="bottom"/>
            <w:vMerge w:val="continue"/>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800" w:type="dxa"/>
            <w:vAlign w:val="bottom"/>
            <w:vMerge w:val="continue"/>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40" w:type="dxa"/>
            <w:vAlign w:val="bottom"/>
            <w:shd w:val="clear" w:color="auto" w:fill="003595"/>
          </w:tcPr>
          <w:p>
            <w:pPr>
              <w:spacing w:after="0"/>
              <w:rPr>
                <w:sz w:val="5"/>
                <w:szCs w:val="5"/>
                <w:color w:val="auto"/>
              </w:rPr>
            </w:pPr>
          </w:p>
        </w:tc>
        <w:tc>
          <w:tcPr>
            <w:tcW w:w="28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5"/>
                <w:shd w:val="clear" w:color="auto" w:fill="003595"/>
              </w:rPr>
              <w:t>Grant</w:t>
            </w:r>
          </w:p>
        </w:tc>
        <w:tc>
          <w:tcPr>
            <w:tcW w:w="40" w:type="dxa"/>
            <w:vAlign w:val="bottom"/>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1040" w:type="dxa"/>
            <w:vAlign w:val="bottom"/>
            <w:vMerge w:val="continue"/>
            <w:shd w:val="clear" w:color="auto" w:fill="003595"/>
          </w:tcPr>
          <w:p>
            <w:pPr>
              <w:spacing w:after="0"/>
              <w:rPr>
                <w:sz w:val="5"/>
                <w:szCs w:val="5"/>
                <w:color w:val="auto"/>
              </w:rPr>
            </w:pPr>
          </w:p>
        </w:tc>
        <w:tc>
          <w:tcPr>
            <w:tcW w:w="1140" w:type="dxa"/>
            <w:vAlign w:val="bottom"/>
            <w:vMerge w:val="continue"/>
            <w:shd w:val="clear" w:color="auto" w:fill="003595"/>
          </w:tcPr>
          <w:p>
            <w:pPr>
              <w:spacing w:after="0"/>
              <w:rPr>
                <w:sz w:val="5"/>
                <w:szCs w:val="5"/>
                <w:color w:val="auto"/>
              </w:rPr>
            </w:pPr>
          </w:p>
        </w:tc>
        <w:tc>
          <w:tcPr>
            <w:tcW w:w="920" w:type="dxa"/>
            <w:vAlign w:val="bottom"/>
            <w:vMerge w:val="restart"/>
            <w:shd w:val="clear" w:color="auto" w:fill="003595"/>
          </w:tcPr>
          <w:p>
            <w:pPr>
              <w:jc w:val="center"/>
              <w:spacing w:after="0" w:line="135" w:lineRule="exact"/>
              <w:rPr>
                <w:sz w:val="20"/>
                <w:szCs w:val="20"/>
                <w:color w:val="auto"/>
              </w:rPr>
            </w:pPr>
            <w:r>
              <w:rPr>
                <w:rFonts w:ascii="Arial" w:cs="Arial" w:eastAsia="Arial" w:hAnsi="Arial"/>
                <w:sz w:val="12"/>
                <w:szCs w:val="12"/>
                <w:b w:val="1"/>
                <w:bCs w:val="1"/>
                <w:color w:val="FFFFFF"/>
              </w:rPr>
              <w:t>Price</w:t>
            </w:r>
          </w:p>
        </w:tc>
        <w:tc>
          <w:tcPr>
            <w:tcW w:w="960" w:type="dxa"/>
            <w:vAlign w:val="bottom"/>
            <w:vMerge w:val="continue"/>
            <w:shd w:val="clear" w:color="auto" w:fill="003595"/>
          </w:tcPr>
          <w:p>
            <w:pPr>
              <w:spacing w:after="0"/>
              <w:rPr>
                <w:sz w:val="5"/>
                <w:szCs w:val="5"/>
                <w:color w:val="auto"/>
              </w:rPr>
            </w:pPr>
          </w:p>
        </w:tc>
        <w:tc>
          <w:tcPr>
            <w:tcW w:w="880" w:type="dxa"/>
            <w:vAlign w:val="bottom"/>
            <w:vMerge w:val="continue"/>
            <w:shd w:val="clear" w:color="auto" w:fill="003595"/>
          </w:tcPr>
          <w:p>
            <w:pPr>
              <w:spacing w:after="0"/>
              <w:rPr>
                <w:sz w:val="5"/>
                <w:szCs w:val="5"/>
                <w:color w:val="auto"/>
              </w:rPr>
            </w:pPr>
          </w:p>
        </w:tc>
        <w:tc>
          <w:tcPr>
            <w:tcW w:w="840" w:type="dxa"/>
            <w:vAlign w:val="bottom"/>
            <w:vMerge w:val="restart"/>
            <w:shd w:val="clear" w:color="auto" w:fill="003595"/>
          </w:tcPr>
          <w:p>
            <w:pPr>
              <w:jc w:val="center"/>
              <w:ind w:left="63"/>
              <w:spacing w:after="0"/>
              <w:rPr>
                <w:sz w:val="20"/>
                <w:szCs w:val="20"/>
                <w:color w:val="auto"/>
              </w:rPr>
            </w:pPr>
            <w:r>
              <w:rPr>
                <w:rFonts w:ascii="Arial" w:cs="Arial" w:eastAsia="Arial" w:hAnsi="Arial"/>
                <w:sz w:val="11"/>
                <w:szCs w:val="11"/>
                <w:b w:val="1"/>
                <w:bCs w:val="1"/>
                <w:color w:val="FFFFFF"/>
                <w:w w:val="97"/>
              </w:rPr>
              <w:t>Stock that</w:t>
            </w:r>
          </w:p>
        </w:tc>
        <w:tc>
          <w:tcPr>
            <w:tcW w:w="1380" w:type="dxa"/>
            <w:vAlign w:val="bottom"/>
            <w:vMerge w:val="restart"/>
            <w:shd w:val="clear" w:color="auto" w:fill="003595"/>
          </w:tcPr>
          <w:p>
            <w:pPr>
              <w:jc w:val="center"/>
              <w:ind w:left="43"/>
              <w:spacing w:after="0"/>
              <w:rPr>
                <w:sz w:val="20"/>
                <w:szCs w:val="20"/>
                <w:color w:val="auto"/>
              </w:rPr>
            </w:pPr>
            <w:r>
              <w:rPr>
                <w:rFonts w:ascii="Arial" w:cs="Arial" w:eastAsia="Arial" w:hAnsi="Arial"/>
                <w:sz w:val="11"/>
                <w:szCs w:val="11"/>
                <w:b w:val="1"/>
                <w:bCs w:val="1"/>
                <w:color w:val="FFFFFF"/>
                <w:w w:val="96"/>
              </w:rPr>
              <w:t>Shares, Units</w:t>
            </w:r>
          </w:p>
        </w:tc>
        <w:tc>
          <w:tcPr>
            <w:tcW w:w="12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Unearned</w:t>
            </w:r>
          </w:p>
        </w:tc>
        <w:tc>
          <w:tcPr>
            <w:tcW w:w="0" w:type="dxa"/>
            <w:vAlign w:val="bottom"/>
          </w:tcPr>
          <w:p>
            <w:pPr>
              <w:spacing w:after="0"/>
              <w:rPr>
                <w:sz w:val="1"/>
                <w:szCs w:val="1"/>
                <w:color w:val="auto"/>
              </w:rPr>
            </w:pPr>
          </w:p>
        </w:tc>
      </w:tr>
      <w:tr>
        <w:trPr>
          <w:trHeight w:val="68"/>
        </w:trPr>
        <w:tc>
          <w:tcPr>
            <w:tcW w:w="1800" w:type="dxa"/>
            <w:vAlign w:val="bottom"/>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40" w:type="dxa"/>
            <w:vAlign w:val="bottom"/>
            <w:shd w:val="clear" w:color="auto" w:fill="003595"/>
          </w:tcPr>
          <w:p>
            <w:pPr>
              <w:spacing w:after="0"/>
              <w:rPr>
                <w:sz w:val="5"/>
                <w:szCs w:val="5"/>
                <w:color w:val="auto"/>
              </w:rPr>
            </w:pPr>
          </w:p>
        </w:tc>
        <w:tc>
          <w:tcPr>
            <w:tcW w:w="280" w:type="dxa"/>
            <w:vAlign w:val="bottom"/>
            <w:vMerge w:val="continue"/>
            <w:shd w:val="clear" w:color="auto" w:fill="003595"/>
          </w:tcPr>
          <w:p>
            <w:pPr>
              <w:spacing w:after="0"/>
              <w:rPr>
                <w:sz w:val="5"/>
                <w:szCs w:val="5"/>
                <w:color w:val="auto"/>
              </w:rPr>
            </w:pPr>
          </w:p>
        </w:tc>
        <w:tc>
          <w:tcPr>
            <w:tcW w:w="380" w:type="dxa"/>
            <w:vAlign w:val="bottom"/>
            <w:gridSpan w:val="2"/>
            <w:shd w:val="clear" w:color="auto" w:fill="003595"/>
          </w:tcPr>
          <w:p>
            <w:pPr>
              <w:spacing w:after="0"/>
              <w:rPr>
                <w:sz w:val="5"/>
                <w:szCs w:val="5"/>
                <w:color w:val="auto"/>
              </w:rPr>
            </w:pPr>
          </w:p>
        </w:tc>
        <w:tc>
          <w:tcPr>
            <w:tcW w:w="10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rPr>
              <w:t>Options</w:t>
            </w:r>
          </w:p>
        </w:tc>
        <w:tc>
          <w:tcPr>
            <w:tcW w:w="1140" w:type="dxa"/>
            <w:vAlign w:val="bottom"/>
            <w:vMerge w:val="restart"/>
            <w:shd w:val="clear" w:color="auto" w:fill="003595"/>
          </w:tcPr>
          <w:p>
            <w:pPr>
              <w:jc w:val="center"/>
              <w:ind w:right="6"/>
              <w:spacing w:after="0"/>
              <w:rPr>
                <w:sz w:val="20"/>
                <w:szCs w:val="20"/>
                <w:color w:val="auto"/>
              </w:rPr>
            </w:pPr>
            <w:r>
              <w:rPr>
                <w:rFonts w:ascii="Arial" w:cs="Arial" w:eastAsia="Arial" w:hAnsi="Arial"/>
                <w:sz w:val="11"/>
                <w:szCs w:val="11"/>
                <w:b w:val="1"/>
                <w:bCs w:val="1"/>
                <w:color w:val="FFFFFF"/>
                <w:w w:val="96"/>
              </w:rPr>
              <w:t>Options</w:t>
            </w:r>
          </w:p>
        </w:tc>
        <w:tc>
          <w:tcPr>
            <w:tcW w:w="920" w:type="dxa"/>
            <w:vAlign w:val="bottom"/>
            <w:vMerge w:val="continue"/>
            <w:shd w:val="clear" w:color="auto" w:fill="003595"/>
          </w:tcPr>
          <w:p>
            <w:pPr>
              <w:spacing w:after="0"/>
              <w:rPr>
                <w:sz w:val="5"/>
                <w:szCs w:val="5"/>
                <w:color w:val="auto"/>
              </w:rPr>
            </w:pPr>
          </w:p>
        </w:tc>
        <w:tc>
          <w:tcPr>
            <w:tcW w:w="960" w:type="dxa"/>
            <w:vAlign w:val="bottom"/>
            <w:vMerge w:val="restart"/>
            <w:shd w:val="clear" w:color="auto" w:fill="003595"/>
          </w:tcPr>
          <w:p>
            <w:pPr>
              <w:jc w:val="center"/>
              <w:ind w:left="46"/>
              <w:spacing w:after="0"/>
              <w:rPr>
                <w:sz w:val="20"/>
                <w:szCs w:val="20"/>
                <w:color w:val="auto"/>
              </w:rPr>
            </w:pPr>
            <w:r>
              <w:rPr>
                <w:rFonts w:ascii="Arial" w:cs="Arial" w:eastAsia="Arial" w:hAnsi="Arial"/>
                <w:sz w:val="11"/>
                <w:szCs w:val="11"/>
                <w:b w:val="1"/>
                <w:bCs w:val="1"/>
                <w:color w:val="FFFFFF"/>
                <w:w w:val="92"/>
              </w:rPr>
              <w:t>Date</w:t>
            </w:r>
          </w:p>
        </w:tc>
        <w:tc>
          <w:tcPr>
            <w:tcW w:w="88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Have not</w:t>
            </w:r>
          </w:p>
        </w:tc>
        <w:tc>
          <w:tcPr>
            <w:tcW w:w="840" w:type="dxa"/>
            <w:vAlign w:val="bottom"/>
            <w:vMerge w:val="continue"/>
            <w:shd w:val="clear" w:color="auto" w:fill="003595"/>
          </w:tcPr>
          <w:p>
            <w:pPr>
              <w:spacing w:after="0"/>
              <w:rPr>
                <w:sz w:val="5"/>
                <w:szCs w:val="5"/>
                <w:color w:val="auto"/>
              </w:rPr>
            </w:pPr>
          </w:p>
        </w:tc>
        <w:tc>
          <w:tcPr>
            <w:tcW w:w="1380" w:type="dxa"/>
            <w:vAlign w:val="bottom"/>
            <w:vMerge w:val="continue"/>
            <w:shd w:val="clear" w:color="auto" w:fill="003595"/>
          </w:tcPr>
          <w:p>
            <w:pPr>
              <w:spacing w:after="0"/>
              <w:rPr>
                <w:sz w:val="5"/>
                <w:szCs w:val="5"/>
                <w:color w:val="auto"/>
              </w:rPr>
            </w:pPr>
          </w:p>
        </w:tc>
        <w:tc>
          <w:tcPr>
            <w:tcW w:w="1240" w:type="dxa"/>
            <w:vAlign w:val="bottom"/>
            <w:vMerge w:val="continue"/>
            <w:shd w:val="clear" w:color="auto" w:fill="003595"/>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800" w:type="dxa"/>
            <w:vAlign w:val="bottom"/>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40" w:type="dxa"/>
            <w:vAlign w:val="bottom"/>
            <w:shd w:val="clear" w:color="auto" w:fill="003595"/>
          </w:tcPr>
          <w:p>
            <w:pPr>
              <w:spacing w:after="0"/>
              <w:rPr>
                <w:sz w:val="5"/>
                <w:szCs w:val="5"/>
                <w:color w:val="auto"/>
              </w:rPr>
            </w:pPr>
          </w:p>
        </w:tc>
        <w:tc>
          <w:tcPr>
            <w:tcW w:w="280" w:type="dxa"/>
            <w:vAlign w:val="bottom"/>
            <w:shd w:val="clear" w:color="auto" w:fill="003595"/>
          </w:tcPr>
          <w:p>
            <w:pPr>
              <w:spacing w:after="0"/>
              <w:rPr>
                <w:sz w:val="5"/>
                <w:szCs w:val="5"/>
                <w:color w:val="auto"/>
              </w:rPr>
            </w:pPr>
          </w:p>
        </w:tc>
        <w:tc>
          <w:tcPr>
            <w:tcW w:w="40" w:type="dxa"/>
            <w:vAlign w:val="bottom"/>
            <w:shd w:val="clear" w:color="auto" w:fill="003595"/>
          </w:tcPr>
          <w:p>
            <w:pPr>
              <w:spacing w:after="0"/>
              <w:rPr>
                <w:sz w:val="5"/>
                <w:szCs w:val="5"/>
                <w:color w:val="auto"/>
              </w:rPr>
            </w:pPr>
          </w:p>
        </w:tc>
        <w:tc>
          <w:tcPr>
            <w:tcW w:w="340" w:type="dxa"/>
            <w:vAlign w:val="bottom"/>
            <w:shd w:val="clear" w:color="auto" w:fill="003595"/>
          </w:tcPr>
          <w:p>
            <w:pPr>
              <w:spacing w:after="0"/>
              <w:rPr>
                <w:sz w:val="5"/>
                <w:szCs w:val="5"/>
                <w:color w:val="auto"/>
              </w:rPr>
            </w:pPr>
          </w:p>
        </w:tc>
        <w:tc>
          <w:tcPr>
            <w:tcW w:w="1040" w:type="dxa"/>
            <w:vAlign w:val="bottom"/>
            <w:vMerge w:val="continue"/>
            <w:shd w:val="clear" w:color="auto" w:fill="003595"/>
          </w:tcPr>
          <w:p>
            <w:pPr>
              <w:spacing w:after="0"/>
              <w:rPr>
                <w:sz w:val="5"/>
                <w:szCs w:val="5"/>
                <w:color w:val="auto"/>
              </w:rPr>
            </w:pPr>
          </w:p>
        </w:tc>
        <w:tc>
          <w:tcPr>
            <w:tcW w:w="1140" w:type="dxa"/>
            <w:vAlign w:val="bottom"/>
            <w:vMerge w:val="continue"/>
            <w:shd w:val="clear" w:color="auto" w:fill="003595"/>
          </w:tcPr>
          <w:p>
            <w:pPr>
              <w:spacing w:after="0"/>
              <w:rPr>
                <w:sz w:val="5"/>
                <w:szCs w:val="5"/>
                <w:color w:val="auto"/>
              </w:rPr>
            </w:pPr>
          </w:p>
        </w:tc>
        <w:tc>
          <w:tcPr>
            <w:tcW w:w="92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2"/>
                <w:szCs w:val="12"/>
                <w:b w:val="1"/>
                <w:bCs w:val="1"/>
                <w:color w:val="FFFFFF"/>
                <w:w w:val="95"/>
              </w:rPr>
              <w:t>($)</w:t>
            </w:r>
          </w:p>
        </w:tc>
        <w:tc>
          <w:tcPr>
            <w:tcW w:w="960" w:type="dxa"/>
            <w:vAlign w:val="bottom"/>
            <w:vMerge w:val="continue"/>
            <w:shd w:val="clear" w:color="auto" w:fill="003595"/>
          </w:tcPr>
          <w:p>
            <w:pPr>
              <w:spacing w:after="0"/>
              <w:rPr>
                <w:sz w:val="5"/>
                <w:szCs w:val="5"/>
                <w:color w:val="auto"/>
              </w:rPr>
            </w:pPr>
          </w:p>
        </w:tc>
        <w:tc>
          <w:tcPr>
            <w:tcW w:w="880" w:type="dxa"/>
            <w:vAlign w:val="bottom"/>
            <w:vMerge w:val="continue"/>
            <w:shd w:val="clear" w:color="auto" w:fill="003595"/>
          </w:tcPr>
          <w:p>
            <w:pPr>
              <w:spacing w:after="0"/>
              <w:rPr>
                <w:sz w:val="5"/>
                <w:szCs w:val="5"/>
                <w:color w:val="auto"/>
              </w:rPr>
            </w:pPr>
          </w:p>
        </w:tc>
        <w:tc>
          <w:tcPr>
            <w:tcW w:w="840" w:type="dxa"/>
            <w:vAlign w:val="bottom"/>
            <w:vMerge w:val="restart"/>
            <w:shd w:val="clear" w:color="auto" w:fill="003595"/>
          </w:tcPr>
          <w:p>
            <w:pPr>
              <w:jc w:val="center"/>
              <w:ind w:left="83"/>
              <w:spacing w:after="0" w:line="122" w:lineRule="exact"/>
              <w:rPr>
                <w:sz w:val="20"/>
                <w:szCs w:val="20"/>
                <w:color w:val="auto"/>
              </w:rPr>
            </w:pPr>
            <w:r>
              <w:rPr>
                <w:rFonts w:ascii="Arial" w:cs="Arial" w:eastAsia="Arial" w:hAnsi="Arial"/>
                <w:sz w:val="11"/>
                <w:szCs w:val="11"/>
                <w:b w:val="1"/>
                <w:bCs w:val="1"/>
                <w:color w:val="FFFFFF"/>
                <w:w w:val="98"/>
              </w:rPr>
              <w:t>Have not</w:t>
            </w:r>
          </w:p>
        </w:tc>
        <w:tc>
          <w:tcPr>
            <w:tcW w:w="1380" w:type="dxa"/>
            <w:vAlign w:val="bottom"/>
            <w:vMerge w:val="restart"/>
            <w:shd w:val="clear" w:color="auto" w:fill="003595"/>
          </w:tcPr>
          <w:p>
            <w:pPr>
              <w:jc w:val="center"/>
              <w:ind w:left="43"/>
              <w:spacing w:after="0" w:line="122" w:lineRule="exact"/>
              <w:rPr>
                <w:sz w:val="20"/>
                <w:szCs w:val="20"/>
                <w:color w:val="auto"/>
              </w:rPr>
            </w:pPr>
            <w:r>
              <w:rPr>
                <w:rFonts w:ascii="Arial" w:cs="Arial" w:eastAsia="Arial" w:hAnsi="Arial"/>
                <w:sz w:val="11"/>
                <w:szCs w:val="11"/>
                <w:b w:val="1"/>
                <w:bCs w:val="1"/>
                <w:color w:val="FFFFFF"/>
                <w:w w:val="99"/>
              </w:rPr>
              <w:t>or Other Rights</w:t>
            </w:r>
          </w:p>
        </w:tc>
        <w:tc>
          <w:tcPr>
            <w:tcW w:w="124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6"/>
              </w:rPr>
              <w:t>Shares, Units</w:t>
            </w:r>
          </w:p>
        </w:tc>
        <w:tc>
          <w:tcPr>
            <w:tcW w:w="0" w:type="dxa"/>
            <w:vAlign w:val="bottom"/>
          </w:tcPr>
          <w:p>
            <w:pPr>
              <w:spacing w:after="0"/>
              <w:rPr>
                <w:sz w:val="1"/>
                <w:szCs w:val="1"/>
                <w:color w:val="auto"/>
              </w:rPr>
            </w:pPr>
          </w:p>
        </w:tc>
      </w:tr>
      <w:tr>
        <w:trPr>
          <w:trHeight w:val="54"/>
        </w:trPr>
        <w:tc>
          <w:tcPr>
            <w:tcW w:w="180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28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10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8"/>
              </w:rPr>
              <w:t>Exercisable</w:t>
            </w:r>
          </w:p>
        </w:tc>
        <w:tc>
          <w:tcPr>
            <w:tcW w:w="1140" w:type="dxa"/>
            <w:vAlign w:val="bottom"/>
            <w:vMerge w:val="restart"/>
            <w:shd w:val="clear" w:color="auto" w:fill="003595"/>
          </w:tcPr>
          <w:p>
            <w:pPr>
              <w:jc w:val="center"/>
              <w:ind w:right="6"/>
              <w:spacing w:after="0"/>
              <w:rPr>
                <w:sz w:val="20"/>
                <w:szCs w:val="20"/>
                <w:color w:val="auto"/>
              </w:rPr>
            </w:pPr>
            <w:r>
              <w:rPr>
                <w:rFonts w:ascii="Arial" w:cs="Arial" w:eastAsia="Arial" w:hAnsi="Arial"/>
                <w:sz w:val="11"/>
                <w:szCs w:val="11"/>
                <w:b w:val="1"/>
                <w:bCs w:val="1"/>
                <w:color w:val="FFFFFF"/>
                <w:w w:val="96"/>
              </w:rPr>
              <w:t>Unexercisable</w:t>
            </w:r>
          </w:p>
        </w:tc>
        <w:tc>
          <w:tcPr>
            <w:tcW w:w="920" w:type="dxa"/>
            <w:vAlign w:val="bottom"/>
            <w:vMerge w:val="continue"/>
            <w:shd w:val="clear" w:color="auto" w:fill="003595"/>
          </w:tcPr>
          <w:p>
            <w:pPr>
              <w:spacing w:after="0"/>
              <w:rPr>
                <w:sz w:val="4"/>
                <w:szCs w:val="4"/>
                <w:color w:val="auto"/>
              </w:rPr>
            </w:pPr>
          </w:p>
        </w:tc>
        <w:tc>
          <w:tcPr>
            <w:tcW w:w="960" w:type="dxa"/>
            <w:vAlign w:val="bottom"/>
            <w:shd w:val="clear" w:color="auto" w:fill="003595"/>
          </w:tcPr>
          <w:p>
            <w:pPr>
              <w:spacing w:after="0"/>
              <w:rPr>
                <w:sz w:val="4"/>
                <w:szCs w:val="4"/>
                <w:color w:val="auto"/>
              </w:rPr>
            </w:pPr>
          </w:p>
        </w:tc>
        <w:tc>
          <w:tcPr>
            <w:tcW w:w="88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4"/>
              </w:rPr>
              <w:t>Vested</w:t>
            </w:r>
          </w:p>
        </w:tc>
        <w:tc>
          <w:tcPr>
            <w:tcW w:w="840" w:type="dxa"/>
            <w:vAlign w:val="bottom"/>
            <w:vMerge w:val="continue"/>
            <w:shd w:val="clear" w:color="auto" w:fill="003595"/>
          </w:tcPr>
          <w:p>
            <w:pPr>
              <w:spacing w:after="0"/>
              <w:rPr>
                <w:sz w:val="4"/>
                <w:szCs w:val="4"/>
                <w:color w:val="auto"/>
              </w:rPr>
            </w:pPr>
          </w:p>
        </w:tc>
        <w:tc>
          <w:tcPr>
            <w:tcW w:w="1380" w:type="dxa"/>
            <w:vAlign w:val="bottom"/>
            <w:vMerge w:val="continue"/>
            <w:shd w:val="clear" w:color="auto" w:fill="003595"/>
          </w:tcPr>
          <w:p>
            <w:pPr>
              <w:spacing w:after="0"/>
              <w:rPr>
                <w:sz w:val="4"/>
                <w:szCs w:val="4"/>
                <w:color w:val="auto"/>
              </w:rPr>
            </w:pPr>
          </w:p>
        </w:tc>
        <w:tc>
          <w:tcPr>
            <w:tcW w:w="1240" w:type="dxa"/>
            <w:vAlign w:val="bottom"/>
            <w:vMerge w:val="continue"/>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00" w:type="dxa"/>
            <w:vAlign w:val="bottom"/>
            <w:shd w:val="clear" w:color="auto" w:fill="003595"/>
          </w:tcPr>
          <w:p>
            <w:pPr>
              <w:spacing w:after="0"/>
              <w:rPr>
                <w:sz w:val="7"/>
                <w:szCs w:val="7"/>
                <w:color w:val="auto"/>
              </w:rPr>
            </w:pPr>
          </w:p>
        </w:tc>
        <w:tc>
          <w:tcPr>
            <w:tcW w:w="340" w:type="dxa"/>
            <w:vAlign w:val="bottom"/>
            <w:shd w:val="clear" w:color="auto" w:fill="003595"/>
          </w:tcPr>
          <w:p>
            <w:pPr>
              <w:spacing w:after="0"/>
              <w:rPr>
                <w:sz w:val="7"/>
                <w:szCs w:val="7"/>
                <w:color w:val="auto"/>
              </w:rPr>
            </w:pPr>
          </w:p>
        </w:tc>
        <w:tc>
          <w:tcPr>
            <w:tcW w:w="40" w:type="dxa"/>
            <w:vAlign w:val="bottom"/>
            <w:shd w:val="clear" w:color="auto" w:fill="003595"/>
          </w:tcPr>
          <w:p>
            <w:pPr>
              <w:spacing w:after="0"/>
              <w:rPr>
                <w:sz w:val="7"/>
                <w:szCs w:val="7"/>
                <w:color w:val="auto"/>
              </w:rPr>
            </w:pPr>
          </w:p>
        </w:tc>
        <w:tc>
          <w:tcPr>
            <w:tcW w:w="280" w:type="dxa"/>
            <w:vAlign w:val="bottom"/>
            <w:shd w:val="clear" w:color="auto" w:fill="003595"/>
          </w:tcPr>
          <w:p>
            <w:pPr>
              <w:spacing w:after="0"/>
              <w:rPr>
                <w:sz w:val="7"/>
                <w:szCs w:val="7"/>
                <w:color w:val="auto"/>
              </w:rPr>
            </w:pPr>
          </w:p>
        </w:tc>
        <w:tc>
          <w:tcPr>
            <w:tcW w:w="40" w:type="dxa"/>
            <w:vAlign w:val="bottom"/>
            <w:shd w:val="clear" w:color="auto" w:fill="003595"/>
          </w:tcPr>
          <w:p>
            <w:pPr>
              <w:spacing w:after="0"/>
              <w:rPr>
                <w:sz w:val="7"/>
                <w:szCs w:val="7"/>
                <w:color w:val="auto"/>
              </w:rPr>
            </w:pPr>
          </w:p>
        </w:tc>
        <w:tc>
          <w:tcPr>
            <w:tcW w:w="340" w:type="dxa"/>
            <w:vAlign w:val="bottom"/>
            <w:shd w:val="clear" w:color="auto" w:fill="003595"/>
          </w:tcPr>
          <w:p>
            <w:pPr>
              <w:spacing w:after="0"/>
              <w:rPr>
                <w:sz w:val="7"/>
                <w:szCs w:val="7"/>
                <w:color w:val="auto"/>
              </w:rPr>
            </w:pPr>
          </w:p>
        </w:tc>
        <w:tc>
          <w:tcPr>
            <w:tcW w:w="1040" w:type="dxa"/>
            <w:vAlign w:val="bottom"/>
            <w:vMerge w:val="continue"/>
            <w:shd w:val="clear" w:color="auto" w:fill="003595"/>
          </w:tcPr>
          <w:p>
            <w:pPr>
              <w:spacing w:after="0"/>
              <w:rPr>
                <w:sz w:val="7"/>
                <w:szCs w:val="7"/>
                <w:color w:val="auto"/>
              </w:rPr>
            </w:pPr>
          </w:p>
        </w:tc>
        <w:tc>
          <w:tcPr>
            <w:tcW w:w="1140" w:type="dxa"/>
            <w:vAlign w:val="bottom"/>
            <w:vMerge w:val="continue"/>
            <w:shd w:val="clear" w:color="auto" w:fill="003595"/>
          </w:tcPr>
          <w:p>
            <w:pPr>
              <w:spacing w:after="0"/>
              <w:rPr>
                <w:sz w:val="7"/>
                <w:szCs w:val="7"/>
                <w:color w:val="auto"/>
              </w:rPr>
            </w:pPr>
          </w:p>
        </w:tc>
        <w:tc>
          <w:tcPr>
            <w:tcW w:w="920" w:type="dxa"/>
            <w:vAlign w:val="bottom"/>
            <w:shd w:val="clear" w:color="auto" w:fill="003595"/>
          </w:tcPr>
          <w:p>
            <w:pPr>
              <w:spacing w:after="0"/>
              <w:rPr>
                <w:sz w:val="7"/>
                <w:szCs w:val="7"/>
                <w:color w:val="auto"/>
              </w:rPr>
            </w:pPr>
          </w:p>
        </w:tc>
        <w:tc>
          <w:tcPr>
            <w:tcW w:w="960" w:type="dxa"/>
            <w:vAlign w:val="bottom"/>
            <w:shd w:val="clear" w:color="auto" w:fill="003595"/>
          </w:tcPr>
          <w:p>
            <w:pPr>
              <w:spacing w:after="0"/>
              <w:rPr>
                <w:sz w:val="7"/>
                <w:szCs w:val="7"/>
                <w:color w:val="auto"/>
              </w:rPr>
            </w:pPr>
          </w:p>
        </w:tc>
        <w:tc>
          <w:tcPr>
            <w:tcW w:w="880" w:type="dxa"/>
            <w:vAlign w:val="bottom"/>
            <w:vMerge w:val="continue"/>
            <w:shd w:val="clear" w:color="auto" w:fill="003595"/>
          </w:tcPr>
          <w:p>
            <w:pPr>
              <w:spacing w:after="0"/>
              <w:rPr>
                <w:sz w:val="7"/>
                <w:szCs w:val="7"/>
                <w:color w:val="auto"/>
              </w:rPr>
            </w:pPr>
          </w:p>
        </w:tc>
        <w:tc>
          <w:tcPr>
            <w:tcW w:w="840" w:type="dxa"/>
            <w:vAlign w:val="bottom"/>
            <w:vMerge w:val="restart"/>
            <w:shd w:val="clear" w:color="auto" w:fill="003595"/>
          </w:tcPr>
          <w:p>
            <w:pPr>
              <w:jc w:val="center"/>
              <w:ind w:left="63"/>
              <w:spacing w:after="0"/>
              <w:rPr>
                <w:sz w:val="20"/>
                <w:szCs w:val="20"/>
                <w:color w:val="auto"/>
              </w:rPr>
            </w:pPr>
            <w:r>
              <w:rPr>
                <w:rFonts w:ascii="Arial" w:cs="Arial" w:eastAsia="Arial" w:hAnsi="Arial"/>
                <w:sz w:val="11"/>
                <w:szCs w:val="11"/>
                <w:b w:val="1"/>
                <w:bCs w:val="1"/>
                <w:color w:val="FFFFFF"/>
                <w:w w:val="99"/>
              </w:rPr>
              <w:t>Vested</w:t>
            </w:r>
          </w:p>
        </w:tc>
        <w:tc>
          <w:tcPr>
            <w:tcW w:w="1380" w:type="dxa"/>
            <w:vAlign w:val="bottom"/>
            <w:vMerge w:val="restart"/>
            <w:shd w:val="clear" w:color="auto" w:fill="003595"/>
          </w:tcPr>
          <w:p>
            <w:pPr>
              <w:jc w:val="center"/>
              <w:ind w:left="43"/>
              <w:spacing w:after="0"/>
              <w:rPr>
                <w:sz w:val="20"/>
                <w:szCs w:val="20"/>
                <w:color w:val="auto"/>
              </w:rPr>
            </w:pPr>
            <w:r>
              <w:rPr>
                <w:rFonts w:ascii="Arial" w:cs="Arial" w:eastAsia="Arial" w:hAnsi="Arial"/>
                <w:sz w:val="11"/>
                <w:szCs w:val="11"/>
                <w:b w:val="1"/>
                <w:bCs w:val="1"/>
                <w:color w:val="FFFFFF"/>
                <w:w w:val="96"/>
              </w:rPr>
              <w:t>that Have</w:t>
            </w:r>
          </w:p>
        </w:tc>
        <w:tc>
          <w:tcPr>
            <w:tcW w:w="12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9"/>
              </w:rPr>
              <w:t>or Other Rights</w:t>
            </w:r>
          </w:p>
        </w:tc>
        <w:tc>
          <w:tcPr>
            <w:tcW w:w="0" w:type="dxa"/>
            <w:vAlign w:val="bottom"/>
          </w:tcPr>
          <w:p>
            <w:pPr>
              <w:spacing w:after="0"/>
              <w:rPr>
                <w:sz w:val="1"/>
                <w:szCs w:val="1"/>
                <w:color w:val="auto"/>
              </w:rPr>
            </w:pPr>
          </w:p>
        </w:tc>
      </w:tr>
      <w:tr>
        <w:trPr>
          <w:trHeight w:val="54"/>
        </w:trPr>
        <w:tc>
          <w:tcPr>
            <w:tcW w:w="180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280" w:type="dxa"/>
            <w:vAlign w:val="bottom"/>
            <w:shd w:val="clear" w:color="auto" w:fill="003595"/>
          </w:tcPr>
          <w:p>
            <w:pPr>
              <w:spacing w:after="0"/>
              <w:rPr>
                <w:sz w:val="4"/>
                <w:szCs w:val="4"/>
                <w:color w:val="auto"/>
              </w:rPr>
            </w:pPr>
          </w:p>
        </w:tc>
        <w:tc>
          <w:tcPr>
            <w:tcW w:w="40" w:type="dxa"/>
            <w:vAlign w:val="bottom"/>
            <w:shd w:val="clear" w:color="auto" w:fill="003595"/>
          </w:tcPr>
          <w:p>
            <w:pPr>
              <w:spacing w:after="0"/>
              <w:rPr>
                <w:sz w:val="4"/>
                <w:szCs w:val="4"/>
                <w:color w:val="auto"/>
              </w:rPr>
            </w:pPr>
          </w:p>
        </w:tc>
        <w:tc>
          <w:tcPr>
            <w:tcW w:w="340" w:type="dxa"/>
            <w:vAlign w:val="bottom"/>
            <w:shd w:val="clear" w:color="auto" w:fill="003595"/>
          </w:tcPr>
          <w:p>
            <w:pPr>
              <w:spacing w:after="0"/>
              <w:rPr>
                <w:sz w:val="4"/>
                <w:szCs w:val="4"/>
                <w:color w:val="auto"/>
              </w:rPr>
            </w:pPr>
          </w:p>
        </w:tc>
        <w:tc>
          <w:tcPr>
            <w:tcW w:w="104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rPr>
              <w:t>(#)</w:t>
            </w:r>
          </w:p>
        </w:tc>
        <w:tc>
          <w:tcPr>
            <w:tcW w:w="1140" w:type="dxa"/>
            <w:vAlign w:val="bottom"/>
            <w:vMerge w:val="restart"/>
            <w:shd w:val="clear" w:color="auto" w:fill="003595"/>
          </w:tcPr>
          <w:p>
            <w:pPr>
              <w:jc w:val="center"/>
              <w:ind w:right="6"/>
              <w:spacing w:after="0"/>
              <w:rPr>
                <w:sz w:val="20"/>
                <w:szCs w:val="20"/>
                <w:color w:val="auto"/>
              </w:rPr>
            </w:pPr>
            <w:r>
              <w:rPr>
                <w:rFonts w:ascii="Arial" w:cs="Arial" w:eastAsia="Arial" w:hAnsi="Arial"/>
                <w:sz w:val="11"/>
                <w:szCs w:val="11"/>
                <w:b w:val="1"/>
                <w:bCs w:val="1"/>
                <w:color w:val="FFFFFF"/>
                <w:w w:val="88"/>
              </w:rPr>
              <w:t>(#)</w:t>
            </w:r>
          </w:p>
        </w:tc>
        <w:tc>
          <w:tcPr>
            <w:tcW w:w="920" w:type="dxa"/>
            <w:vAlign w:val="bottom"/>
            <w:shd w:val="clear" w:color="auto" w:fill="003595"/>
          </w:tcPr>
          <w:p>
            <w:pPr>
              <w:spacing w:after="0"/>
              <w:rPr>
                <w:sz w:val="4"/>
                <w:szCs w:val="4"/>
                <w:color w:val="auto"/>
              </w:rPr>
            </w:pPr>
          </w:p>
        </w:tc>
        <w:tc>
          <w:tcPr>
            <w:tcW w:w="960" w:type="dxa"/>
            <w:vAlign w:val="bottom"/>
            <w:shd w:val="clear" w:color="auto" w:fill="003595"/>
          </w:tcPr>
          <w:p>
            <w:pPr>
              <w:spacing w:after="0"/>
              <w:rPr>
                <w:sz w:val="4"/>
                <w:szCs w:val="4"/>
                <w:color w:val="auto"/>
              </w:rPr>
            </w:pPr>
          </w:p>
        </w:tc>
        <w:tc>
          <w:tcPr>
            <w:tcW w:w="880" w:type="dxa"/>
            <w:vAlign w:val="bottom"/>
            <w:vMerge w:val="restart"/>
            <w:shd w:val="clear" w:color="auto" w:fill="003595"/>
          </w:tcPr>
          <w:p>
            <w:pPr>
              <w:jc w:val="center"/>
              <w:spacing w:after="0"/>
              <w:rPr>
                <w:sz w:val="20"/>
                <w:szCs w:val="20"/>
                <w:color w:val="auto"/>
              </w:rPr>
            </w:pPr>
            <w:r>
              <w:rPr>
                <w:rFonts w:ascii="Arial" w:cs="Arial" w:eastAsia="Arial" w:hAnsi="Arial"/>
                <w:sz w:val="11"/>
                <w:szCs w:val="11"/>
                <w:b w:val="1"/>
                <w:bCs w:val="1"/>
                <w:color w:val="FFFFFF"/>
                <w:w w:val="96"/>
              </w:rPr>
              <w:t>(#)(3)</w:t>
            </w:r>
          </w:p>
        </w:tc>
        <w:tc>
          <w:tcPr>
            <w:tcW w:w="840" w:type="dxa"/>
            <w:vAlign w:val="bottom"/>
            <w:vMerge w:val="continue"/>
            <w:shd w:val="clear" w:color="auto" w:fill="003595"/>
          </w:tcPr>
          <w:p>
            <w:pPr>
              <w:spacing w:after="0"/>
              <w:rPr>
                <w:sz w:val="4"/>
                <w:szCs w:val="4"/>
                <w:color w:val="auto"/>
              </w:rPr>
            </w:pPr>
          </w:p>
        </w:tc>
        <w:tc>
          <w:tcPr>
            <w:tcW w:w="1380" w:type="dxa"/>
            <w:vAlign w:val="bottom"/>
            <w:vMerge w:val="continue"/>
            <w:shd w:val="clear" w:color="auto" w:fill="003595"/>
          </w:tcPr>
          <w:p>
            <w:pPr>
              <w:spacing w:after="0"/>
              <w:rPr>
                <w:sz w:val="4"/>
                <w:szCs w:val="4"/>
                <w:color w:val="auto"/>
              </w:rPr>
            </w:pPr>
          </w:p>
        </w:tc>
        <w:tc>
          <w:tcPr>
            <w:tcW w:w="1240" w:type="dxa"/>
            <w:vAlign w:val="bottom"/>
            <w:vMerge w:val="continue"/>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800" w:type="dxa"/>
            <w:vAlign w:val="bottom"/>
            <w:shd w:val="clear" w:color="auto" w:fill="003595"/>
          </w:tcPr>
          <w:p>
            <w:pPr>
              <w:spacing w:after="0"/>
              <w:rPr>
                <w:sz w:val="8"/>
                <w:szCs w:val="8"/>
                <w:color w:val="auto"/>
              </w:rPr>
            </w:pPr>
          </w:p>
        </w:tc>
        <w:tc>
          <w:tcPr>
            <w:tcW w:w="340" w:type="dxa"/>
            <w:vAlign w:val="bottom"/>
            <w:shd w:val="clear" w:color="auto" w:fill="003595"/>
          </w:tcPr>
          <w:p>
            <w:pPr>
              <w:spacing w:after="0"/>
              <w:rPr>
                <w:sz w:val="8"/>
                <w:szCs w:val="8"/>
                <w:color w:val="auto"/>
              </w:rPr>
            </w:pPr>
          </w:p>
        </w:tc>
        <w:tc>
          <w:tcPr>
            <w:tcW w:w="40" w:type="dxa"/>
            <w:vAlign w:val="bottom"/>
            <w:shd w:val="clear" w:color="auto" w:fill="003595"/>
          </w:tcPr>
          <w:p>
            <w:pPr>
              <w:spacing w:after="0"/>
              <w:rPr>
                <w:sz w:val="8"/>
                <w:szCs w:val="8"/>
                <w:color w:val="auto"/>
              </w:rPr>
            </w:pPr>
          </w:p>
        </w:tc>
        <w:tc>
          <w:tcPr>
            <w:tcW w:w="280" w:type="dxa"/>
            <w:vAlign w:val="bottom"/>
            <w:shd w:val="clear" w:color="auto" w:fill="003595"/>
          </w:tcPr>
          <w:p>
            <w:pPr>
              <w:spacing w:after="0"/>
              <w:rPr>
                <w:sz w:val="8"/>
                <w:szCs w:val="8"/>
                <w:color w:val="auto"/>
              </w:rPr>
            </w:pPr>
          </w:p>
        </w:tc>
        <w:tc>
          <w:tcPr>
            <w:tcW w:w="40" w:type="dxa"/>
            <w:vAlign w:val="bottom"/>
            <w:shd w:val="clear" w:color="auto" w:fill="003595"/>
          </w:tcPr>
          <w:p>
            <w:pPr>
              <w:spacing w:after="0"/>
              <w:rPr>
                <w:sz w:val="8"/>
                <w:szCs w:val="8"/>
                <w:color w:val="auto"/>
              </w:rPr>
            </w:pPr>
          </w:p>
        </w:tc>
        <w:tc>
          <w:tcPr>
            <w:tcW w:w="340" w:type="dxa"/>
            <w:vAlign w:val="bottom"/>
            <w:shd w:val="clear" w:color="auto" w:fill="003595"/>
          </w:tcPr>
          <w:p>
            <w:pPr>
              <w:spacing w:after="0"/>
              <w:rPr>
                <w:sz w:val="8"/>
                <w:szCs w:val="8"/>
                <w:color w:val="auto"/>
              </w:rPr>
            </w:pPr>
          </w:p>
        </w:tc>
        <w:tc>
          <w:tcPr>
            <w:tcW w:w="1040" w:type="dxa"/>
            <w:vAlign w:val="bottom"/>
            <w:vMerge w:val="continue"/>
            <w:shd w:val="clear" w:color="auto" w:fill="003595"/>
          </w:tcPr>
          <w:p>
            <w:pPr>
              <w:spacing w:after="0"/>
              <w:rPr>
                <w:sz w:val="8"/>
                <w:szCs w:val="8"/>
                <w:color w:val="auto"/>
              </w:rPr>
            </w:pPr>
          </w:p>
        </w:tc>
        <w:tc>
          <w:tcPr>
            <w:tcW w:w="1140" w:type="dxa"/>
            <w:vAlign w:val="bottom"/>
            <w:vMerge w:val="continue"/>
            <w:shd w:val="clear" w:color="auto" w:fill="003595"/>
          </w:tcPr>
          <w:p>
            <w:pPr>
              <w:spacing w:after="0"/>
              <w:rPr>
                <w:sz w:val="8"/>
                <w:szCs w:val="8"/>
                <w:color w:val="auto"/>
              </w:rPr>
            </w:pPr>
          </w:p>
        </w:tc>
        <w:tc>
          <w:tcPr>
            <w:tcW w:w="920" w:type="dxa"/>
            <w:vAlign w:val="bottom"/>
            <w:shd w:val="clear" w:color="auto" w:fill="003595"/>
          </w:tcPr>
          <w:p>
            <w:pPr>
              <w:spacing w:after="0"/>
              <w:rPr>
                <w:sz w:val="8"/>
                <w:szCs w:val="8"/>
                <w:color w:val="auto"/>
              </w:rPr>
            </w:pPr>
          </w:p>
        </w:tc>
        <w:tc>
          <w:tcPr>
            <w:tcW w:w="960" w:type="dxa"/>
            <w:vAlign w:val="bottom"/>
            <w:shd w:val="clear" w:color="auto" w:fill="003595"/>
          </w:tcPr>
          <w:p>
            <w:pPr>
              <w:spacing w:after="0"/>
              <w:rPr>
                <w:sz w:val="8"/>
                <w:szCs w:val="8"/>
                <w:color w:val="auto"/>
              </w:rPr>
            </w:pPr>
          </w:p>
        </w:tc>
        <w:tc>
          <w:tcPr>
            <w:tcW w:w="880" w:type="dxa"/>
            <w:vAlign w:val="bottom"/>
            <w:vMerge w:val="continue"/>
            <w:shd w:val="clear" w:color="auto" w:fill="003595"/>
          </w:tcPr>
          <w:p>
            <w:pPr>
              <w:spacing w:after="0"/>
              <w:rPr>
                <w:sz w:val="8"/>
                <w:szCs w:val="8"/>
                <w:color w:val="auto"/>
              </w:rPr>
            </w:pPr>
          </w:p>
        </w:tc>
        <w:tc>
          <w:tcPr>
            <w:tcW w:w="840" w:type="dxa"/>
            <w:vAlign w:val="bottom"/>
            <w:vMerge w:val="restart"/>
            <w:shd w:val="clear" w:color="auto" w:fill="003595"/>
          </w:tcPr>
          <w:p>
            <w:pPr>
              <w:jc w:val="center"/>
              <w:ind w:left="83"/>
              <w:spacing w:after="0" w:line="122" w:lineRule="exact"/>
              <w:rPr>
                <w:sz w:val="20"/>
                <w:szCs w:val="20"/>
                <w:color w:val="auto"/>
              </w:rPr>
            </w:pPr>
            <w:r>
              <w:rPr>
                <w:rFonts w:ascii="Arial" w:cs="Arial" w:eastAsia="Arial" w:hAnsi="Arial"/>
                <w:sz w:val="11"/>
                <w:szCs w:val="11"/>
                <w:b w:val="1"/>
                <w:bCs w:val="1"/>
                <w:color w:val="FFFFFF"/>
                <w:w w:val="96"/>
              </w:rPr>
              <w:t>($)(4)</w:t>
            </w:r>
          </w:p>
        </w:tc>
        <w:tc>
          <w:tcPr>
            <w:tcW w:w="1380" w:type="dxa"/>
            <w:vAlign w:val="bottom"/>
            <w:vMerge w:val="restart"/>
            <w:shd w:val="clear" w:color="auto" w:fill="003595"/>
          </w:tcPr>
          <w:p>
            <w:pPr>
              <w:jc w:val="center"/>
              <w:ind w:left="63"/>
              <w:spacing w:after="0" w:line="122" w:lineRule="exact"/>
              <w:rPr>
                <w:sz w:val="20"/>
                <w:szCs w:val="20"/>
                <w:color w:val="auto"/>
              </w:rPr>
            </w:pPr>
            <w:r>
              <w:rPr>
                <w:rFonts w:ascii="Arial" w:cs="Arial" w:eastAsia="Arial" w:hAnsi="Arial"/>
                <w:sz w:val="11"/>
                <w:szCs w:val="11"/>
                <w:b w:val="1"/>
                <w:bCs w:val="1"/>
                <w:color w:val="FFFFFF"/>
                <w:w w:val="95"/>
              </w:rPr>
              <w:t>not Vested</w:t>
            </w:r>
          </w:p>
        </w:tc>
        <w:tc>
          <w:tcPr>
            <w:tcW w:w="124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b w:val="1"/>
                <w:bCs w:val="1"/>
                <w:color w:val="FFFFFF"/>
                <w:w w:val="96"/>
              </w:rPr>
              <w:t>that Have</w:t>
            </w:r>
          </w:p>
        </w:tc>
        <w:tc>
          <w:tcPr>
            <w:tcW w:w="0" w:type="dxa"/>
            <w:vAlign w:val="bottom"/>
          </w:tcPr>
          <w:p>
            <w:pPr>
              <w:spacing w:after="0"/>
              <w:rPr>
                <w:sz w:val="1"/>
                <w:szCs w:val="1"/>
                <w:color w:val="auto"/>
              </w:rPr>
            </w:pPr>
          </w:p>
        </w:tc>
      </w:tr>
      <w:tr>
        <w:trPr>
          <w:trHeight w:val="28"/>
        </w:trPr>
        <w:tc>
          <w:tcPr>
            <w:tcW w:w="1800" w:type="dxa"/>
            <w:vAlign w:val="bottom"/>
            <w:shd w:val="clear" w:color="auto" w:fill="003595"/>
          </w:tcPr>
          <w:p>
            <w:pPr>
              <w:spacing w:after="0"/>
              <w:rPr>
                <w:sz w:val="2"/>
                <w:szCs w:val="2"/>
                <w:color w:val="auto"/>
              </w:rPr>
            </w:pPr>
          </w:p>
        </w:tc>
        <w:tc>
          <w:tcPr>
            <w:tcW w:w="340" w:type="dxa"/>
            <w:vAlign w:val="bottom"/>
            <w:shd w:val="clear" w:color="auto" w:fill="003595"/>
          </w:tcPr>
          <w:p>
            <w:pPr>
              <w:spacing w:after="0"/>
              <w:rPr>
                <w:sz w:val="2"/>
                <w:szCs w:val="2"/>
                <w:color w:val="auto"/>
              </w:rPr>
            </w:pPr>
          </w:p>
        </w:tc>
        <w:tc>
          <w:tcPr>
            <w:tcW w:w="40" w:type="dxa"/>
            <w:vAlign w:val="bottom"/>
            <w:shd w:val="clear" w:color="auto" w:fill="003595"/>
          </w:tcPr>
          <w:p>
            <w:pPr>
              <w:spacing w:after="0"/>
              <w:rPr>
                <w:sz w:val="2"/>
                <w:szCs w:val="2"/>
                <w:color w:val="auto"/>
              </w:rPr>
            </w:pPr>
          </w:p>
        </w:tc>
        <w:tc>
          <w:tcPr>
            <w:tcW w:w="280" w:type="dxa"/>
            <w:vAlign w:val="bottom"/>
            <w:shd w:val="clear" w:color="auto" w:fill="003595"/>
          </w:tcPr>
          <w:p>
            <w:pPr>
              <w:spacing w:after="0"/>
              <w:rPr>
                <w:sz w:val="2"/>
                <w:szCs w:val="2"/>
                <w:color w:val="auto"/>
              </w:rPr>
            </w:pPr>
          </w:p>
        </w:tc>
        <w:tc>
          <w:tcPr>
            <w:tcW w:w="40" w:type="dxa"/>
            <w:vAlign w:val="bottom"/>
            <w:shd w:val="clear" w:color="auto" w:fill="003595"/>
          </w:tcPr>
          <w:p>
            <w:pPr>
              <w:spacing w:after="0"/>
              <w:rPr>
                <w:sz w:val="2"/>
                <w:szCs w:val="2"/>
                <w:color w:val="auto"/>
              </w:rPr>
            </w:pPr>
          </w:p>
        </w:tc>
        <w:tc>
          <w:tcPr>
            <w:tcW w:w="340" w:type="dxa"/>
            <w:vAlign w:val="bottom"/>
            <w:shd w:val="clear" w:color="auto" w:fill="003595"/>
          </w:tcPr>
          <w:p>
            <w:pPr>
              <w:spacing w:after="0"/>
              <w:rPr>
                <w:sz w:val="2"/>
                <w:szCs w:val="2"/>
                <w:color w:val="auto"/>
              </w:rPr>
            </w:pPr>
          </w:p>
        </w:tc>
        <w:tc>
          <w:tcPr>
            <w:tcW w:w="1040" w:type="dxa"/>
            <w:vAlign w:val="bottom"/>
            <w:shd w:val="clear" w:color="auto" w:fill="003595"/>
          </w:tcPr>
          <w:p>
            <w:pPr>
              <w:spacing w:after="0"/>
              <w:rPr>
                <w:sz w:val="2"/>
                <w:szCs w:val="2"/>
                <w:color w:val="auto"/>
              </w:rPr>
            </w:pPr>
          </w:p>
        </w:tc>
        <w:tc>
          <w:tcPr>
            <w:tcW w:w="1140" w:type="dxa"/>
            <w:vAlign w:val="bottom"/>
            <w:shd w:val="clear" w:color="auto" w:fill="003595"/>
          </w:tcPr>
          <w:p>
            <w:pPr>
              <w:spacing w:after="0"/>
              <w:rPr>
                <w:sz w:val="2"/>
                <w:szCs w:val="2"/>
                <w:color w:val="auto"/>
              </w:rPr>
            </w:pPr>
          </w:p>
        </w:tc>
        <w:tc>
          <w:tcPr>
            <w:tcW w:w="920" w:type="dxa"/>
            <w:vAlign w:val="bottom"/>
            <w:shd w:val="clear" w:color="auto" w:fill="003595"/>
          </w:tcPr>
          <w:p>
            <w:pPr>
              <w:spacing w:after="0"/>
              <w:rPr>
                <w:sz w:val="2"/>
                <w:szCs w:val="2"/>
                <w:color w:val="auto"/>
              </w:rPr>
            </w:pPr>
          </w:p>
        </w:tc>
        <w:tc>
          <w:tcPr>
            <w:tcW w:w="960" w:type="dxa"/>
            <w:vAlign w:val="bottom"/>
            <w:shd w:val="clear" w:color="auto" w:fill="003595"/>
          </w:tcPr>
          <w:p>
            <w:pPr>
              <w:spacing w:after="0"/>
              <w:rPr>
                <w:sz w:val="2"/>
                <w:szCs w:val="2"/>
                <w:color w:val="auto"/>
              </w:rPr>
            </w:pPr>
          </w:p>
        </w:tc>
        <w:tc>
          <w:tcPr>
            <w:tcW w:w="880" w:type="dxa"/>
            <w:vAlign w:val="bottom"/>
            <w:shd w:val="clear" w:color="auto" w:fill="003595"/>
          </w:tcPr>
          <w:p>
            <w:pPr>
              <w:spacing w:after="0"/>
              <w:rPr>
                <w:sz w:val="2"/>
                <w:szCs w:val="2"/>
                <w:color w:val="auto"/>
              </w:rPr>
            </w:pPr>
          </w:p>
        </w:tc>
        <w:tc>
          <w:tcPr>
            <w:tcW w:w="840" w:type="dxa"/>
            <w:vAlign w:val="bottom"/>
            <w:vMerge w:val="continue"/>
            <w:shd w:val="clear" w:color="auto" w:fill="003595"/>
          </w:tcPr>
          <w:p>
            <w:pPr>
              <w:spacing w:after="0"/>
              <w:rPr>
                <w:sz w:val="2"/>
                <w:szCs w:val="2"/>
                <w:color w:val="auto"/>
              </w:rPr>
            </w:pPr>
          </w:p>
        </w:tc>
        <w:tc>
          <w:tcPr>
            <w:tcW w:w="1380" w:type="dxa"/>
            <w:vAlign w:val="bottom"/>
            <w:vMerge w:val="continue"/>
            <w:shd w:val="clear" w:color="auto" w:fill="003595"/>
          </w:tcPr>
          <w:p>
            <w:pPr>
              <w:spacing w:after="0"/>
              <w:rPr>
                <w:sz w:val="2"/>
                <w:szCs w:val="2"/>
                <w:color w:val="auto"/>
              </w:rPr>
            </w:pPr>
          </w:p>
        </w:tc>
        <w:tc>
          <w:tcPr>
            <w:tcW w:w="1240" w:type="dxa"/>
            <w:vAlign w:val="bottom"/>
            <w:vMerge w:val="continue"/>
            <w:shd w:val="clear" w:color="auto" w:fill="00359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800" w:type="dxa"/>
            <w:vAlign w:val="bottom"/>
            <w:shd w:val="clear" w:color="auto" w:fill="003595"/>
          </w:tcPr>
          <w:p>
            <w:pPr>
              <w:spacing w:after="0"/>
              <w:rPr>
                <w:sz w:val="12"/>
                <w:szCs w:val="12"/>
                <w:color w:val="auto"/>
              </w:rPr>
            </w:pPr>
          </w:p>
        </w:tc>
        <w:tc>
          <w:tcPr>
            <w:tcW w:w="340" w:type="dxa"/>
            <w:vAlign w:val="bottom"/>
            <w:shd w:val="clear" w:color="auto" w:fill="003595"/>
          </w:tcPr>
          <w:p>
            <w:pPr>
              <w:spacing w:after="0"/>
              <w:rPr>
                <w:sz w:val="12"/>
                <w:szCs w:val="12"/>
                <w:color w:val="auto"/>
              </w:rPr>
            </w:pPr>
          </w:p>
        </w:tc>
        <w:tc>
          <w:tcPr>
            <w:tcW w:w="40" w:type="dxa"/>
            <w:vAlign w:val="bottom"/>
            <w:shd w:val="clear" w:color="auto" w:fill="003595"/>
          </w:tcPr>
          <w:p>
            <w:pPr>
              <w:spacing w:after="0"/>
              <w:rPr>
                <w:sz w:val="12"/>
                <w:szCs w:val="12"/>
                <w:color w:val="auto"/>
              </w:rPr>
            </w:pPr>
          </w:p>
        </w:tc>
        <w:tc>
          <w:tcPr>
            <w:tcW w:w="280" w:type="dxa"/>
            <w:vAlign w:val="bottom"/>
            <w:shd w:val="clear" w:color="auto" w:fill="003595"/>
          </w:tcPr>
          <w:p>
            <w:pPr>
              <w:spacing w:after="0"/>
              <w:rPr>
                <w:sz w:val="12"/>
                <w:szCs w:val="12"/>
                <w:color w:val="auto"/>
              </w:rPr>
            </w:pPr>
          </w:p>
        </w:tc>
        <w:tc>
          <w:tcPr>
            <w:tcW w:w="40" w:type="dxa"/>
            <w:vAlign w:val="bottom"/>
            <w:shd w:val="clear" w:color="auto" w:fill="003595"/>
          </w:tcPr>
          <w:p>
            <w:pPr>
              <w:spacing w:after="0"/>
              <w:rPr>
                <w:sz w:val="12"/>
                <w:szCs w:val="12"/>
                <w:color w:val="auto"/>
              </w:rPr>
            </w:pPr>
          </w:p>
        </w:tc>
        <w:tc>
          <w:tcPr>
            <w:tcW w:w="340" w:type="dxa"/>
            <w:vAlign w:val="bottom"/>
            <w:shd w:val="clear" w:color="auto" w:fill="003595"/>
          </w:tcPr>
          <w:p>
            <w:pPr>
              <w:spacing w:after="0"/>
              <w:rPr>
                <w:sz w:val="12"/>
                <w:szCs w:val="12"/>
                <w:color w:val="auto"/>
              </w:rPr>
            </w:pPr>
          </w:p>
        </w:tc>
        <w:tc>
          <w:tcPr>
            <w:tcW w:w="1040" w:type="dxa"/>
            <w:vAlign w:val="bottom"/>
            <w:shd w:val="clear" w:color="auto" w:fill="003595"/>
          </w:tcPr>
          <w:p>
            <w:pPr>
              <w:spacing w:after="0"/>
              <w:rPr>
                <w:sz w:val="12"/>
                <w:szCs w:val="12"/>
                <w:color w:val="auto"/>
              </w:rPr>
            </w:pPr>
          </w:p>
        </w:tc>
        <w:tc>
          <w:tcPr>
            <w:tcW w:w="1140" w:type="dxa"/>
            <w:vAlign w:val="bottom"/>
            <w:shd w:val="clear" w:color="auto" w:fill="003595"/>
          </w:tcPr>
          <w:p>
            <w:pPr>
              <w:spacing w:after="0"/>
              <w:rPr>
                <w:sz w:val="12"/>
                <w:szCs w:val="12"/>
                <w:color w:val="auto"/>
              </w:rPr>
            </w:pPr>
          </w:p>
        </w:tc>
        <w:tc>
          <w:tcPr>
            <w:tcW w:w="920" w:type="dxa"/>
            <w:vAlign w:val="bottom"/>
            <w:shd w:val="clear" w:color="auto" w:fill="003595"/>
          </w:tcPr>
          <w:p>
            <w:pPr>
              <w:spacing w:after="0"/>
              <w:rPr>
                <w:sz w:val="12"/>
                <w:szCs w:val="12"/>
                <w:color w:val="auto"/>
              </w:rPr>
            </w:pPr>
          </w:p>
        </w:tc>
        <w:tc>
          <w:tcPr>
            <w:tcW w:w="960" w:type="dxa"/>
            <w:vAlign w:val="bottom"/>
            <w:shd w:val="clear" w:color="auto" w:fill="003595"/>
          </w:tcPr>
          <w:p>
            <w:pPr>
              <w:spacing w:after="0"/>
              <w:rPr>
                <w:sz w:val="12"/>
                <w:szCs w:val="12"/>
                <w:color w:val="auto"/>
              </w:rPr>
            </w:pPr>
          </w:p>
        </w:tc>
        <w:tc>
          <w:tcPr>
            <w:tcW w:w="880" w:type="dxa"/>
            <w:vAlign w:val="bottom"/>
            <w:shd w:val="clear" w:color="auto" w:fill="003595"/>
          </w:tcPr>
          <w:p>
            <w:pPr>
              <w:spacing w:after="0"/>
              <w:rPr>
                <w:sz w:val="12"/>
                <w:szCs w:val="12"/>
                <w:color w:val="auto"/>
              </w:rPr>
            </w:pPr>
          </w:p>
        </w:tc>
        <w:tc>
          <w:tcPr>
            <w:tcW w:w="840" w:type="dxa"/>
            <w:vAlign w:val="bottom"/>
            <w:shd w:val="clear" w:color="auto" w:fill="003595"/>
          </w:tcPr>
          <w:p>
            <w:pPr>
              <w:spacing w:after="0"/>
              <w:rPr>
                <w:sz w:val="12"/>
                <w:szCs w:val="12"/>
                <w:color w:val="auto"/>
              </w:rPr>
            </w:pPr>
          </w:p>
        </w:tc>
        <w:tc>
          <w:tcPr>
            <w:tcW w:w="1380" w:type="dxa"/>
            <w:vAlign w:val="bottom"/>
            <w:shd w:val="clear" w:color="auto" w:fill="003595"/>
          </w:tcPr>
          <w:p>
            <w:pPr>
              <w:jc w:val="center"/>
              <w:ind w:left="63"/>
              <w:spacing w:after="0"/>
              <w:rPr>
                <w:sz w:val="20"/>
                <w:szCs w:val="20"/>
                <w:color w:val="auto"/>
              </w:rPr>
            </w:pPr>
            <w:r>
              <w:rPr>
                <w:rFonts w:ascii="Arial" w:cs="Arial" w:eastAsia="Arial" w:hAnsi="Arial"/>
                <w:sz w:val="11"/>
                <w:szCs w:val="11"/>
                <w:b w:val="1"/>
                <w:bCs w:val="1"/>
                <w:color w:val="FFFFFF"/>
                <w:w w:val="96"/>
              </w:rPr>
              <w:t>(#)(5)</w:t>
            </w:r>
          </w:p>
        </w:tc>
        <w:tc>
          <w:tcPr>
            <w:tcW w:w="1240" w:type="dxa"/>
            <w:vAlign w:val="bottom"/>
            <w:shd w:val="clear" w:color="auto" w:fill="003595"/>
          </w:tcPr>
          <w:p>
            <w:pPr>
              <w:jc w:val="center"/>
              <w:spacing w:after="0"/>
              <w:rPr>
                <w:sz w:val="20"/>
                <w:szCs w:val="20"/>
                <w:color w:val="auto"/>
              </w:rPr>
            </w:pPr>
            <w:r>
              <w:rPr>
                <w:rFonts w:ascii="Arial" w:cs="Arial" w:eastAsia="Arial" w:hAnsi="Arial"/>
                <w:sz w:val="11"/>
                <w:szCs w:val="11"/>
                <w:b w:val="1"/>
                <w:bCs w:val="1"/>
                <w:color w:val="FFFFFF"/>
                <w:w w:val="99"/>
              </w:rPr>
              <w:t>not Vested</w:t>
            </w:r>
          </w:p>
        </w:tc>
        <w:tc>
          <w:tcPr>
            <w:tcW w:w="0" w:type="dxa"/>
            <w:vAlign w:val="bottom"/>
          </w:tcPr>
          <w:p>
            <w:pPr>
              <w:spacing w:after="0"/>
              <w:rPr>
                <w:sz w:val="1"/>
                <w:szCs w:val="1"/>
                <w:color w:val="auto"/>
              </w:rPr>
            </w:pPr>
          </w:p>
        </w:tc>
      </w:tr>
      <w:tr>
        <w:trPr>
          <w:trHeight w:val="155"/>
        </w:trPr>
        <w:tc>
          <w:tcPr>
            <w:tcW w:w="1800" w:type="dxa"/>
            <w:vAlign w:val="bottom"/>
            <w:tcBorders>
              <w:bottom w:val="single" w:sz="8" w:color="003595"/>
            </w:tcBorders>
            <w:shd w:val="clear" w:color="auto" w:fill="003595"/>
          </w:tcPr>
          <w:p>
            <w:pPr>
              <w:spacing w:after="0"/>
              <w:rPr>
                <w:sz w:val="13"/>
                <w:szCs w:val="13"/>
                <w:color w:val="auto"/>
              </w:rPr>
            </w:pPr>
          </w:p>
        </w:tc>
        <w:tc>
          <w:tcPr>
            <w:tcW w:w="340" w:type="dxa"/>
            <w:vAlign w:val="bottom"/>
            <w:tcBorders>
              <w:bottom w:val="single" w:sz="8" w:color="003595"/>
            </w:tcBorders>
            <w:shd w:val="clear" w:color="auto" w:fill="003595"/>
          </w:tcPr>
          <w:p>
            <w:pPr>
              <w:spacing w:after="0"/>
              <w:rPr>
                <w:sz w:val="13"/>
                <w:szCs w:val="13"/>
                <w:color w:val="auto"/>
              </w:rPr>
            </w:pPr>
          </w:p>
        </w:tc>
        <w:tc>
          <w:tcPr>
            <w:tcW w:w="40" w:type="dxa"/>
            <w:vAlign w:val="bottom"/>
            <w:tcBorders>
              <w:bottom w:val="single" w:sz="8" w:color="003595"/>
            </w:tcBorders>
            <w:shd w:val="clear" w:color="auto" w:fill="003595"/>
          </w:tcPr>
          <w:p>
            <w:pPr>
              <w:spacing w:after="0"/>
              <w:rPr>
                <w:sz w:val="13"/>
                <w:szCs w:val="13"/>
                <w:color w:val="auto"/>
              </w:rPr>
            </w:pPr>
          </w:p>
        </w:tc>
        <w:tc>
          <w:tcPr>
            <w:tcW w:w="280" w:type="dxa"/>
            <w:vAlign w:val="bottom"/>
            <w:tcBorders>
              <w:bottom w:val="single" w:sz="8" w:color="003595"/>
            </w:tcBorders>
            <w:shd w:val="clear" w:color="auto" w:fill="003595"/>
          </w:tcPr>
          <w:p>
            <w:pPr>
              <w:spacing w:after="0"/>
              <w:rPr>
                <w:sz w:val="13"/>
                <w:szCs w:val="13"/>
                <w:color w:val="auto"/>
              </w:rPr>
            </w:pPr>
          </w:p>
        </w:tc>
        <w:tc>
          <w:tcPr>
            <w:tcW w:w="40" w:type="dxa"/>
            <w:vAlign w:val="bottom"/>
            <w:tcBorders>
              <w:bottom w:val="single" w:sz="8" w:color="003595"/>
            </w:tcBorders>
            <w:shd w:val="clear" w:color="auto" w:fill="003595"/>
          </w:tcPr>
          <w:p>
            <w:pPr>
              <w:spacing w:after="0"/>
              <w:rPr>
                <w:sz w:val="13"/>
                <w:szCs w:val="13"/>
                <w:color w:val="auto"/>
              </w:rPr>
            </w:pPr>
          </w:p>
        </w:tc>
        <w:tc>
          <w:tcPr>
            <w:tcW w:w="340" w:type="dxa"/>
            <w:vAlign w:val="bottom"/>
            <w:tcBorders>
              <w:bottom w:val="single" w:sz="8" w:color="003595"/>
            </w:tcBorders>
            <w:shd w:val="clear" w:color="auto" w:fill="003595"/>
          </w:tcPr>
          <w:p>
            <w:pPr>
              <w:spacing w:after="0"/>
              <w:rPr>
                <w:sz w:val="13"/>
                <w:szCs w:val="13"/>
                <w:color w:val="auto"/>
              </w:rPr>
            </w:pPr>
          </w:p>
        </w:tc>
        <w:tc>
          <w:tcPr>
            <w:tcW w:w="1040" w:type="dxa"/>
            <w:vAlign w:val="bottom"/>
            <w:tcBorders>
              <w:bottom w:val="single" w:sz="8" w:color="003595"/>
            </w:tcBorders>
            <w:shd w:val="clear" w:color="auto" w:fill="003595"/>
          </w:tcPr>
          <w:p>
            <w:pPr>
              <w:spacing w:after="0"/>
              <w:rPr>
                <w:sz w:val="13"/>
                <w:szCs w:val="13"/>
                <w:color w:val="auto"/>
              </w:rPr>
            </w:pPr>
          </w:p>
        </w:tc>
        <w:tc>
          <w:tcPr>
            <w:tcW w:w="1140" w:type="dxa"/>
            <w:vAlign w:val="bottom"/>
            <w:tcBorders>
              <w:bottom w:val="single" w:sz="8" w:color="003595"/>
            </w:tcBorders>
            <w:shd w:val="clear" w:color="auto" w:fill="003595"/>
          </w:tcPr>
          <w:p>
            <w:pPr>
              <w:spacing w:after="0"/>
              <w:rPr>
                <w:sz w:val="13"/>
                <w:szCs w:val="13"/>
                <w:color w:val="auto"/>
              </w:rPr>
            </w:pPr>
          </w:p>
        </w:tc>
        <w:tc>
          <w:tcPr>
            <w:tcW w:w="920" w:type="dxa"/>
            <w:vAlign w:val="bottom"/>
            <w:tcBorders>
              <w:bottom w:val="single" w:sz="8" w:color="003595"/>
            </w:tcBorders>
            <w:shd w:val="clear" w:color="auto" w:fill="003595"/>
          </w:tcPr>
          <w:p>
            <w:pPr>
              <w:spacing w:after="0"/>
              <w:rPr>
                <w:sz w:val="13"/>
                <w:szCs w:val="13"/>
                <w:color w:val="auto"/>
              </w:rPr>
            </w:pPr>
          </w:p>
        </w:tc>
        <w:tc>
          <w:tcPr>
            <w:tcW w:w="960" w:type="dxa"/>
            <w:vAlign w:val="bottom"/>
            <w:tcBorders>
              <w:bottom w:val="single" w:sz="8" w:color="003595"/>
            </w:tcBorders>
            <w:shd w:val="clear" w:color="auto" w:fill="003595"/>
          </w:tcPr>
          <w:p>
            <w:pPr>
              <w:spacing w:after="0"/>
              <w:rPr>
                <w:sz w:val="13"/>
                <w:szCs w:val="13"/>
                <w:color w:val="auto"/>
              </w:rPr>
            </w:pPr>
          </w:p>
        </w:tc>
        <w:tc>
          <w:tcPr>
            <w:tcW w:w="880" w:type="dxa"/>
            <w:vAlign w:val="bottom"/>
            <w:tcBorders>
              <w:bottom w:val="single" w:sz="8" w:color="003595"/>
            </w:tcBorders>
            <w:shd w:val="clear" w:color="auto" w:fill="003595"/>
          </w:tcPr>
          <w:p>
            <w:pPr>
              <w:spacing w:after="0"/>
              <w:rPr>
                <w:sz w:val="13"/>
                <w:szCs w:val="13"/>
                <w:color w:val="auto"/>
              </w:rPr>
            </w:pPr>
          </w:p>
        </w:tc>
        <w:tc>
          <w:tcPr>
            <w:tcW w:w="840" w:type="dxa"/>
            <w:vAlign w:val="bottom"/>
            <w:tcBorders>
              <w:bottom w:val="single" w:sz="8" w:color="003595"/>
            </w:tcBorders>
            <w:shd w:val="clear" w:color="auto" w:fill="003595"/>
          </w:tcPr>
          <w:p>
            <w:pPr>
              <w:spacing w:after="0"/>
              <w:rPr>
                <w:sz w:val="13"/>
                <w:szCs w:val="13"/>
                <w:color w:val="auto"/>
              </w:rPr>
            </w:pPr>
          </w:p>
        </w:tc>
        <w:tc>
          <w:tcPr>
            <w:tcW w:w="1380" w:type="dxa"/>
            <w:vAlign w:val="bottom"/>
            <w:tcBorders>
              <w:bottom w:val="single" w:sz="8" w:color="003595"/>
            </w:tcBorders>
            <w:shd w:val="clear" w:color="auto" w:fill="003595"/>
          </w:tcPr>
          <w:p>
            <w:pPr>
              <w:spacing w:after="0"/>
              <w:rPr>
                <w:sz w:val="13"/>
                <w:szCs w:val="13"/>
                <w:color w:val="auto"/>
              </w:rPr>
            </w:pPr>
          </w:p>
        </w:tc>
        <w:tc>
          <w:tcPr>
            <w:tcW w:w="124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1"/>
                <w:szCs w:val="11"/>
                <w:b w:val="1"/>
                <w:bCs w:val="1"/>
                <w:color w:val="FFFFFF"/>
              </w:rPr>
              <w:t>($)(4)</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03/14/2024</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tcPr>
          <w:p>
            <w:pPr>
              <w:jc w:val="center"/>
              <w:ind w:left="43"/>
              <w:spacing w:after="0"/>
              <w:rPr>
                <w:sz w:val="20"/>
                <w:szCs w:val="20"/>
                <w:color w:val="auto"/>
              </w:rPr>
            </w:pPr>
            <w:r>
              <w:rPr>
                <w:rFonts w:ascii="Arial" w:cs="Arial" w:eastAsia="Arial" w:hAnsi="Arial"/>
                <w:sz w:val="12"/>
                <w:szCs w:val="12"/>
                <w:color w:val="auto"/>
                <w:w w:val="93"/>
              </w:rPr>
              <w:t>7,500</w:t>
            </w:r>
          </w:p>
        </w:tc>
        <w:tc>
          <w:tcPr>
            <w:tcW w:w="1240" w:type="dxa"/>
            <w:vAlign w:val="bottom"/>
          </w:tcPr>
          <w:p>
            <w:pPr>
              <w:jc w:val="center"/>
              <w:spacing w:after="0"/>
              <w:rPr>
                <w:sz w:val="20"/>
                <w:szCs w:val="20"/>
                <w:color w:val="auto"/>
              </w:rPr>
            </w:pPr>
            <w:r>
              <w:rPr>
                <w:rFonts w:ascii="Arial" w:cs="Arial" w:eastAsia="Arial" w:hAnsi="Arial"/>
                <w:sz w:val="12"/>
                <w:szCs w:val="12"/>
                <w:color w:val="auto"/>
              </w:rPr>
              <w:t>$46,125</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03/13/2025</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4,000</w:t>
            </w:r>
          </w:p>
        </w:tc>
        <w:tc>
          <w:tcPr>
            <w:tcW w:w="840" w:type="dxa"/>
            <w:vAlign w:val="bottom"/>
          </w:tcPr>
          <w:p>
            <w:pPr>
              <w:jc w:val="center"/>
              <w:ind w:left="83"/>
              <w:spacing w:after="0"/>
              <w:rPr>
                <w:sz w:val="20"/>
                <w:szCs w:val="20"/>
                <w:color w:val="auto"/>
              </w:rPr>
            </w:pPr>
            <w:r>
              <w:rPr>
                <w:rFonts w:ascii="Arial" w:cs="Arial" w:eastAsia="Arial" w:hAnsi="Arial"/>
                <w:sz w:val="12"/>
                <w:szCs w:val="12"/>
                <w:color w:val="auto"/>
                <w:w w:val="96"/>
              </w:rPr>
              <w:t>$24,600</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06/05/2025</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center"/>
              <w:ind w:left="43"/>
              <w:spacing w:after="0"/>
              <w:rPr>
                <w:sz w:val="20"/>
                <w:szCs w:val="20"/>
                <w:color w:val="auto"/>
              </w:rPr>
            </w:pPr>
            <w:r>
              <w:rPr>
                <w:rFonts w:ascii="Arial" w:cs="Arial" w:eastAsia="Arial" w:hAnsi="Arial"/>
                <w:sz w:val="12"/>
                <w:szCs w:val="12"/>
                <w:color w:val="auto"/>
                <w:w w:val="93"/>
              </w:rPr>
              <w:t>4,000</w:t>
            </w:r>
          </w:p>
        </w:tc>
        <w:tc>
          <w:tcPr>
            <w:tcW w:w="1240" w:type="dxa"/>
            <w:vAlign w:val="bottom"/>
          </w:tcPr>
          <w:p>
            <w:pPr>
              <w:jc w:val="center"/>
              <w:spacing w:after="0"/>
              <w:rPr>
                <w:sz w:val="20"/>
                <w:szCs w:val="20"/>
                <w:color w:val="auto"/>
              </w:rPr>
            </w:pPr>
            <w:r>
              <w:rPr>
                <w:rFonts w:ascii="Arial" w:cs="Arial" w:eastAsia="Arial" w:hAnsi="Arial"/>
                <w:sz w:val="12"/>
                <w:szCs w:val="12"/>
                <w:color w:val="auto"/>
              </w:rPr>
              <w:t>$24,600</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08/16/2025</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60,000</w:t>
            </w:r>
          </w:p>
        </w:tc>
        <w:tc>
          <w:tcPr>
            <w:tcW w:w="840" w:type="dxa"/>
            <w:vAlign w:val="bottom"/>
          </w:tcPr>
          <w:p>
            <w:pPr>
              <w:jc w:val="center"/>
              <w:ind w:left="63"/>
              <w:spacing w:after="0"/>
              <w:rPr>
                <w:sz w:val="20"/>
                <w:szCs w:val="20"/>
                <w:color w:val="auto"/>
              </w:rPr>
            </w:pPr>
            <w:r>
              <w:rPr>
                <w:rFonts w:ascii="Arial" w:cs="Arial" w:eastAsia="Arial" w:hAnsi="Arial"/>
                <w:sz w:val="12"/>
                <w:szCs w:val="12"/>
                <w:color w:val="auto"/>
                <w:w w:val="95"/>
              </w:rPr>
              <w:t>$369,000</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00" w:type="dxa"/>
            <w:vAlign w:val="bottom"/>
            <w:tcBorders>
              <w:bottom w:val="single" w:sz="8" w:color="0A2299"/>
            </w:tcBorders>
          </w:tcPr>
          <w:p>
            <w:pPr>
              <w:spacing w:after="0"/>
              <w:rPr>
                <w:sz w:val="17"/>
                <w:szCs w:val="17"/>
                <w:color w:val="auto"/>
              </w:rPr>
            </w:pPr>
          </w:p>
        </w:tc>
        <w:tc>
          <w:tcPr>
            <w:tcW w:w="1040" w:type="dxa"/>
            <w:vAlign w:val="bottom"/>
            <w:tcBorders>
              <w:bottom w:val="single" w:sz="8" w:color="0A2299"/>
            </w:tcBorders>
            <w:gridSpan w:val="5"/>
          </w:tcPr>
          <w:p>
            <w:pPr>
              <w:jc w:val="center"/>
              <w:spacing w:after="0"/>
              <w:rPr>
                <w:sz w:val="20"/>
                <w:szCs w:val="20"/>
                <w:color w:val="auto"/>
              </w:rPr>
            </w:pPr>
            <w:r>
              <w:rPr>
                <w:rFonts w:ascii="Arial" w:cs="Arial" w:eastAsia="Arial" w:hAnsi="Arial"/>
                <w:sz w:val="12"/>
                <w:szCs w:val="12"/>
                <w:color w:val="auto"/>
                <w:w w:val="96"/>
              </w:rPr>
              <w:t>08/16/2025</w:t>
            </w:r>
          </w:p>
        </w:tc>
        <w:tc>
          <w:tcPr>
            <w:tcW w:w="1040" w:type="dxa"/>
            <w:vAlign w:val="bottom"/>
            <w:tcBorders>
              <w:bottom w:val="single" w:sz="8" w:color="0A2299"/>
            </w:tcBorders>
          </w:tcPr>
          <w:p>
            <w:pPr>
              <w:spacing w:after="0"/>
              <w:rPr>
                <w:sz w:val="17"/>
                <w:szCs w:val="17"/>
                <w:color w:val="auto"/>
              </w:rPr>
            </w:pPr>
          </w:p>
        </w:tc>
        <w:tc>
          <w:tcPr>
            <w:tcW w:w="1140" w:type="dxa"/>
            <w:vAlign w:val="bottom"/>
            <w:tcBorders>
              <w:bottom w:val="single" w:sz="8" w:color="0A2299"/>
            </w:tcBorders>
          </w:tcPr>
          <w:p>
            <w:pPr>
              <w:spacing w:after="0"/>
              <w:rPr>
                <w:sz w:val="17"/>
                <w:szCs w:val="17"/>
                <w:color w:val="auto"/>
              </w:rPr>
            </w:pPr>
          </w:p>
        </w:tc>
        <w:tc>
          <w:tcPr>
            <w:tcW w:w="920" w:type="dxa"/>
            <w:vAlign w:val="bottom"/>
            <w:tcBorders>
              <w:bottom w:val="single" w:sz="8" w:color="0A2299"/>
            </w:tcBorders>
          </w:tcPr>
          <w:p>
            <w:pPr>
              <w:spacing w:after="0"/>
              <w:rPr>
                <w:sz w:val="17"/>
                <w:szCs w:val="17"/>
                <w:color w:val="auto"/>
              </w:rPr>
            </w:pPr>
          </w:p>
        </w:tc>
        <w:tc>
          <w:tcPr>
            <w:tcW w:w="960" w:type="dxa"/>
            <w:vAlign w:val="bottom"/>
            <w:tcBorders>
              <w:bottom w:val="single" w:sz="8" w:color="0A2299"/>
            </w:tcBorders>
          </w:tcPr>
          <w:p>
            <w:pPr>
              <w:spacing w:after="0"/>
              <w:rPr>
                <w:sz w:val="17"/>
                <w:szCs w:val="17"/>
                <w:color w:val="auto"/>
              </w:rPr>
            </w:pPr>
          </w:p>
        </w:tc>
        <w:tc>
          <w:tcPr>
            <w:tcW w:w="880" w:type="dxa"/>
            <w:vAlign w:val="bottom"/>
            <w:tcBorders>
              <w:bottom w:val="single" w:sz="8" w:color="0A2299"/>
            </w:tcBorders>
          </w:tcPr>
          <w:p>
            <w:pPr>
              <w:spacing w:after="0"/>
              <w:rPr>
                <w:sz w:val="17"/>
                <w:szCs w:val="17"/>
                <w:color w:val="auto"/>
              </w:rPr>
            </w:pPr>
          </w:p>
        </w:tc>
        <w:tc>
          <w:tcPr>
            <w:tcW w:w="840" w:type="dxa"/>
            <w:vAlign w:val="bottom"/>
            <w:tcBorders>
              <w:bottom w:val="single" w:sz="8" w:color="0A2299"/>
            </w:tcBorders>
          </w:tcPr>
          <w:p>
            <w:pPr>
              <w:spacing w:after="0"/>
              <w:rPr>
                <w:sz w:val="17"/>
                <w:szCs w:val="17"/>
                <w:color w:val="auto"/>
              </w:rPr>
            </w:pPr>
          </w:p>
        </w:tc>
        <w:tc>
          <w:tcPr>
            <w:tcW w:w="1380" w:type="dxa"/>
            <w:vAlign w:val="bottom"/>
            <w:tcBorders>
              <w:bottom w:val="single" w:sz="8" w:color="0A2299"/>
            </w:tcBorders>
          </w:tcPr>
          <w:p>
            <w:pPr>
              <w:jc w:val="center"/>
              <w:ind w:left="43"/>
              <w:spacing w:after="0"/>
              <w:rPr>
                <w:sz w:val="20"/>
                <w:szCs w:val="20"/>
                <w:color w:val="auto"/>
              </w:rPr>
            </w:pPr>
            <w:r>
              <w:rPr>
                <w:rFonts w:ascii="Arial" w:cs="Arial" w:eastAsia="Arial" w:hAnsi="Arial"/>
                <w:sz w:val="12"/>
                <w:szCs w:val="12"/>
                <w:color w:val="auto"/>
                <w:w w:val="97"/>
              </w:rPr>
              <w:t>60,000</w:t>
            </w:r>
          </w:p>
        </w:tc>
        <w:tc>
          <w:tcPr>
            <w:tcW w:w="1240" w:type="dxa"/>
            <w:vAlign w:val="bottom"/>
            <w:tcBorders>
              <w:bottom w:val="single" w:sz="8" w:color="0A2299"/>
            </w:tcBorders>
          </w:tcPr>
          <w:p>
            <w:pPr>
              <w:jc w:val="center"/>
              <w:spacing w:after="0"/>
              <w:rPr>
                <w:sz w:val="20"/>
                <w:szCs w:val="20"/>
                <w:color w:val="auto"/>
              </w:rPr>
            </w:pPr>
            <w:r>
              <w:rPr>
                <w:rFonts w:ascii="Arial" w:cs="Arial" w:eastAsia="Arial" w:hAnsi="Arial"/>
                <w:sz w:val="12"/>
                <w:szCs w:val="12"/>
                <w:color w:val="auto"/>
                <w:w w:val="95"/>
              </w:rPr>
              <w:t>$369,000</w:t>
            </w:r>
          </w:p>
        </w:tc>
        <w:tc>
          <w:tcPr>
            <w:tcW w:w="0" w:type="dxa"/>
            <w:vAlign w:val="bottom"/>
          </w:tcPr>
          <w:p>
            <w:pPr>
              <w:spacing w:after="0"/>
              <w:rPr>
                <w:sz w:val="1"/>
                <w:szCs w:val="1"/>
                <w:color w:val="auto"/>
              </w:rPr>
            </w:pPr>
          </w:p>
        </w:tc>
      </w:tr>
      <w:tr>
        <w:trPr>
          <w:trHeight w:val="183"/>
        </w:trPr>
        <w:tc>
          <w:tcPr>
            <w:tcW w:w="1800" w:type="dxa"/>
            <w:vAlign w:val="bottom"/>
            <w:tcBorders>
              <w:bottom w:val="single" w:sz="8" w:color="0A2299"/>
            </w:tcBorders>
          </w:tcPr>
          <w:p>
            <w:pPr>
              <w:ind w:left="20"/>
              <w:spacing w:after="0"/>
              <w:rPr>
                <w:sz w:val="20"/>
                <w:szCs w:val="20"/>
                <w:color w:val="auto"/>
              </w:rPr>
            </w:pPr>
            <w:r>
              <w:rPr>
                <w:rFonts w:ascii="Arial" w:cs="Arial" w:eastAsia="Arial" w:hAnsi="Arial"/>
                <w:sz w:val="12"/>
                <w:szCs w:val="12"/>
                <w:color w:val="auto"/>
              </w:rPr>
              <w:t>Scott J. Leffler</w:t>
            </w:r>
          </w:p>
        </w:tc>
        <w:tc>
          <w:tcPr>
            <w:tcW w:w="1040" w:type="dxa"/>
            <w:vAlign w:val="bottom"/>
            <w:tcBorders>
              <w:bottom w:val="single" w:sz="8" w:color="003595"/>
            </w:tcBorders>
            <w:gridSpan w:val="5"/>
          </w:tcPr>
          <w:p>
            <w:pPr>
              <w:jc w:val="center"/>
              <w:spacing w:after="0"/>
              <w:rPr>
                <w:sz w:val="20"/>
                <w:szCs w:val="20"/>
                <w:color w:val="auto"/>
              </w:rPr>
            </w:pPr>
            <w:r>
              <w:rPr>
                <w:rFonts w:ascii="Arial" w:cs="Arial" w:eastAsia="Arial" w:hAnsi="Arial"/>
                <w:sz w:val="12"/>
                <w:szCs w:val="12"/>
                <w:color w:val="auto"/>
                <w:w w:val="96"/>
              </w:rPr>
              <w:t>03/14/2024</w:t>
            </w:r>
          </w:p>
        </w:tc>
        <w:tc>
          <w:tcPr>
            <w:tcW w:w="1040" w:type="dxa"/>
            <w:vAlign w:val="bottom"/>
            <w:tcBorders>
              <w:bottom w:val="single" w:sz="8" w:color="003595"/>
            </w:tcBorders>
          </w:tcPr>
          <w:p>
            <w:pPr>
              <w:spacing w:after="0"/>
              <w:rPr>
                <w:sz w:val="15"/>
                <w:szCs w:val="15"/>
                <w:color w:val="auto"/>
              </w:rPr>
            </w:pPr>
          </w:p>
        </w:tc>
        <w:tc>
          <w:tcPr>
            <w:tcW w:w="1140" w:type="dxa"/>
            <w:vAlign w:val="bottom"/>
            <w:tcBorders>
              <w:bottom w:val="single" w:sz="8" w:color="003595"/>
            </w:tcBorders>
          </w:tcPr>
          <w:p>
            <w:pPr>
              <w:spacing w:after="0"/>
              <w:rPr>
                <w:sz w:val="15"/>
                <w:szCs w:val="15"/>
                <w:color w:val="auto"/>
              </w:rPr>
            </w:pPr>
          </w:p>
        </w:tc>
        <w:tc>
          <w:tcPr>
            <w:tcW w:w="920" w:type="dxa"/>
            <w:vAlign w:val="bottom"/>
            <w:tcBorders>
              <w:bottom w:val="single" w:sz="8" w:color="003595"/>
            </w:tcBorders>
          </w:tcPr>
          <w:p>
            <w:pPr>
              <w:spacing w:after="0"/>
              <w:rPr>
                <w:sz w:val="15"/>
                <w:szCs w:val="15"/>
                <w:color w:val="auto"/>
              </w:rPr>
            </w:pPr>
          </w:p>
        </w:tc>
        <w:tc>
          <w:tcPr>
            <w:tcW w:w="960" w:type="dxa"/>
            <w:vAlign w:val="bottom"/>
            <w:tcBorders>
              <w:bottom w:val="single" w:sz="8" w:color="003595"/>
            </w:tcBorders>
          </w:tcPr>
          <w:p>
            <w:pPr>
              <w:spacing w:after="0"/>
              <w:rPr>
                <w:sz w:val="15"/>
                <w:szCs w:val="15"/>
                <w:color w:val="auto"/>
              </w:rPr>
            </w:pPr>
          </w:p>
        </w:tc>
        <w:tc>
          <w:tcPr>
            <w:tcW w:w="880" w:type="dxa"/>
            <w:vAlign w:val="bottom"/>
            <w:tcBorders>
              <w:bottom w:val="single" w:sz="8" w:color="003595"/>
            </w:tcBorders>
          </w:tcPr>
          <w:p>
            <w:pPr>
              <w:spacing w:after="0"/>
              <w:rPr>
                <w:sz w:val="15"/>
                <w:szCs w:val="15"/>
                <w:color w:val="auto"/>
              </w:rPr>
            </w:pPr>
          </w:p>
        </w:tc>
        <w:tc>
          <w:tcPr>
            <w:tcW w:w="840" w:type="dxa"/>
            <w:vAlign w:val="bottom"/>
            <w:tcBorders>
              <w:bottom w:val="single" w:sz="8" w:color="003595"/>
            </w:tcBorders>
          </w:tcPr>
          <w:p>
            <w:pPr>
              <w:spacing w:after="0"/>
              <w:rPr>
                <w:sz w:val="15"/>
                <w:szCs w:val="15"/>
                <w:color w:val="auto"/>
              </w:rPr>
            </w:pPr>
          </w:p>
        </w:tc>
        <w:tc>
          <w:tcPr>
            <w:tcW w:w="1380" w:type="dxa"/>
            <w:vAlign w:val="bottom"/>
            <w:tcBorders>
              <w:bottom w:val="single" w:sz="8" w:color="003595"/>
            </w:tcBorders>
          </w:tcPr>
          <w:p>
            <w:pPr>
              <w:jc w:val="center"/>
              <w:ind w:left="43"/>
              <w:spacing w:after="0"/>
              <w:rPr>
                <w:sz w:val="20"/>
                <w:szCs w:val="20"/>
                <w:color w:val="auto"/>
              </w:rPr>
            </w:pPr>
            <w:r>
              <w:rPr>
                <w:rFonts w:ascii="Arial" w:cs="Arial" w:eastAsia="Arial" w:hAnsi="Arial"/>
                <w:sz w:val="12"/>
                <w:szCs w:val="12"/>
                <w:color w:val="auto"/>
                <w:w w:val="97"/>
              </w:rPr>
              <w:t>46,904</w:t>
            </w:r>
          </w:p>
        </w:tc>
        <w:tc>
          <w:tcPr>
            <w:tcW w:w="12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5"/>
              </w:rPr>
              <w:t>$288,460</w:t>
            </w:r>
          </w:p>
        </w:tc>
        <w:tc>
          <w:tcPr>
            <w:tcW w:w="0" w:type="dxa"/>
            <w:vAlign w:val="bottom"/>
          </w:tcPr>
          <w:p>
            <w:pPr>
              <w:spacing w:after="0"/>
              <w:rPr>
                <w:sz w:val="1"/>
                <w:szCs w:val="1"/>
                <w:color w:val="auto"/>
              </w:rPr>
            </w:pPr>
          </w:p>
        </w:tc>
      </w:tr>
      <w:tr>
        <w:trPr>
          <w:trHeight w:val="171"/>
        </w:trPr>
        <w:tc>
          <w:tcPr>
            <w:tcW w:w="1800" w:type="dxa"/>
            <w:vAlign w:val="bottom"/>
          </w:tcPr>
          <w:p>
            <w:pPr>
              <w:ind w:left="20"/>
              <w:spacing w:after="0"/>
              <w:rPr>
                <w:sz w:val="20"/>
                <w:szCs w:val="20"/>
                <w:color w:val="auto"/>
              </w:rPr>
            </w:pPr>
            <w:r>
              <w:rPr>
                <w:rFonts w:ascii="Arial" w:cs="Arial" w:eastAsia="Arial" w:hAnsi="Arial"/>
                <w:sz w:val="12"/>
                <w:szCs w:val="12"/>
                <w:color w:val="auto"/>
              </w:rPr>
              <w:t>Mark S. Verratti</w:t>
            </w: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03/22/2022</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4,809</w:t>
            </w:r>
          </w:p>
        </w:tc>
        <w:tc>
          <w:tcPr>
            <w:tcW w:w="840" w:type="dxa"/>
            <w:vAlign w:val="bottom"/>
          </w:tcPr>
          <w:p>
            <w:pPr>
              <w:jc w:val="center"/>
              <w:ind w:left="83"/>
              <w:spacing w:after="0"/>
              <w:rPr>
                <w:sz w:val="20"/>
                <w:szCs w:val="20"/>
                <w:color w:val="auto"/>
              </w:rPr>
            </w:pPr>
            <w:r>
              <w:rPr>
                <w:rFonts w:ascii="Arial" w:cs="Arial" w:eastAsia="Arial" w:hAnsi="Arial"/>
                <w:sz w:val="12"/>
                <w:szCs w:val="12"/>
                <w:color w:val="auto"/>
                <w:w w:val="96"/>
              </w:rPr>
              <w:t>$29,575</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04/14/2022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2,500</w:t>
            </w:r>
          </w:p>
        </w:tc>
        <w:tc>
          <w:tcPr>
            <w:tcW w:w="840" w:type="dxa"/>
            <w:vAlign w:val="bottom"/>
          </w:tcPr>
          <w:p>
            <w:pPr>
              <w:jc w:val="center"/>
              <w:ind w:left="83"/>
              <w:spacing w:after="0"/>
              <w:rPr>
                <w:sz w:val="20"/>
                <w:szCs w:val="20"/>
                <w:color w:val="auto"/>
              </w:rPr>
            </w:pPr>
            <w:r>
              <w:rPr>
                <w:rFonts w:ascii="Arial" w:cs="Arial" w:eastAsia="Arial" w:hAnsi="Arial"/>
                <w:sz w:val="12"/>
                <w:szCs w:val="12"/>
                <w:color w:val="auto"/>
                <w:w w:val="96"/>
              </w:rPr>
              <w:t>$15,375</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03/15/2023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13,134</w:t>
            </w:r>
          </w:p>
        </w:tc>
        <w:tc>
          <w:tcPr>
            <w:tcW w:w="840" w:type="dxa"/>
            <w:vAlign w:val="bottom"/>
          </w:tcPr>
          <w:p>
            <w:pPr>
              <w:jc w:val="center"/>
              <w:ind w:left="83"/>
              <w:spacing w:after="0"/>
              <w:rPr>
                <w:sz w:val="20"/>
                <w:szCs w:val="20"/>
                <w:color w:val="auto"/>
              </w:rPr>
            </w:pPr>
            <w:r>
              <w:rPr>
                <w:rFonts w:ascii="Arial" w:cs="Arial" w:eastAsia="Arial" w:hAnsi="Arial"/>
                <w:sz w:val="12"/>
                <w:szCs w:val="12"/>
                <w:color w:val="auto"/>
                <w:w w:val="96"/>
              </w:rPr>
              <w:t>$80,774</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03/15/2023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center"/>
              <w:ind w:left="43"/>
              <w:spacing w:after="0"/>
              <w:rPr>
                <w:sz w:val="20"/>
                <w:szCs w:val="20"/>
                <w:color w:val="auto"/>
              </w:rPr>
            </w:pPr>
            <w:r>
              <w:rPr>
                <w:rFonts w:ascii="Arial" w:cs="Arial" w:eastAsia="Arial" w:hAnsi="Arial"/>
                <w:sz w:val="12"/>
                <w:szCs w:val="12"/>
                <w:color w:val="auto"/>
                <w:w w:val="97"/>
              </w:rPr>
              <w:t>39,404</w:t>
            </w: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$242,335</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03/14/2024</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39,087</w:t>
            </w:r>
          </w:p>
        </w:tc>
        <w:tc>
          <w:tcPr>
            <w:tcW w:w="840" w:type="dxa"/>
            <w:vAlign w:val="bottom"/>
          </w:tcPr>
          <w:p>
            <w:pPr>
              <w:jc w:val="center"/>
              <w:ind w:left="63"/>
              <w:spacing w:after="0"/>
              <w:rPr>
                <w:sz w:val="20"/>
                <w:szCs w:val="20"/>
                <w:color w:val="auto"/>
              </w:rPr>
            </w:pPr>
            <w:r>
              <w:rPr>
                <w:rFonts w:ascii="Arial" w:cs="Arial" w:eastAsia="Arial" w:hAnsi="Arial"/>
                <w:sz w:val="12"/>
                <w:szCs w:val="12"/>
                <w:color w:val="auto"/>
                <w:w w:val="95"/>
              </w:rPr>
              <w:t>$240,385</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03/14/2024</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center"/>
              <w:ind w:left="43"/>
              <w:spacing w:after="0"/>
              <w:rPr>
                <w:sz w:val="20"/>
                <w:szCs w:val="20"/>
                <w:color w:val="auto"/>
              </w:rPr>
            </w:pPr>
            <w:r>
              <w:rPr>
                <w:rFonts w:ascii="Arial" w:cs="Arial" w:eastAsia="Arial" w:hAnsi="Arial"/>
                <w:sz w:val="12"/>
                <w:szCs w:val="12"/>
                <w:color w:val="auto"/>
                <w:w w:val="97"/>
              </w:rPr>
              <w:t>58,630</w:t>
            </w: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$360,575</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03/13/2025</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99,227</w:t>
            </w:r>
          </w:p>
        </w:tc>
        <w:tc>
          <w:tcPr>
            <w:tcW w:w="840" w:type="dxa"/>
            <w:vAlign w:val="bottom"/>
          </w:tcPr>
          <w:p>
            <w:pPr>
              <w:jc w:val="center"/>
              <w:ind w:left="63"/>
              <w:spacing w:after="0"/>
              <w:rPr>
                <w:sz w:val="20"/>
                <w:szCs w:val="20"/>
                <w:color w:val="auto"/>
              </w:rPr>
            </w:pPr>
            <w:r>
              <w:rPr>
                <w:rFonts w:ascii="Arial" w:cs="Arial" w:eastAsia="Arial" w:hAnsi="Arial"/>
                <w:sz w:val="12"/>
                <w:szCs w:val="12"/>
                <w:color w:val="auto"/>
                <w:w w:val="95"/>
              </w:rPr>
              <w:t>$610,246</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00" w:type="dxa"/>
            <w:vAlign w:val="bottom"/>
          </w:tcPr>
          <w:p>
            <w:pPr>
              <w:spacing w:after="0"/>
              <w:rPr>
                <w:sz w:val="19"/>
                <w:szCs w:val="19"/>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04/30/2025</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tcPr>
          <w:p>
            <w:pPr>
              <w:jc w:val="center"/>
              <w:ind w:left="63"/>
              <w:spacing w:after="0"/>
              <w:rPr>
                <w:sz w:val="20"/>
                <w:szCs w:val="20"/>
                <w:color w:val="auto"/>
              </w:rPr>
            </w:pPr>
            <w:r>
              <w:rPr>
                <w:rFonts w:ascii="Arial" w:cs="Arial" w:eastAsia="Arial" w:hAnsi="Arial"/>
                <w:sz w:val="12"/>
                <w:szCs w:val="12"/>
                <w:color w:val="auto"/>
                <w:w w:val="91"/>
              </w:rPr>
              <w:t xml:space="preserve">105,785 </w:t>
            </w:r>
            <w:r>
              <w:rPr>
                <w:rFonts w:ascii="Arial" w:cs="Arial" w:eastAsia="Arial" w:hAnsi="Arial"/>
                <w:sz w:val="15"/>
                <w:szCs w:val="15"/>
                <w:color w:val="auto"/>
                <w:w w:val="91"/>
                <w:vertAlign w:val="superscript"/>
              </w:rPr>
              <w:t>(6)</w:t>
            </w: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$650,578</w:t>
            </w:r>
          </w:p>
        </w:tc>
        <w:tc>
          <w:tcPr>
            <w:tcW w:w="0" w:type="dxa"/>
            <w:vAlign w:val="bottom"/>
          </w:tcPr>
          <w:p>
            <w:pPr>
              <w:spacing w:after="0"/>
              <w:rPr>
                <w:sz w:val="1"/>
                <w:szCs w:val="1"/>
                <w:color w:val="auto"/>
              </w:rPr>
            </w:pPr>
          </w:p>
        </w:tc>
      </w:tr>
      <w:tr>
        <w:trPr>
          <w:trHeight w:val="163"/>
        </w:trPr>
        <w:tc>
          <w:tcPr>
            <w:tcW w:w="1800" w:type="dxa"/>
            <w:vAlign w:val="bottom"/>
            <w:tcBorders>
              <w:bottom w:val="single" w:sz="8" w:color="0A2299"/>
            </w:tcBorders>
          </w:tcPr>
          <w:p>
            <w:pPr>
              <w:spacing w:after="0"/>
              <w:rPr>
                <w:sz w:val="14"/>
                <w:szCs w:val="14"/>
                <w:color w:val="auto"/>
              </w:rPr>
            </w:pPr>
          </w:p>
        </w:tc>
        <w:tc>
          <w:tcPr>
            <w:tcW w:w="1040" w:type="dxa"/>
            <w:vAlign w:val="bottom"/>
            <w:tcBorders>
              <w:bottom w:val="single" w:sz="8" w:color="0A2299"/>
            </w:tcBorders>
            <w:gridSpan w:val="5"/>
          </w:tcPr>
          <w:p>
            <w:pPr>
              <w:jc w:val="center"/>
              <w:spacing w:after="0"/>
              <w:rPr>
                <w:sz w:val="20"/>
                <w:szCs w:val="20"/>
                <w:color w:val="auto"/>
              </w:rPr>
            </w:pPr>
            <w:r>
              <w:rPr>
                <w:rFonts w:ascii="Arial" w:cs="Arial" w:eastAsia="Arial" w:hAnsi="Arial"/>
                <w:sz w:val="12"/>
                <w:szCs w:val="12"/>
                <w:color w:val="auto"/>
                <w:w w:val="96"/>
              </w:rPr>
              <w:t>06/05/2025</w:t>
            </w:r>
          </w:p>
        </w:tc>
        <w:tc>
          <w:tcPr>
            <w:tcW w:w="1040" w:type="dxa"/>
            <w:vAlign w:val="bottom"/>
            <w:tcBorders>
              <w:bottom w:val="single" w:sz="8" w:color="0A2299"/>
            </w:tcBorders>
          </w:tcPr>
          <w:p>
            <w:pPr>
              <w:spacing w:after="0"/>
              <w:rPr>
                <w:sz w:val="14"/>
                <w:szCs w:val="14"/>
                <w:color w:val="auto"/>
              </w:rPr>
            </w:pPr>
          </w:p>
        </w:tc>
        <w:tc>
          <w:tcPr>
            <w:tcW w:w="1140" w:type="dxa"/>
            <w:vAlign w:val="bottom"/>
            <w:tcBorders>
              <w:bottom w:val="single" w:sz="8" w:color="0A2299"/>
            </w:tcBorders>
          </w:tcPr>
          <w:p>
            <w:pPr>
              <w:spacing w:after="0"/>
              <w:rPr>
                <w:sz w:val="14"/>
                <w:szCs w:val="14"/>
                <w:color w:val="auto"/>
              </w:rPr>
            </w:pPr>
          </w:p>
        </w:tc>
        <w:tc>
          <w:tcPr>
            <w:tcW w:w="920" w:type="dxa"/>
            <w:vAlign w:val="bottom"/>
            <w:tcBorders>
              <w:bottom w:val="single" w:sz="8" w:color="0A2299"/>
            </w:tcBorders>
          </w:tcPr>
          <w:p>
            <w:pPr>
              <w:spacing w:after="0"/>
              <w:rPr>
                <w:sz w:val="14"/>
                <w:szCs w:val="14"/>
                <w:color w:val="auto"/>
              </w:rPr>
            </w:pPr>
          </w:p>
        </w:tc>
        <w:tc>
          <w:tcPr>
            <w:tcW w:w="960" w:type="dxa"/>
            <w:vAlign w:val="bottom"/>
            <w:tcBorders>
              <w:bottom w:val="single" w:sz="8" w:color="0A2299"/>
            </w:tcBorders>
          </w:tcPr>
          <w:p>
            <w:pPr>
              <w:spacing w:after="0"/>
              <w:rPr>
                <w:sz w:val="14"/>
                <w:szCs w:val="14"/>
                <w:color w:val="auto"/>
              </w:rPr>
            </w:pPr>
          </w:p>
        </w:tc>
        <w:tc>
          <w:tcPr>
            <w:tcW w:w="880" w:type="dxa"/>
            <w:vAlign w:val="bottom"/>
            <w:tcBorders>
              <w:bottom w:val="single" w:sz="8" w:color="0A2299"/>
            </w:tcBorders>
          </w:tcPr>
          <w:p>
            <w:pPr>
              <w:spacing w:after="0"/>
              <w:rPr>
                <w:sz w:val="14"/>
                <w:szCs w:val="14"/>
                <w:color w:val="auto"/>
              </w:rPr>
            </w:pPr>
          </w:p>
        </w:tc>
        <w:tc>
          <w:tcPr>
            <w:tcW w:w="840" w:type="dxa"/>
            <w:vAlign w:val="bottom"/>
            <w:tcBorders>
              <w:bottom w:val="single" w:sz="8" w:color="0A2299"/>
            </w:tcBorders>
          </w:tcPr>
          <w:p>
            <w:pPr>
              <w:spacing w:after="0"/>
              <w:rPr>
                <w:sz w:val="14"/>
                <w:szCs w:val="14"/>
                <w:color w:val="auto"/>
              </w:rPr>
            </w:pPr>
          </w:p>
        </w:tc>
        <w:tc>
          <w:tcPr>
            <w:tcW w:w="1380" w:type="dxa"/>
            <w:vAlign w:val="bottom"/>
            <w:tcBorders>
              <w:bottom w:val="single" w:sz="8" w:color="0A2299"/>
            </w:tcBorders>
          </w:tcPr>
          <w:p>
            <w:pPr>
              <w:jc w:val="center"/>
              <w:ind w:left="43"/>
              <w:spacing w:after="0"/>
              <w:rPr>
                <w:sz w:val="20"/>
                <w:szCs w:val="20"/>
                <w:color w:val="auto"/>
              </w:rPr>
            </w:pPr>
            <w:r>
              <w:rPr>
                <w:rFonts w:ascii="Arial" w:cs="Arial" w:eastAsia="Arial" w:hAnsi="Arial"/>
                <w:sz w:val="12"/>
                <w:szCs w:val="12"/>
                <w:color w:val="auto"/>
                <w:w w:val="97"/>
              </w:rPr>
              <w:t>99,227</w:t>
            </w:r>
          </w:p>
        </w:tc>
        <w:tc>
          <w:tcPr>
            <w:tcW w:w="1240" w:type="dxa"/>
            <w:vAlign w:val="bottom"/>
            <w:tcBorders>
              <w:bottom w:val="single" w:sz="8" w:color="0A2299"/>
            </w:tcBorders>
          </w:tcPr>
          <w:p>
            <w:pPr>
              <w:jc w:val="center"/>
              <w:spacing w:after="0"/>
              <w:rPr>
                <w:sz w:val="20"/>
                <w:szCs w:val="20"/>
                <w:color w:val="auto"/>
              </w:rPr>
            </w:pPr>
            <w:r>
              <w:rPr>
                <w:rFonts w:ascii="Arial" w:cs="Arial" w:eastAsia="Arial" w:hAnsi="Arial"/>
                <w:sz w:val="12"/>
                <w:szCs w:val="12"/>
                <w:color w:val="auto"/>
                <w:w w:val="95"/>
              </w:rPr>
              <w:t>$610,246</w:t>
            </w:r>
          </w:p>
        </w:tc>
        <w:tc>
          <w:tcPr>
            <w:tcW w:w="0" w:type="dxa"/>
            <w:vAlign w:val="bottom"/>
          </w:tcPr>
          <w:p>
            <w:pPr>
              <w:spacing w:after="0"/>
              <w:rPr>
                <w:sz w:val="1"/>
                <w:szCs w:val="1"/>
                <w:color w:val="auto"/>
              </w:rPr>
            </w:pPr>
          </w:p>
        </w:tc>
      </w:tr>
      <w:tr>
        <w:trPr>
          <w:trHeight w:val="171"/>
        </w:trPr>
        <w:tc>
          <w:tcPr>
            <w:tcW w:w="1800" w:type="dxa"/>
            <w:vAlign w:val="bottom"/>
          </w:tcPr>
          <w:p>
            <w:pPr>
              <w:ind w:left="20"/>
              <w:spacing w:after="0"/>
              <w:rPr>
                <w:sz w:val="20"/>
                <w:szCs w:val="20"/>
                <w:color w:val="auto"/>
              </w:rPr>
            </w:pPr>
            <w:r>
              <w:rPr>
                <w:rFonts w:ascii="Arial" w:cs="Arial" w:eastAsia="Arial" w:hAnsi="Arial"/>
                <w:sz w:val="12"/>
                <w:szCs w:val="12"/>
                <w:color w:val="auto"/>
              </w:rPr>
              <w:t>Brian J. Donnelly</w:t>
            </w: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05/01/2025</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6"/>
              </w:rPr>
              <w:t>269,905</w:t>
            </w:r>
          </w:p>
        </w:tc>
        <w:tc>
          <w:tcPr>
            <w:tcW w:w="840" w:type="dxa"/>
            <w:vAlign w:val="bottom"/>
          </w:tcPr>
          <w:p>
            <w:pPr>
              <w:jc w:val="center"/>
              <w:ind w:left="83"/>
              <w:spacing w:after="0"/>
              <w:rPr>
                <w:sz w:val="20"/>
                <w:szCs w:val="20"/>
                <w:color w:val="auto"/>
              </w:rPr>
            </w:pPr>
            <w:r>
              <w:rPr>
                <w:rFonts w:ascii="Arial" w:cs="Arial" w:eastAsia="Arial" w:hAnsi="Arial"/>
                <w:sz w:val="12"/>
                <w:szCs w:val="12"/>
                <w:color w:val="auto"/>
                <w:w w:val="96"/>
              </w:rPr>
              <w:t>$1,659,916</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05/01/2025</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6"/>
              </w:rPr>
              <w:t>127,629</w:t>
            </w:r>
          </w:p>
        </w:tc>
        <w:tc>
          <w:tcPr>
            <w:tcW w:w="840" w:type="dxa"/>
            <w:vAlign w:val="bottom"/>
          </w:tcPr>
          <w:p>
            <w:pPr>
              <w:jc w:val="center"/>
              <w:ind w:left="63"/>
              <w:spacing w:after="0"/>
              <w:rPr>
                <w:sz w:val="20"/>
                <w:szCs w:val="20"/>
                <w:color w:val="auto"/>
              </w:rPr>
            </w:pPr>
            <w:r>
              <w:rPr>
                <w:rFonts w:ascii="Arial" w:cs="Arial" w:eastAsia="Arial" w:hAnsi="Arial"/>
                <w:sz w:val="12"/>
                <w:szCs w:val="12"/>
                <w:color w:val="auto"/>
                <w:w w:val="95"/>
              </w:rPr>
              <w:t>$784,918</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00" w:type="dxa"/>
            <w:vAlign w:val="bottom"/>
          </w:tcPr>
          <w:p>
            <w:pPr>
              <w:spacing w:after="0"/>
              <w:rPr>
                <w:sz w:val="19"/>
                <w:szCs w:val="19"/>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05/01/2025</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tcPr>
          <w:p>
            <w:pPr>
              <w:jc w:val="center"/>
              <w:ind w:left="63"/>
              <w:spacing w:after="0"/>
              <w:rPr>
                <w:sz w:val="20"/>
                <w:szCs w:val="20"/>
                <w:color w:val="auto"/>
              </w:rPr>
            </w:pPr>
            <w:r>
              <w:rPr>
                <w:rFonts w:ascii="Arial" w:cs="Arial" w:eastAsia="Arial" w:hAnsi="Arial"/>
                <w:sz w:val="12"/>
                <w:szCs w:val="12"/>
                <w:color w:val="auto"/>
                <w:w w:val="91"/>
              </w:rPr>
              <w:t xml:space="preserve">236,167 </w:t>
            </w:r>
            <w:r>
              <w:rPr>
                <w:rFonts w:ascii="Arial" w:cs="Arial" w:eastAsia="Arial" w:hAnsi="Arial"/>
                <w:sz w:val="15"/>
                <w:szCs w:val="15"/>
                <w:color w:val="auto"/>
                <w:w w:val="91"/>
                <w:vertAlign w:val="superscript"/>
              </w:rPr>
              <w:t>(6)</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$1,452,427</w:t>
            </w:r>
          </w:p>
        </w:tc>
        <w:tc>
          <w:tcPr>
            <w:tcW w:w="0" w:type="dxa"/>
            <w:vAlign w:val="bottom"/>
          </w:tcPr>
          <w:p>
            <w:pPr>
              <w:spacing w:after="0"/>
              <w:rPr>
                <w:sz w:val="1"/>
                <w:szCs w:val="1"/>
                <w:color w:val="auto"/>
              </w:rPr>
            </w:pPr>
          </w:p>
        </w:tc>
      </w:tr>
      <w:tr>
        <w:trPr>
          <w:trHeight w:val="163"/>
        </w:trPr>
        <w:tc>
          <w:tcPr>
            <w:tcW w:w="1800" w:type="dxa"/>
            <w:vAlign w:val="bottom"/>
            <w:tcBorders>
              <w:bottom w:val="single" w:sz="8" w:color="003595"/>
            </w:tcBorders>
          </w:tcPr>
          <w:p>
            <w:pPr>
              <w:spacing w:after="0"/>
              <w:rPr>
                <w:sz w:val="14"/>
                <w:szCs w:val="14"/>
                <w:color w:val="auto"/>
              </w:rPr>
            </w:pPr>
          </w:p>
        </w:tc>
        <w:tc>
          <w:tcPr>
            <w:tcW w:w="1040" w:type="dxa"/>
            <w:vAlign w:val="bottom"/>
            <w:tcBorders>
              <w:bottom w:val="single" w:sz="8" w:color="003595"/>
            </w:tcBorders>
            <w:gridSpan w:val="5"/>
          </w:tcPr>
          <w:p>
            <w:pPr>
              <w:jc w:val="center"/>
              <w:spacing w:after="0"/>
              <w:rPr>
                <w:sz w:val="20"/>
                <w:szCs w:val="20"/>
                <w:color w:val="auto"/>
              </w:rPr>
            </w:pPr>
            <w:r>
              <w:rPr>
                <w:rFonts w:ascii="Arial" w:cs="Arial" w:eastAsia="Arial" w:hAnsi="Arial"/>
                <w:sz w:val="12"/>
                <w:szCs w:val="12"/>
                <w:color w:val="auto"/>
                <w:w w:val="96"/>
              </w:rPr>
              <w:t>06/05/2025</w:t>
            </w:r>
          </w:p>
        </w:tc>
        <w:tc>
          <w:tcPr>
            <w:tcW w:w="1040" w:type="dxa"/>
            <w:vAlign w:val="bottom"/>
            <w:tcBorders>
              <w:bottom w:val="single" w:sz="8" w:color="003595"/>
            </w:tcBorders>
          </w:tcPr>
          <w:p>
            <w:pPr>
              <w:spacing w:after="0"/>
              <w:rPr>
                <w:sz w:val="14"/>
                <w:szCs w:val="14"/>
                <w:color w:val="auto"/>
              </w:rPr>
            </w:pPr>
          </w:p>
        </w:tc>
        <w:tc>
          <w:tcPr>
            <w:tcW w:w="1140" w:type="dxa"/>
            <w:vAlign w:val="bottom"/>
            <w:tcBorders>
              <w:bottom w:val="single" w:sz="8" w:color="003595"/>
            </w:tcBorders>
          </w:tcPr>
          <w:p>
            <w:pPr>
              <w:spacing w:after="0"/>
              <w:rPr>
                <w:sz w:val="14"/>
                <w:szCs w:val="14"/>
                <w:color w:val="auto"/>
              </w:rPr>
            </w:pPr>
          </w:p>
        </w:tc>
        <w:tc>
          <w:tcPr>
            <w:tcW w:w="920" w:type="dxa"/>
            <w:vAlign w:val="bottom"/>
            <w:tcBorders>
              <w:bottom w:val="single" w:sz="8" w:color="003595"/>
            </w:tcBorders>
          </w:tcPr>
          <w:p>
            <w:pPr>
              <w:spacing w:after="0"/>
              <w:rPr>
                <w:sz w:val="14"/>
                <w:szCs w:val="14"/>
                <w:color w:val="auto"/>
              </w:rPr>
            </w:pPr>
          </w:p>
        </w:tc>
        <w:tc>
          <w:tcPr>
            <w:tcW w:w="960" w:type="dxa"/>
            <w:vAlign w:val="bottom"/>
            <w:tcBorders>
              <w:bottom w:val="single" w:sz="8" w:color="003595"/>
            </w:tcBorders>
          </w:tcPr>
          <w:p>
            <w:pPr>
              <w:spacing w:after="0"/>
              <w:rPr>
                <w:sz w:val="14"/>
                <w:szCs w:val="14"/>
                <w:color w:val="auto"/>
              </w:rPr>
            </w:pPr>
          </w:p>
        </w:tc>
        <w:tc>
          <w:tcPr>
            <w:tcW w:w="880" w:type="dxa"/>
            <w:vAlign w:val="bottom"/>
            <w:tcBorders>
              <w:bottom w:val="single" w:sz="8" w:color="003595"/>
            </w:tcBorders>
          </w:tcPr>
          <w:p>
            <w:pPr>
              <w:spacing w:after="0"/>
              <w:rPr>
                <w:sz w:val="14"/>
                <w:szCs w:val="14"/>
                <w:color w:val="auto"/>
              </w:rPr>
            </w:pPr>
          </w:p>
        </w:tc>
        <w:tc>
          <w:tcPr>
            <w:tcW w:w="840" w:type="dxa"/>
            <w:vAlign w:val="bottom"/>
            <w:tcBorders>
              <w:bottom w:val="single" w:sz="8" w:color="003595"/>
            </w:tcBorders>
          </w:tcPr>
          <w:p>
            <w:pPr>
              <w:spacing w:after="0"/>
              <w:rPr>
                <w:sz w:val="14"/>
                <w:szCs w:val="14"/>
                <w:color w:val="auto"/>
              </w:rPr>
            </w:pPr>
          </w:p>
        </w:tc>
        <w:tc>
          <w:tcPr>
            <w:tcW w:w="1380" w:type="dxa"/>
            <w:vAlign w:val="bottom"/>
            <w:tcBorders>
              <w:bottom w:val="single" w:sz="8" w:color="003595"/>
            </w:tcBorders>
          </w:tcPr>
          <w:p>
            <w:pPr>
              <w:jc w:val="center"/>
              <w:ind w:left="63"/>
              <w:spacing w:after="0"/>
              <w:rPr>
                <w:sz w:val="20"/>
                <w:szCs w:val="20"/>
                <w:color w:val="auto"/>
              </w:rPr>
            </w:pPr>
            <w:r>
              <w:rPr>
                <w:rFonts w:ascii="Arial" w:cs="Arial" w:eastAsia="Arial" w:hAnsi="Arial"/>
                <w:sz w:val="12"/>
                <w:szCs w:val="12"/>
                <w:color w:val="auto"/>
                <w:w w:val="96"/>
              </w:rPr>
              <w:t>127,629</w:t>
            </w:r>
          </w:p>
        </w:tc>
        <w:tc>
          <w:tcPr>
            <w:tcW w:w="1240" w:type="dxa"/>
            <w:vAlign w:val="bottom"/>
            <w:tcBorders>
              <w:bottom w:val="single" w:sz="8" w:color="003595"/>
            </w:tcBorders>
          </w:tcPr>
          <w:p>
            <w:pPr>
              <w:jc w:val="center"/>
              <w:spacing w:after="0"/>
              <w:rPr>
                <w:sz w:val="20"/>
                <w:szCs w:val="20"/>
                <w:color w:val="auto"/>
              </w:rPr>
            </w:pPr>
            <w:r>
              <w:rPr>
                <w:rFonts w:ascii="Arial" w:cs="Arial" w:eastAsia="Arial" w:hAnsi="Arial"/>
                <w:sz w:val="12"/>
                <w:szCs w:val="12"/>
                <w:color w:val="auto"/>
                <w:w w:val="95"/>
              </w:rPr>
              <w:t>$784,918</w:t>
            </w:r>
          </w:p>
        </w:tc>
        <w:tc>
          <w:tcPr>
            <w:tcW w:w="0" w:type="dxa"/>
            <w:vAlign w:val="bottom"/>
          </w:tcPr>
          <w:p>
            <w:pPr>
              <w:spacing w:after="0"/>
              <w:rPr>
                <w:sz w:val="1"/>
                <w:szCs w:val="1"/>
                <w:color w:val="auto"/>
              </w:rPr>
            </w:pPr>
          </w:p>
        </w:tc>
      </w:tr>
      <w:tr>
        <w:trPr>
          <w:trHeight w:val="171"/>
        </w:trPr>
        <w:tc>
          <w:tcPr>
            <w:tcW w:w="1800" w:type="dxa"/>
            <w:vAlign w:val="bottom"/>
          </w:tcPr>
          <w:p>
            <w:pPr>
              <w:ind w:left="20"/>
              <w:spacing w:after="0"/>
              <w:rPr>
                <w:sz w:val="20"/>
                <w:szCs w:val="20"/>
                <w:color w:val="auto"/>
              </w:rPr>
            </w:pPr>
            <w:r>
              <w:rPr>
                <w:rFonts w:ascii="Arial" w:cs="Arial" w:eastAsia="Arial" w:hAnsi="Arial"/>
                <w:sz w:val="12"/>
                <w:szCs w:val="12"/>
                <w:color w:val="auto"/>
              </w:rPr>
              <w:t>Dale Muzzey, Ph.D.</w:t>
            </w: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12/08/2021</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89"/>
              </w:rPr>
              <w:t>750</w:t>
            </w:r>
          </w:p>
        </w:tc>
        <w:tc>
          <w:tcPr>
            <w:tcW w:w="840" w:type="dxa"/>
            <w:vAlign w:val="bottom"/>
          </w:tcPr>
          <w:p>
            <w:pPr>
              <w:jc w:val="center"/>
              <w:ind w:left="63"/>
              <w:spacing w:after="0"/>
              <w:rPr>
                <w:sz w:val="20"/>
                <w:szCs w:val="20"/>
                <w:color w:val="auto"/>
              </w:rPr>
            </w:pPr>
            <w:r>
              <w:rPr>
                <w:rFonts w:ascii="Arial" w:cs="Arial" w:eastAsia="Arial" w:hAnsi="Arial"/>
                <w:sz w:val="12"/>
                <w:szCs w:val="12"/>
                <w:color w:val="auto"/>
                <w:w w:val="97"/>
              </w:rPr>
              <w:t>$4,613</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03/22/2022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4,004</w:t>
            </w:r>
          </w:p>
        </w:tc>
        <w:tc>
          <w:tcPr>
            <w:tcW w:w="840" w:type="dxa"/>
            <w:vAlign w:val="bottom"/>
          </w:tcPr>
          <w:p>
            <w:pPr>
              <w:jc w:val="center"/>
              <w:ind w:left="83"/>
              <w:spacing w:after="0"/>
              <w:rPr>
                <w:sz w:val="20"/>
                <w:szCs w:val="20"/>
                <w:color w:val="auto"/>
              </w:rPr>
            </w:pPr>
            <w:r>
              <w:rPr>
                <w:rFonts w:ascii="Arial" w:cs="Arial" w:eastAsia="Arial" w:hAnsi="Arial"/>
                <w:sz w:val="12"/>
                <w:szCs w:val="12"/>
                <w:color w:val="auto"/>
                <w:w w:val="96"/>
              </w:rPr>
              <w:t>$24,625</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04/14/2022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1,875</w:t>
            </w:r>
          </w:p>
        </w:tc>
        <w:tc>
          <w:tcPr>
            <w:tcW w:w="840" w:type="dxa"/>
            <w:vAlign w:val="bottom"/>
          </w:tcPr>
          <w:p>
            <w:pPr>
              <w:jc w:val="center"/>
              <w:ind w:left="83"/>
              <w:spacing w:after="0"/>
              <w:rPr>
                <w:sz w:val="20"/>
                <w:szCs w:val="20"/>
                <w:color w:val="auto"/>
              </w:rPr>
            </w:pPr>
            <w:r>
              <w:rPr>
                <w:rFonts w:ascii="Arial" w:cs="Arial" w:eastAsia="Arial" w:hAnsi="Arial"/>
                <w:sz w:val="12"/>
                <w:szCs w:val="12"/>
                <w:color w:val="auto"/>
                <w:w w:val="96"/>
              </w:rPr>
              <w:t>$11,531</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03/15/2023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9,486</w:t>
            </w:r>
          </w:p>
        </w:tc>
        <w:tc>
          <w:tcPr>
            <w:tcW w:w="840" w:type="dxa"/>
            <w:vAlign w:val="bottom"/>
          </w:tcPr>
          <w:p>
            <w:pPr>
              <w:jc w:val="center"/>
              <w:ind w:left="83"/>
              <w:spacing w:after="0"/>
              <w:rPr>
                <w:sz w:val="20"/>
                <w:szCs w:val="20"/>
                <w:color w:val="auto"/>
              </w:rPr>
            </w:pPr>
            <w:r>
              <w:rPr>
                <w:rFonts w:ascii="Arial" w:cs="Arial" w:eastAsia="Arial" w:hAnsi="Arial"/>
                <w:sz w:val="12"/>
                <w:szCs w:val="12"/>
                <w:color w:val="auto"/>
                <w:w w:val="96"/>
              </w:rPr>
              <w:t>$58,339</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03/15/2023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center"/>
              <w:ind w:left="43"/>
              <w:spacing w:after="0"/>
              <w:rPr>
                <w:sz w:val="20"/>
                <w:szCs w:val="20"/>
                <w:color w:val="auto"/>
              </w:rPr>
            </w:pPr>
            <w:r>
              <w:rPr>
                <w:rFonts w:ascii="Arial" w:cs="Arial" w:eastAsia="Arial" w:hAnsi="Arial"/>
                <w:sz w:val="12"/>
                <w:szCs w:val="12"/>
                <w:color w:val="auto"/>
                <w:w w:val="97"/>
              </w:rPr>
              <w:t>28,459</w:t>
            </w: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$175,023</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03/14/2024</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32,833</w:t>
            </w:r>
          </w:p>
        </w:tc>
        <w:tc>
          <w:tcPr>
            <w:tcW w:w="840" w:type="dxa"/>
            <w:vAlign w:val="bottom"/>
          </w:tcPr>
          <w:p>
            <w:pPr>
              <w:jc w:val="center"/>
              <w:ind w:left="63"/>
              <w:spacing w:after="0"/>
              <w:rPr>
                <w:sz w:val="20"/>
                <w:szCs w:val="20"/>
                <w:color w:val="auto"/>
              </w:rPr>
            </w:pPr>
            <w:r>
              <w:rPr>
                <w:rFonts w:ascii="Arial" w:cs="Arial" w:eastAsia="Arial" w:hAnsi="Arial"/>
                <w:sz w:val="12"/>
                <w:szCs w:val="12"/>
                <w:color w:val="auto"/>
                <w:w w:val="95"/>
              </w:rPr>
              <w:t>$201,923</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03/14/2024</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center"/>
              <w:ind w:left="43"/>
              <w:spacing w:after="0"/>
              <w:rPr>
                <w:sz w:val="20"/>
                <w:szCs w:val="20"/>
                <w:color w:val="auto"/>
              </w:rPr>
            </w:pPr>
            <w:r>
              <w:rPr>
                <w:rFonts w:ascii="Arial" w:cs="Arial" w:eastAsia="Arial" w:hAnsi="Arial"/>
                <w:sz w:val="12"/>
                <w:szCs w:val="12"/>
                <w:color w:val="auto"/>
                <w:w w:val="97"/>
              </w:rPr>
              <w:t>49,249</w:t>
            </w: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$302,881</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03/13/2025</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75,773</w:t>
            </w:r>
          </w:p>
        </w:tc>
        <w:tc>
          <w:tcPr>
            <w:tcW w:w="840" w:type="dxa"/>
            <w:vAlign w:val="bottom"/>
          </w:tcPr>
          <w:p>
            <w:pPr>
              <w:jc w:val="center"/>
              <w:ind w:left="63"/>
              <w:spacing w:after="0"/>
              <w:rPr>
                <w:sz w:val="20"/>
                <w:szCs w:val="20"/>
                <w:color w:val="auto"/>
              </w:rPr>
            </w:pPr>
            <w:r>
              <w:rPr>
                <w:rFonts w:ascii="Arial" w:cs="Arial" w:eastAsia="Arial" w:hAnsi="Arial"/>
                <w:sz w:val="12"/>
                <w:szCs w:val="12"/>
                <w:color w:val="auto"/>
                <w:w w:val="95"/>
              </w:rPr>
              <w:t>$466,004</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800" w:type="dxa"/>
            <w:vAlign w:val="bottom"/>
            <w:tcBorders>
              <w:bottom w:val="single" w:sz="8" w:color="0A2299"/>
            </w:tcBorders>
          </w:tcPr>
          <w:p>
            <w:pPr>
              <w:spacing w:after="0"/>
              <w:rPr>
                <w:sz w:val="17"/>
                <w:szCs w:val="17"/>
                <w:color w:val="auto"/>
              </w:rPr>
            </w:pPr>
          </w:p>
        </w:tc>
        <w:tc>
          <w:tcPr>
            <w:tcW w:w="1040" w:type="dxa"/>
            <w:vAlign w:val="bottom"/>
            <w:tcBorders>
              <w:bottom w:val="single" w:sz="8" w:color="0A2299"/>
            </w:tcBorders>
            <w:gridSpan w:val="5"/>
          </w:tcPr>
          <w:p>
            <w:pPr>
              <w:jc w:val="center"/>
              <w:spacing w:after="0"/>
              <w:rPr>
                <w:sz w:val="20"/>
                <w:szCs w:val="20"/>
                <w:color w:val="auto"/>
              </w:rPr>
            </w:pPr>
            <w:r>
              <w:rPr>
                <w:rFonts w:ascii="Arial" w:cs="Arial" w:eastAsia="Arial" w:hAnsi="Arial"/>
                <w:sz w:val="12"/>
                <w:szCs w:val="12"/>
                <w:color w:val="auto"/>
                <w:w w:val="96"/>
              </w:rPr>
              <w:t>06/05/2025</w:t>
            </w:r>
          </w:p>
        </w:tc>
        <w:tc>
          <w:tcPr>
            <w:tcW w:w="1040" w:type="dxa"/>
            <w:vAlign w:val="bottom"/>
            <w:tcBorders>
              <w:bottom w:val="single" w:sz="8" w:color="0A2299"/>
            </w:tcBorders>
          </w:tcPr>
          <w:p>
            <w:pPr>
              <w:spacing w:after="0"/>
              <w:rPr>
                <w:sz w:val="17"/>
                <w:szCs w:val="17"/>
                <w:color w:val="auto"/>
              </w:rPr>
            </w:pPr>
          </w:p>
        </w:tc>
        <w:tc>
          <w:tcPr>
            <w:tcW w:w="1140" w:type="dxa"/>
            <w:vAlign w:val="bottom"/>
            <w:tcBorders>
              <w:bottom w:val="single" w:sz="8" w:color="0A2299"/>
            </w:tcBorders>
          </w:tcPr>
          <w:p>
            <w:pPr>
              <w:spacing w:after="0"/>
              <w:rPr>
                <w:sz w:val="17"/>
                <w:szCs w:val="17"/>
                <w:color w:val="auto"/>
              </w:rPr>
            </w:pPr>
          </w:p>
        </w:tc>
        <w:tc>
          <w:tcPr>
            <w:tcW w:w="920" w:type="dxa"/>
            <w:vAlign w:val="bottom"/>
            <w:tcBorders>
              <w:bottom w:val="single" w:sz="8" w:color="0A2299"/>
            </w:tcBorders>
          </w:tcPr>
          <w:p>
            <w:pPr>
              <w:spacing w:after="0"/>
              <w:rPr>
                <w:sz w:val="17"/>
                <w:szCs w:val="17"/>
                <w:color w:val="auto"/>
              </w:rPr>
            </w:pPr>
          </w:p>
        </w:tc>
        <w:tc>
          <w:tcPr>
            <w:tcW w:w="960" w:type="dxa"/>
            <w:vAlign w:val="bottom"/>
            <w:tcBorders>
              <w:bottom w:val="single" w:sz="8" w:color="0A2299"/>
            </w:tcBorders>
          </w:tcPr>
          <w:p>
            <w:pPr>
              <w:spacing w:after="0"/>
              <w:rPr>
                <w:sz w:val="17"/>
                <w:szCs w:val="17"/>
                <w:color w:val="auto"/>
              </w:rPr>
            </w:pPr>
          </w:p>
        </w:tc>
        <w:tc>
          <w:tcPr>
            <w:tcW w:w="880" w:type="dxa"/>
            <w:vAlign w:val="bottom"/>
            <w:tcBorders>
              <w:bottom w:val="single" w:sz="8" w:color="0A2299"/>
            </w:tcBorders>
          </w:tcPr>
          <w:p>
            <w:pPr>
              <w:spacing w:after="0"/>
              <w:rPr>
                <w:sz w:val="17"/>
                <w:szCs w:val="17"/>
                <w:color w:val="auto"/>
              </w:rPr>
            </w:pPr>
          </w:p>
        </w:tc>
        <w:tc>
          <w:tcPr>
            <w:tcW w:w="840" w:type="dxa"/>
            <w:vAlign w:val="bottom"/>
            <w:tcBorders>
              <w:bottom w:val="single" w:sz="8" w:color="0A2299"/>
            </w:tcBorders>
          </w:tcPr>
          <w:p>
            <w:pPr>
              <w:spacing w:after="0"/>
              <w:rPr>
                <w:sz w:val="17"/>
                <w:szCs w:val="17"/>
                <w:color w:val="auto"/>
              </w:rPr>
            </w:pPr>
          </w:p>
        </w:tc>
        <w:tc>
          <w:tcPr>
            <w:tcW w:w="1380" w:type="dxa"/>
            <w:vAlign w:val="bottom"/>
            <w:tcBorders>
              <w:bottom w:val="single" w:sz="8" w:color="0A2299"/>
            </w:tcBorders>
          </w:tcPr>
          <w:p>
            <w:pPr>
              <w:jc w:val="center"/>
              <w:ind w:left="43"/>
              <w:spacing w:after="0"/>
              <w:rPr>
                <w:sz w:val="20"/>
                <w:szCs w:val="20"/>
                <w:color w:val="auto"/>
              </w:rPr>
            </w:pPr>
            <w:r>
              <w:rPr>
                <w:rFonts w:ascii="Arial" w:cs="Arial" w:eastAsia="Arial" w:hAnsi="Arial"/>
                <w:sz w:val="12"/>
                <w:szCs w:val="12"/>
                <w:color w:val="auto"/>
                <w:w w:val="97"/>
              </w:rPr>
              <w:t>75,773</w:t>
            </w:r>
          </w:p>
        </w:tc>
        <w:tc>
          <w:tcPr>
            <w:tcW w:w="1240" w:type="dxa"/>
            <w:vAlign w:val="bottom"/>
            <w:tcBorders>
              <w:bottom w:val="single" w:sz="8" w:color="0A2299"/>
            </w:tcBorders>
          </w:tcPr>
          <w:p>
            <w:pPr>
              <w:jc w:val="center"/>
              <w:spacing w:after="0"/>
              <w:rPr>
                <w:sz w:val="20"/>
                <w:szCs w:val="20"/>
                <w:color w:val="auto"/>
              </w:rPr>
            </w:pPr>
            <w:r>
              <w:rPr>
                <w:rFonts w:ascii="Arial" w:cs="Arial" w:eastAsia="Arial" w:hAnsi="Arial"/>
                <w:sz w:val="12"/>
                <w:szCs w:val="12"/>
                <w:color w:val="auto"/>
                <w:w w:val="95"/>
              </w:rPr>
              <w:t>$466,004</w:t>
            </w:r>
          </w:p>
        </w:tc>
        <w:tc>
          <w:tcPr>
            <w:tcW w:w="0" w:type="dxa"/>
            <w:vAlign w:val="bottom"/>
          </w:tcPr>
          <w:p>
            <w:pPr>
              <w:spacing w:after="0"/>
              <w:rPr>
                <w:sz w:val="1"/>
                <w:szCs w:val="1"/>
                <w:color w:val="auto"/>
              </w:rPr>
            </w:pPr>
          </w:p>
        </w:tc>
      </w:tr>
      <w:tr>
        <w:trPr>
          <w:trHeight w:val="171"/>
        </w:trPr>
        <w:tc>
          <w:tcPr>
            <w:tcW w:w="1800" w:type="dxa"/>
            <w:vAlign w:val="bottom"/>
          </w:tcPr>
          <w:p>
            <w:pPr>
              <w:ind w:left="20"/>
              <w:spacing w:after="0"/>
              <w:rPr>
                <w:sz w:val="20"/>
                <w:szCs w:val="20"/>
                <w:color w:val="auto"/>
              </w:rPr>
            </w:pPr>
            <w:r>
              <w:rPr>
                <w:rFonts w:ascii="Arial" w:cs="Arial" w:eastAsia="Arial" w:hAnsi="Arial"/>
                <w:sz w:val="12"/>
                <w:szCs w:val="12"/>
                <w:color w:val="auto"/>
              </w:rPr>
              <w:t>Margaret Ancona</w:t>
            </w:r>
          </w:p>
        </w:tc>
        <w:tc>
          <w:tcPr>
            <w:tcW w:w="1040" w:type="dxa"/>
            <w:vAlign w:val="bottom"/>
            <w:gridSpan w:val="5"/>
          </w:tcPr>
          <w:p>
            <w:pPr>
              <w:jc w:val="center"/>
              <w:spacing w:after="0"/>
              <w:rPr>
                <w:sz w:val="20"/>
                <w:szCs w:val="20"/>
                <w:color w:val="auto"/>
              </w:rPr>
            </w:pPr>
            <w:r>
              <w:rPr>
                <w:rFonts w:ascii="Arial" w:cs="Arial" w:eastAsia="Arial" w:hAnsi="Arial"/>
                <w:sz w:val="12"/>
                <w:szCs w:val="12"/>
                <w:color w:val="auto"/>
                <w:w w:val="96"/>
              </w:rPr>
              <w:t>03/15/2023</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tcPr>
          <w:p>
            <w:pPr>
              <w:jc w:val="center"/>
              <w:ind w:left="43"/>
              <w:spacing w:after="0"/>
              <w:rPr>
                <w:sz w:val="20"/>
                <w:szCs w:val="20"/>
                <w:color w:val="auto"/>
              </w:rPr>
            </w:pPr>
            <w:r>
              <w:rPr>
                <w:rFonts w:ascii="Arial" w:cs="Arial" w:eastAsia="Arial" w:hAnsi="Arial"/>
                <w:sz w:val="12"/>
                <w:szCs w:val="12"/>
                <w:color w:val="auto"/>
                <w:w w:val="97"/>
              </w:rPr>
              <w:t>16,418</w:t>
            </w: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$100,971</w:t>
            </w:r>
          </w:p>
        </w:tc>
        <w:tc>
          <w:tcPr>
            <w:tcW w:w="0" w:type="dxa"/>
            <w:vAlign w:val="bottom"/>
          </w:tcPr>
          <w:p>
            <w:pPr>
              <w:spacing w:after="0"/>
              <w:rPr>
                <w:sz w:val="1"/>
                <w:szCs w:val="1"/>
                <w:color w:val="auto"/>
              </w:rPr>
            </w:pPr>
          </w:p>
        </w:tc>
      </w:tr>
      <w:tr>
        <w:trPr>
          <w:trHeight w:val="201"/>
        </w:trPr>
        <w:tc>
          <w:tcPr>
            <w:tcW w:w="1800" w:type="dxa"/>
            <w:vAlign w:val="bottom"/>
            <w:tcBorders>
              <w:bottom w:val="single" w:sz="8" w:color="0A2299"/>
            </w:tcBorders>
          </w:tcPr>
          <w:p>
            <w:pPr>
              <w:spacing w:after="0"/>
              <w:rPr>
                <w:sz w:val="17"/>
                <w:szCs w:val="17"/>
                <w:color w:val="auto"/>
              </w:rPr>
            </w:pPr>
          </w:p>
        </w:tc>
        <w:tc>
          <w:tcPr>
            <w:tcW w:w="1040" w:type="dxa"/>
            <w:vAlign w:val="bottom"/>
            <w:tcBorders>
              <w:bottom w:val="single" w:sz="8" w:color="0A2299"/>
            </w:tcBorders>
            <w:gridSpan w:val="5"/>
          </w:tcPr>
          <w:p>
            <w:pPr>
              <w:jc w:val="center"/>
              <w:spacing w:after="0"/>
              <w:rPr>
                <w:sz w:val="20"/>
                <w:szCs w:val="20"/>
                <w:color w:val="auto"/>
              </w:rPr>
            </w:pPr>
            <w:r>
              <w:rPr>
                <w:rFonts w:ascii="Arial" w:cs="Arial" w:eastAsia="Arial" w:hAnsi="Arial"/>
                <w:sz w:val="12"/>
                <w:szCs w:val="12"/>
                <w:color w:val="auto"/>
                <w:w w:val="96"/>
              </w:rPr>
              <w:t>03/14/2024</w:t>
            </w:r>
          </w:p>
        </w:tc>
        <w:tc>
          <w:tcPr>
            <w:tcW w:w="1040" w:type="dxa"/>
            <w:vAlign w:val="bottom"/>
            <w:tcBorders>
              <w:bottom w:val="single" w:sz="8" w:color="0A2299"/>
            </w:tcBorders>
          </w:tcPr>
          <w:p>
            <w:pPr>
              <w:spacing w:after="0"/>
              <w:rPr>
                <w:sz w:val="17"/>
                <w:szCs w:val="17"/>
                <w:color w:val="auto"/>
              </w:rPr>
            </w:pPr>
          </w:p>
        </w:tc>
        <w:tc>
          <w:tcPr>
            <w:tcW w:w="1140" w:type="dxa"/>
            <w:vAlign w:val="bottom"/>
            <w:tcBorders>
              <w:bottom w:val="single" w:sz="8" w:color="0A2299"/>
            </w:tcBorders>
          </w:tcPr>
          <w:p>
            <w:pPr>
              <w:spacing w:after="0"/>
              <w:rPr>
                <w:sz w:val="17"/>
                <w:szCs w:val="17"/>
                <w:color w:val="auto"/>
              </w:rPr>
            </w:pPr>
          </w:p>
        </w:tc>
        <w:tc>
          <w:tcPr>
            <w:tcW w:w="920" w:type="dxa"/>
            <w:vAlign w:val="bottom"/>
            <w:tcBorders>
              <w:bottom w:val="single" w:sz="8" w:color="0A2299"/>
            </w:tcBorders>
          </w:tcPr>
          <w:p>
            <w:pPr>
              <w:spacing w:after="0"/>
              <w:rPr>
                <w:sz w:val="17"/>
                <w:szCs w:val="17"/>
                <w:color w:val="auto"/>
              </w:rPr>
            </w:pPr>
          </w:p>
        </w:tc>
        <w:tc>
          <w:tcPr>
            <w:tcW w:w="960" w:type="dxa"/>
            <w:vAlign w:val="bottom"/>
            <w:tcBorders>
              <w:bottom w:val="single" w:sz="8" w:color="0A2299"/>
            </w:tcBorders>
          </w:tcPr>
          <w:p>
            <w:pPr>
              <w:spacing w:after="0"/>
              <w:rPr>
                <w:sz w:val="17"/>
                <w:szCs w:val="17"/>
                <w:color w:val="auto"/>
              </w:rPr>
            </w:pPr>
          </w:p>
        </w:tc>
        <w:tc>
          <w:tcPr>
            <w:tcW w:w="880" w:type="dxa"/>
            <w:vAlign w:val="bottom"/>
            <w:tcBorders>
              <w:bottom w:val="single" w:sz="8" w:color="0A2299"/>
            </w:tcBorders>
          </w:tcPr>
          <w:p>
            <w:pPr>
              <w:spacing w:after="0"/>
              <w:rPr>
                <w:sz w:val="17"/>
                <w:szCs w:val="17"/>
                <w:color w:val="auto"/>
              </w:rPr>
            </w:pPr>
          </w:p>
        </w:tc>
        <w:tc>
          <w:tcPr>
            <w:tcW w:w="840" w:type="dxa"/>
            <w:vAlign w:val="bottom"/>
            <w:tcBorders>
              <w:bottom w:val="single" w:sz="8" w:color="0A2299"/>
            </w:tcBorders>
          </w:tcPr>
          <w:p>
            <w:pPr>
              <w:spacing w:after="0"/>
              <w:rPr>
                <w:sz w:val="17"/>
                <w:szCs w:val="17"/>
                <w:color w:val="auto"/>
              </w:rPr>
            </w:pPr>
          </w:p>
        </w:tc>
        <w:tc>
          <w:tcPr>
            <w:tcW w:w="1380" w:type="dxa"/>
            <w:vAlign w:val="bottom"/>
            <w:tcBorders>
              <w:bottom w:val="single" w:sz="8" w:color="0A2299"/>
            </w:tcBorders>
          </w:tcPr>
          <w:p>
            <w:pPr>
              <w:jc w:val="center"/>
              <w:ind w:left="43"/>
              <w:spacing w:after="0"/>
              <w:rPr>
                <w:sz w:val="20"/>
                <w:szCs w:val="20"/>
                <w:color w:val="auto"/>
              </w:rPr>
            </w:pPr>
            <w:r>
              <w:rPr>
                <w:rFonts w:ascii="Arial" w:cs="Arial" w:eastAsia="Arial" w:hAnsi="Arial"/>
                <w:sz w:val="12"/>
                <w:szCs w:val="12"/>
                <w:color w:val="auto"/>
                <w:w w:val="97"/>
              </w:rPr>
              <w:t>35,178</w:t>
            </w:r>
          </w:p>
        </w:tc>
        <w:tc>
          <w:tcPr>
            <w:tcW w:w="1240" w:type="dxa"/>
            <w:vAlign w:val="bottom"/>
            <w:tcBorders>
              <w:bottom w:val="single" w:sz="8" w:color="0A2299"/>
            </w:tcBorders>
          </w:tcPr>
          <w:p>
            <w:pPr>
              <w:jc w:val="center"/>
              <w:spacing w:after="0"/>
              <w:rPr>
                <w:sz w:val="20"/>
                <w:szCs w:val="20"/>
                <w:color w:val="auto"/>
              </w:rPr>
            </w:pPr>
            <w:r>
              <w:rPr>
                <w:rFonts w:ascii="Arial" w:cs="Arial" w:eastAsia="Arial" w:hAnsi="Arial"/>
                <w:sz w:val="12"/>
                <w:szCs w:val="12"/>
                <w:color w:val="auto"/>
                <w:w w:val="95"/>
              </w:rPr>
              <w:t>$216,345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-4688205</wp:posOffset>
            </wp:positionV>
            <wp:extent cx="59918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918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left="420" w:hanging="389"/>
        <w:spacing w:after="0" w:line="270" w:lineRule="auto"/>
        <w:tabs>
          <w:tab w:leader="none" w:pos="4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time-based non-qualified stock options for the purchase of 342,040 shares of common stock, which options have fully vested in four equal installments on each of the first four anniversaries of Mr. Diaz’s commencement date of August 13, 2020. 85,510 time-based non-qualified stock options vested on August 13, 2024, 85,510 time-based non-qualified stock options vested on August 13, 2023, 85,510 time-based non-qualified stock options vested on August 13, 2022, and 85,510 time-based non-qualified stock options vested on August 13, 2021.</w:t>
      </w:r>
    </w:p>
    <w:p>
      <w:pPr>
        <w:spacing w:after="0" w:line="74" w:lineRule="exact"/>
        <w:rPr>
          <w:rFonts w:ascii="Arial" w:cs="Arial" w:eastAsia="Arial" w:hAnsi="Arial"/>
          <w:sz w:val="12"/>
          <w:szCs w:val="12"/>
          <w:color w:val="auto"/>
        </w:rPr>
      </w:pPr>
    </w:p>
    <w:p>
      <w:pPr>
        <w:jc w:val="both"/>
        <w:ind w:left="420" w:hanging="389"/>
        <w:spacing w:after="0" w:line="235" w:lineRule="auto"/>
        <w:tabs>
          <w:tab w:leader="none" w:pos="408"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Represents performance-based non-qualified stock options for the purchase of 339,088 shares of common stock, which options vest in five equal installments upon the achievement of five stock price milestones, three of which have been achieved. Achievement of each applicable milestone is based on the average of the closing prices of common stock for a period of 20 consecutive trading days exceeding the applicable milestone stock price. 20% of the options vested upon the achievement of each of the following milestones: a stock price that exceeded $20.07, $26.76, and $33.45. 20% of the options will vest upon achievement of a stock price that exceeds $40.14 and the remaining 20% of the options will vest upon achievement of a stock price that exceeds $46.83. The achievement of the applicable milestone stock prices must be completed by August 13, 2027, which is also the date the options expire, unless Mr. Diaz ceases to be employed by us or providing services to us, in which case, the options are subject to earlier termination.</w:t>
      </w:r>
    </w:p>
    <w:p>
      <w:pPr>
        <w:spacing w:after="0" w:line="93" w:lineRule="exact"/>
        <w:rPr>
          <w:rFonts w:ascii="Arial" w:cs="Arial" w:eastAsia="Arial" w:hAnsi="Arial"/>
          <w:sz w:val="13"/>
          <w:szCs w:val="13"/>
          <w:color w:val="auto"/>
        </w:rPr>
      </w:pPr>
    </w:p>
    <w:p>
      <w:pPr>
        <w:ind w:left="400" w:hanging="369"/>
        <w:spacing w:after="0"/>
        <w:tabs>
          <w:tab w:leader="none" w:pos="4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Restricted stock units granted vest 25% or 33.3% per year beginning no earlier than the first anniversary of the grant date on which the restricted stock units were granted.</w:t>
      </w:r>
    </w:p>
    <w:p>
      <w:pPr>
        <w:spacing w:after="0" w:line="107" w:lineRule="exact"/>
        <w:rPr>
          <w:rFonts w:ascii="Arial" w:cs="Arial" w:eastAsia="Arial" w:hAnsi="Arial"/>
          <w:sz w:val="13"/>
          <w:szCs w:val="13"/>
          <w:color w:val="auto"/>
        </w:rPr>
      </w:pPr>
    </w:p>
    <w:p>
      <w:pPr>
        <w:ind w:left="420" w:right="20" w:hanging="389"/>
        <w:spacing w:after="0" w:line="264" w:lineRule="auto"/>
        <w:tabs>
          <w:tab w:leader="none" w:pos="408"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market value of restricted stock unit awards is determined by multiplying the number of shares by $6.15, the closing price of our common stock on the Nasdaq Global Select Market on December 31, 2025, the last trading day of 2025.</w:t>
      </w:r>
    </w:p>
    <w:p>
      <w:pPr>
        <w:spacing w:after="0" w:line="76" w:lineRule="exact"/>
        <w:rPr>
          <w:rFonts w:ascii="Arial" w:cs="Arial" w:eastAsia="Arial" w:hAnsi="Arial"/>
          <w:sz w:val="13"/>
          <w:szCs w:val="13"/>
          <w:color w:val="auto"/>
        </w:rPr>
      </w:pPr>
    </w:p>
    <w:p>
      <w:pPr>
        <w:jc w:val="both"/>
        <w:ind w:left="420" w:hanging="389"/>
        <w:spacing w:after="0" w:line="236" w:lineRule="auto"/>
        <w:tabs>
          <w:tab w:leader="none" w:pos="408"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Represents PSUs granted (at target performance level) on March 15, 2023, March 14, 2024, June 5, 2025, and August 16, 2025 to certain of our NEOs. The performance metrics for the 2023 PSUs consist of revenue and adjusted EPS measured based on results for the year ended December 31, 2025 and relative total stockholder return for the period from January 1, 2023 to December 31, 2025. To the extent that the 2023 PSUs are determined to have been earned based on the performance metrics, the PSUs will vest on March 15, 2026. The performance metrics for the 2024 PSUs consist of revenue and adjusted EPS measured based on results for the year ended December 31, 2026 and relative total stockholder return for the period from January 1, 2024 to December 31, 2026. To the extent that the 2024 PSUs are determined to have been earned based on the performance metrics, the PSUs will vest on March 14, 2027. The performance metrics for the 2025 PSUs consist of revenue and adjusted EPS measured based on results for the year ended December 31, 2027 results and relative total stockholder return for the period from January 1, 2025 to December 31, 2027. To the extent that the 2025 PSUs are determined to have been earned based on the performance metrics, the PSUs will vest on March 13, 2028. However, any outstanding PSUs granted to Mr. Leffler and Ms. Ancona will vest in accordance with the terms of the Leffler Separation Agreement and the Ancona Separation Agreement, respectively, as described under "Narrative Disclosure to Summary Compensation Table and 2025 Grants of Plan-Based Awards" above.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62" w:name="page63"/>
    <w:bookmarkEnd w:id="62"/>
    <w:p>
      <w:pPr>
        <w:jc w:val="both"/>
        <w:ind w:left="420" w:hanging="389"/>
        <w:spacing w:after="0"/>
        <w:tabs>
          <w:tab w:leader="none" w:pos="408"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performance-based restricted stock units that vest in four equal installments upon the achievement of four stock price milestones, provided that no portion of these units may vest earlier than the first anniversary of the grant date. Achievement of each milestone is based on the average of the closing prices of our common stock over 20 consecutive trading days exceeding the applicable milestone price. 25% of the shares vest upon the achievement of each of the following stock price milestones: $11.12, $14.82, $18.53, and $22.23. Vesting is generally subject to continued service through the date the milestone is achieved.</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2025 Option Exercises and Stock Vested</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following table shows information regarding exercises of options to purchase our common stock and the vesting of restricted stock units held by our NEOs during the year ended December 31, 2025. Because Mr. Donnelly joined us on May 1, 2025, none of his restricted stock units vested during the year ended December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shd w:val="clear" w:color="auto" w:fill="003595"/>
          </w:tcPr>
          <w:p>
            <w:pPr>
              <w:spacing w:after="0"/>
              <w:rPr>
                <w:sz w:val="18"/>
                <w:szCs w:val="18"/>
                <w:color w:val="auto"/>
              </w:rPr>
            </w:pPr>
          </w:p>
        </w:tc>
        <w:tc>
          <w:tcPr>
            <w:tcW w:w="1740" w:type="dxa"/>
            <w:vAlign w:val="bottom"/>
            <w:shd w:val="clear" w:color="auto" w:fill="003595"/>
          </w:tcPr>
          <w:p>
            <w:pPr>
              <w:spacing w:after="0"/>
              <w:rPr>
                <w:sz w:val="18"/>
                <w:szCs w:val="18"/>
                <w:color w:val="auto"/>
              </w:rPr>
            </w:pPr>
          </w:p>
        </w:tc>
        <w:tc>
          <w:tcPr>
            <w:tcW w:w="2880" w:type="dxa"/>
            <w:vAlign w:val="bottom"/>
            <w:gridSpan w:val="2"/>
            <w:shd w:val="clear" w:color="auto" w:fill="003595"/>
          </w:tcPr>
          <w:p>
            <w:pPr>
              <w:ind w:left="100"/>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207"/>
        </w:trPr>
        <w:tc>
          <w:tcPr>
            <w:tcW w:w="6620" w:type="dxa"/>
            <w:vAlign w:val="bottom"/>
            <w:vMerge w:val="restart"/>
            <w:shd w:val="clear" w:color="auto" w:fill="003595"/>
          </w:tcPr>
          <w:p>
            <w:pPr>
              <w:ind w:left="20"/>
              <w:spacing w:after="0"/>
              <w:rPr>
                <w:sz w:val="20"/>
                <w:szCs w:val="20"/>
                <w:color w:val="auto"/>
              </w:rPr>
            </w:pPr>
            <w:r>
              <w:rPr>
                <w:rFonts w:ascii="Arial" w:cs="Arial" w:eastAsia="Arial" w:hAnsi="Arial"/>
                <w:sz w:val="14"/>
                <w:szCs w:val="14"/>
                <w:b w:val="1"/>
                <w:bCs w:val="1"/>
                <w:color w:val="FFFFFF"/>
              </w:rPr>
              <w:t>Name</w:t>
            </w:r>
          </w:p>
        </w:tc>
        <w:tc>
          <w:tcPr>
            <w:tcW w:w="2240" w:type="dxa"/>
            <w:vAlign w:val="bottom"/>
            <w:gridSpan w:val="2"/>
            <w:shd w:val="clear" w:color="auto" w:fill="003595"/>
          </w:tcPr>
          <w:p>
            <w:pPr>
              <w:jc w:val="center"/>
              <w:spacing w:after="0"/>
              <w:rPr>
                <w:sz w:val="20"/>
                <w:szCs w:val="20"/>
                <w:color w:val="auto"/>
              </w:rPr>
            </w:pPr>
            <w:r>
              <w:rPr>
                <w:rFonts w:ascii="Arial" w:cs="Arial" w:eastAsia="Arial" w:hAnsi="Arial"/>
                <w:sz w:val="14"/>
                <w:szCs w:val="14"/>
                <w:b w:val="1"/>
                <w:bCs w:val="1"/>
                <w:color w:val="FFFFFF"/>
              </w:rPr>
              <w:t>Number of Shares Acquired</w:t>
            </w:r>
          </w:p>
        </w:tc>
        <w:tc>
          <w:tcPr>
            <w:tcW w:w="2380" w:type="dxa"/>
            <w:vAlign w:val="bottom"/>
            <w:vMerge w:val="restart"/>
            <w:shd w:val="clear" w:color="auto" w:fill="003595"/>
          </w:tcPr>
          <w:p>
            <w:pPr>
              <w:ind w:left="120"/>
              <w:spacing w:after="0"/>
              <w:rPr>
                <w:sz w:val="20"/>
                <w:szCs w:val="20"/>
                <w:color w:val="auto"/>
              </w:rPr>
            </w:pPr>
            <w:r>
              <w:rPr>
                <w:rFonts w:ascii="Arial" w:cs="Arial" w:eastAsia="Arial" w:hAnsi="Arial"/>
                <w:sz w:val="14"/>
                <w:szCs w:val="14"/>
                <w:b w:val="1"/>
                <w:bCs w:val="1"/>
                <w:color w:val="FFFFFF"/>
              </w:rPr>
              <w:t>Value Realized on Vesting ($) (1)</w:t>
            </w:r>
          </w:p>
        </w:tc>
        <w:tc>
          <w:tcPr>
            <w:tcW w:w="0" w:type="dxa"/>
            <w:vAlign w:val="bottom"/>
          </w:tcPr>
          <w:p>
            <w:pPr>
              <w:spacing w:after="0"/>
              <w:rPr>
                <w:sz w:val="1"/>
                <w:szCs w:val="1"/>
                <w:color w:val="auto"/>
              </w:rPr>
            </w:pPr>
          </w:p>
        </w:tc>
      </w:tr>
      <w:tr>
        <w:trPr>
          <w:trHeight w:val="115"/>
        </w:trPr>
        <w:tc>
          <w:tcPr>
            <w:tcW w:w="6620" w:type="dxa"/>
            <w:vAlign w:val="bottom"/>
            <w:vMerge w:val="continue"/>
            <w:shd w:val="clear" w:color="auto" w:fill="003595"/>
          </w:tcPr>
          <w:p>
            <w:pPr>
              <w:spacing w:after="0"/>
              <w:rPr>
                <w:sz w:val="10"/>
                <w:szCs w:val="10"/>
                <w:color w:val="auto"/>
              </w:rPr>
            </w:pPr>
          </w:p>
        </w:tc>
        <w:tc>
          <w:tcPr>
            <w:tcW w:w="1740" w:type="dxa"/>
            <w:vAlign w:val="bottom"/>
            <w:vMerge w:val="restart"/>
            <w:shd w:val="clear" w:color="auto" w:fill="003595"/>
          </w:tcPr>
          <w:p>
            <w:pPr>
              <w:jc w:val="center"/>
              <w:ind w:left="481"/>
              <w:spacing w:after="0"/>
              <w:rPr>
                <w:sz w:val="20"/>
                <w:szCs w:val="20"/>
                <w:color w:val="auto"/>
              </w:rPr>
            </w:pPr>
            <w:r>
              <w:rPr>
                <w:rFonts w:ascii="Arial" w:cs="Arial" w:eastAsia="Arial" w:hAnsi="Arial"/>
                <w:sz w:val="14"/>
                <w:szCs w:val="14"/>
                <w:b w:val="1"/>
                <w:bCs w:val="1"/>
                <w:color w:val="FFFFFF"/>
              </w:rPr>
              <w:t>on Vesting (#)</w:t>
            </w:r>
          </w:p>
        </w:tc>
        <w:tc>
          <w:tcPr>
            <w:tcW w:w="500" w:type="dxa"/>
            <w:vAlign w:val="bottom"/>
            <w:shd w:val="clear" w:color="auto" w:fill="003595"/>
          </w:tcPr>
          <w:p>
            <w:pPr>
              <w:spacing w:after="0"/>
              <w:rPr>
                <w:sz w:val="10"/>
                <w:szCs w:val="10"/>
                <w:color w:val="auto"/>
              </w:rPr>
            </w:pPr>
          </w:p>
        </w:tc>
        <w:tc>
          <w:tcPr>
            <w:tcW w:w="2380" w:type="dxa"/>
            <w:vAlign w:val="bottom"/>
            <w:vMerge w:val="continue"/>
            <w:shd w:val="clear" w:color="auto" w:fill="003595"/>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620" w:type="dxa"/>
            <w:vAlign w:val="bottom"/>
            <w:tcBorders>
              <w:bottom w:val="single" w:sz="8" w:color="003595"/>
            </w:tcBorders>
            <w:shd w:val="clear" w:color="auto" w:fill="003595"/>
          </w:tcPr>
          <w:p>
            <w:pPr>
              <w:spacing w:after="0"/>
              <w:rPr>
                <w:sz w:val="9"/>
                <w:szCs w:val="9"/>
                <w:color w:val="auto"/>
              </w:rPr>
            </w:pPr>
          </w:p>
        </w:tc>
        <w:tc>
          <w:tcPr>
            <w:tcW w:w="1740" w:type="dxa"/>
            <w:vAlign w:val="bottom"/>
            <w:tcBorders>
              <w:bottom w:val="single" w:sz="8" w:color="003595"/>
            </w:tcBorders>
            <w:vMerge w:val="continue"/>
            <w:shd w:val="clear" w:color="auto" w:fill="003595"/>
          </w:tcPr>
          <w:p>
            <w:pPr>
              <w:spacing w:after="0"/>
              <w:rPr>
                <w:sz w:val="9"/>
                <w:szCs w:val="9"/>
                <w:color w:val="auto"/>
              </w:rPr>
            </w:pPr>
          </w:p>
        </w:tc>
        <w:tc>
          <w:tcPr>
            <w:tcW w:w="500" w:type="dxa"/>
            <w:vAlign w:val="bottom"/>
            <w:tcBorders>
              <w:bottom w:val="single" w:sz="8" w:color="003595"/>
            </w:tcBorders>
            <w:shd w:val="clear" w:color="auto" w:fill="003595"/>
          </w:tcPr>
          <w:p>
            <w:pPr>
              <w:spacing w:after="0"/>
              <w:rPr>
                <w:sz w:val="9"/>
                <w:szCs w:val="9"/>
                <w:color w:val="auto"/>
              </w:rPr>
            </w:pPr>
          </w:p>
        </w:tc>
        <w:tc>
          <w:tcPr>
            <w:tcW w:w="2380" w:type="dxa"/>
            <w:vAlign w:val="bottom"/>
            <w:tcBorders>
              <w:bottom w:val="single" w:sz="8" w:color="003595"/>
            </w:tcBorders>
            <w:shd w:val="clear" w:color="auto" w:fill="003595"/>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620" w:type="dxa"/>
            <w:vAlign w:val="bottom"/>
            <w:tcBorders>
              <w:top w:val="single" w:sz="8" w:color="0A2299"/>
              <w:bottom w:val="single" w:sz="8" w:color="003595"/>
            </w:tcBorders>
          </w:tcPr>
          <w:p>
            <w:pPr>
              <w:ind w:left="20"/>
              <w:spacing w:after="0"/>
              <w:rPr>
                <w:sz w:val="20"/>
                <w:szCs w:val="20"/>
                <w:color w:val="auto"/>
              </w:rPr>
            </w:pPr>
            <w:r>
              <w:rPr>
                <w:rFonts w:ascii="Arial" w:cs="Arial" w:eastAsia="Arial" w:hAnsi="Arial"/>
                <w:sz w:val="16"/>
                <w:szCs w:val="16"/>
                <w:color w:val="auto"/>
              </w:rPr>
              <w:t>Samraat S. Raha</w:t>
            </w:r>
          </w:p>
        </w:tc>
        <w:tc>
          <w:tcPr>
            <w:tcW w:w="1740" w:type="dxa"/>
            <w:vAlign w:val="bottom"/>
            <w:tcBorders>
              <w:top w:val="single" w:sz="8" w:color="0A2299"/>
              <w:bottom w:val="single" w:sz="8" w:color="003595"/>
            </w:tcBorders>
          </w:tcPr>
          <w:p>
            <w:pPr>
              <w:jc w:val="center"/>
              <w:ind w:left="481"/>
              <w:spacing w:after="0"/>
              <w:rPr>
                <w:sz w:val="20"/>
                <w:szCs w:val="20"/>
                <w:color w:val="auto"/>
              </w:rPr>
            </w:pPr>
            <w:r>
              <w:rPr>
                <w:rFonts w:ascii="Arial" w:cs="Arial" w:eastAsia="Arial" w:hAnsi="Arial"/>
                <w:sz w:val="16"/>
                <w:szCs w:val="16"/>
                <w:color w:val="auto"/>
              </w:rPr>
              <w:t>80,588</w:t>
            </w:r>
          </w:p>
        </w:tc>
        <w:tc>
          <w:tcPr>
            <w:tcW w:w="500" w:type="dxa"/>
            <w:vAlign w:val="bottom"/>
            <w:tcBorders>
              <w:top w:val="single" w:sz="8" w:color="0A2299"/>
              <w:bottom w:val="single" w:sz="8" w:color="003595"/>
            </w:tcBorders>
          </w:tcPr>
          <w:p>
            <w:pPr>
              <w:spacing w:after="0"/>
              <w:rPr>
                <w:sz w:val="20"/>
                <w:szCs w:val="20"/>
                <w:color w:val="auto"/>
              </w:rPr>
            </w:pPr>
          </w:p>
        </w:tc>
        <w:tc>
          <w:tcPr>
            <w:tcW w:w="2380" w:type="dxa"/>
            <w:vAlign w:val="bottom"/>
            <w:tcBorders>
              <w:top w:val="single" w:sz="8" w:color="0A2299"/>
              <w:bottom w:val="single" w:sz="8" w:color="003595"/>
            </w:tcBorders>
          </w:tcPr>
          <w:p>
            <w:pPr>
              <w:jc w:val="center"/>
              <w:spacing w:after="0"/>
              <w:rPr>
                <w:sz w:val="20"/>
                <w:szCs w:val="20"/>
                <w:color w:val="auto"/>
              </w:rPr>
            </w:pPr>
            <w:r>
              <w:rPr>
                <w:rFonts w:ascii="Arial" w:cs="Arial" w:eastAsia="Arial" w:hAnsi="Arial"/>
                <w:sz w:val="16"/>
                <w:szCs w:val="16"/>
                <w:color w:val="auto"/>
              </w:rPr>
              <w:t>$647,842</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Paul J. Diaz</w:t>
            </w:r>
          </w:p>
        </w:tc>
        <w:tc>
          <w:tcPr>
            <w:tcW w:w="1740" w:type="dxa"/>
            <w:vAlign w:val="bottom"/>
            <w:tcBorders>
              <w:bottom w:val="single" w:sz="8" w:color="003595"/>
            </w:tcBorders>
          </w:tcPr>
          <w:p>
            <w:pPr>
              <w:jc w:val="center"/>
              <w:ind w:left="501"/>
              <w:spacing w:after="0"/>
              <w:rPr>
                <w:sz w:val="20"/>
                <w:szCs w:val="20"/>
                <w:color w:val="auto"/>
              </w:rPr>
            </w:pPr>
            <w:r>
              <w:rPr>
                <w:rFonts w:ascii="Arial" w:cs="Arial" w:eastAsia="Arial" w:hAnsi="Arial"/>
                <w:sz w:val="16"/>
                <w:szCs w:val="16"/>
                <w:color w:val="auto"/>
              </w:rPr>
              <w:t>404,416</w:t>
            </w:r>
          </w:p>
        </w:tc>
        <w:tc>
          <w:tcPr>
            <w:tcW w:w="500" w:type="dxa"/>
            <w:vAlign w:val="bottom"/>
            <w:tcBorders>
              <w:bottom w:val="single" w:sz="8" w:color="003595"/>
            </w:tcBorders>
          </w:tcPr>
          <w:p>
            <w:pPr>
              <w:spacing w:after="0"/>
              <w:rPr>
                <w:sz w:val="20"/>
                <w:szCs w:val="20"/>
                <w:color w:val="auto"/>
              </w:rPr>
            </w:pPr>
          </w:p>
        </w:tc>
        <w:tc>
          <w:tcPr>
            <w:tcW w:w="23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9"/>
              </w:rPr>
              <w:t>$4,054,113</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Benjamin R. Wheeler</w:t>
            </w:r>
          </w:p>
        </w:tc>
        <w:tc>
          <w:tcPr>
            <w:tcW w:w="1740" w:type="dxa"/>
            <w:vAlign w:val="bottom"/>
            <w:tcBorders>
              <w:bottom w:val="single" w:sz="8" w:color="003595"/>
            </w:tcBorders>
          </w:tcPr>
          <w:p>
            <w:pPr>
              <w:jc w:val="center"/>
              <w:ind w:left="481"/>
              <w:spacing w:after="0"/>
              <w:rPr>
                <w:sz w:val="20"/>
                <w:szCs w:val="20"/>
                <w:color w:val="auto"/>
              </w:rPr>
            </w:pPr>
            <w:r>
              <w:rPr>
                <w:rFonts w:ascii="Arial" w:cs="Arial" w:eastAsia="Arial" w:hAnsi="Arial"/>
                <w:sz w:val="16"/>
                <w:szCs w:val="16"/>
                <w:color w:val="auto"/>
              </w:rPr>
              <w:t>18,347</w:t>
            </w:r>
          </w:p>
        </w:tc>
        <w:tc>
          <w:tcPr>
            <w:tcW w:w="500" w:type="dxa"/>
            <w:vAlign w:val="bottom"/>
            <w:tcBorders>
              <w:bottom w:val="single" w:sz="8" w:color="003595"/>
            </w:tcBorders>
          </w:tcPr>
          <w:p>
            <w:pPr>
              <w:spacing w:after="0"/>
              <w:rPr>
                <w:sz w:val="20"/>
                <w:szCs w:val="20"/>
                <w:color w:val="auto"/>
              </w:rPr>
            </w:pPr>
          </w:p>
        </w:tc>
        <w:tc>
          <w:tcPr>
            <w:tcW w:w="23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$170,596</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Scott J. Leffler</w:t>
            </w:r>
          </w:p>
        </w:tc>
        <w:tc>
          <w:tcPr>
            <w:tcW w:w="1740" w:type="dxa"/>
            <w:vAlign w:val="bottom"/>
            <w:tcBorders>
              <w:bottom w:val="single" w:sz="8" w:color="003595"/>
            </w:tcBorders>
          </w:tcPr>
          <w:p>
            <w:pPr>
              <w:jc w:val="center"/>
              <w:ind w:left="501"/>
              <w:spacing w:after="0"/>
              <w:rPr>
                <w:sz w:val="20"/>
                <w:szCs w:val="20"/>
                <w:color w:val="auto"/>
              </w:rPr>
            </w:pPr>
            <w:r>
              <w:rPr>
                <w:rFonts w:ascii="Arial" w:cs="Arial" w:eastAsia="Arial" w:hAnsi="Arial"/>
                <w:sz w:val="16"/>
                <w:szCs w:val="16"/>
                <w:color w:val="auto"/>
              </w:rPr>
              <w:t>210,539</w:t>
            </w:r>
          </w:p>
        </w:tc>
        <w:tc>
          <w:tcPr>
            <w:tcW w:w="500" w:type="dxa"/>
            <w:vAlign w:val="bottom"/>
            <w:tcBorders>
              <w:bottom w:val="single" w:sz="8" w:color="003595"/>
            </w:tcBorders>
          </w:tcPr>
          <w:p>
            <w:pPr>
              <w:spacing w:after="0"/>
              <w:rPr>
                <w:sz w:val="20"/>
                <w:szCs w:val="20"/>
                <w:color w:val="auto"/>
              </w:rPr>
            </w:pPr>
          </w:p>
        </w:tc>
        <w:tc>
          <w:tcPr>
            <w:tcW w:w="23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$1,805,673</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Mark S. Verratti</w:t>
            </w:r>
          </w:p>
        </w:tc>
        <w:tc>
          <w:tcPr>
            <w:tcW w:w="1740" w:type="dxa"/>
            <w:vAlign w:val="bottom"/>
            <w:tcBorders>
              <w:bottom w:val="single" w:sz="8" w:color="003595"/>
            </w:tcBorders>
          </w:tcPr>
          <w:p>
            <w:pPr>
              <w:jc w:val="center"/>
              <w:ind w:left="481"/>
              <w:spacing w:after="0"/>
              <w:rPr>
                <w:sz w:val="20"/>
                <w:szCs w:val="20"/>
                <w:color w:val="auto"/>
              </w:rPr>
            </w:pPr>
            <w:r>
              <w:rPr>
                <w:rFonts w:ascii="Arial" w:cs="Arial" w:eastAsia="Arial" w:hAnsi="Arial"/>
                <w:sz w:val="16"/>
                <w:szCs w:val="16"/>
                <w:color w:val="auto"/>
              </w:rPr>
              <w:t>64,760</w:t>
            </w:r>
          </w:p>
        </w:tc>
        <w:tc>
          <w:tcPr>
            <w:tcW w:w="500" w:type="dxa"/>
            <w:vAlign w:val="bottom"/>
            <w:tcBorders>
              <w:bottom w:val="single" w:sz="8" w:color="003595"/>
            </w:tcBorders>
          </w:tcPr>
          <w:p>
            <w:pPr>
              <w:spacing w:after="0"/>
              <w:rPr>
                <w:sz w:val="20"/>
                <w:szCs w:val="20"/>
                <w:color w:val="auto"/>
              </w:rPr>
            </w:pPr>
          </w:p>
        </w:tc>
        <w:tc>
          <w:tcPr>
            <w:tcW w:w="23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$639,498</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Dale Muzzey, Ph.D.</w:t>
            </w:r>
          </w:p>
        </w:tc>
        <w:tc>
          <w:tcPr>
            <w:tcW w:w="1740" w:type="dxa"/>
            <w:vAlign w:val="bottom"/>
            <w:tcBorders>
              <w:bottom w:val="single" w:sz="8" w:color="003595"/>
            </w:tcBorders>
          </w:tcPr>
          <w:p>
            <w:pPr>
              <w:jc w:val="center"/>
              <w:ind w:left="481"/>
              <w:spacing w:after="0"/>
              <w:rPr>
                <w:sz w:val="20"/>
                <w:szCs w:val="20"/>
                <w:color w:val="auto"/>
              </w:rPr>
            </w:pPr>
            <w:r>
              <w:rPr>
                <w:rFonts w:ascii="Arial" w:cs="Arial" w:eastAsia="Arial" w:hAnsi="Arial"/>
                <w:sz w:val="16"/>
                <w:szCs w:val="16"/>
                <w:color w:val="auto"/>
              </w:rPr>
              <w:t>45,823</w:t>
            </w:r>
          </w:p>
        </w:tc>
        <w:tc>
          <w:tcPr>
            <w:tcW w:w="500" w:type="dxa"/>
            <w:vAlign w:val="bottom"/>
            <w:tcBorders>
              <w:bottom w:val="single" w:sz="8" w:color="003595"/>
            </w:tcBorders>
          </w:tcPr>
          <w:p>
            <w:pPr>
              <w:spacing w:after="0"/>
              <w:rPr>
                <w:sz w:val="20"/>
                <w:szCs w:val="20"/>
                <w:color w:val="auto"/>
              </w:rPr>
            </w:pPr>
          </w:p>
        </w:tc>
        <w:tc>
          <w:tcPr>
            <w:tcW w:w="23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$459,319</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Margaret Ancona</w:t>
            </w:r>
          </w:p>
        </w:tc>
        <w:tc>
          <w:tcPr>
            <w:tcW w:w="1740" w:type="dxa"/>
            <w:vAlign w:val="bottom"/>
            <w:tcBorders>
              <w:bottom w:val="single" w:sz="8" w:color="003595"/>
            </w:tcBorders>
          </w:tcPr>
          <w:p>
            <w:pPr>
              <w:jc w:val="center"/>
              <w:ind w:left="501"/>
              <w:spacing w:after="0"/>
              <w:rPr>
                <w:sz w:val="20"/>
                <w:szCs w:val="20"/>
                <w:color w:val="auto"/>
              </w:rPr>
            </w:pPr>
            <w:r>
              <w:rPr>
                <w:rFonts w:ascii="Arial" w:cs="Arial" w:eastAsia="Arial" w:hAnsi="Arial"/>
                <w:sz w:val="16"/>
                <w:szCs w:val="16"/>
                <w:color w:val="auto"/>
                <w:w w:val="96"/>
              </w:rPr>
              <w:t>118,240</w:t>
            </w:r>
          </w:p>
        </w:tc>
        <w:tc>
          <w:tcPr>
            <w:tcW w:w="500" w:type="dxa"/>
            <w:vAlign w:val="bottom"/>
            <w:tcBorders>
              <w:bottom w:val="single" w:sz="8" w:color="003595"/>
            </w:tcBorders>
          </w:tcPr>
          <w:p>
            <w:pPr>
              <w:spacing w:after="0"/>
              <w:rPr>
                <w:sz w:val="20"/>
                <w:szCs w:val="20"/>
                <w:color w:val="auto"/>
              </w:rPr>
            </w:pPr>
          </w:p>
        </w:tc>
        <w:tc>
          <w:tcPr>
            <w:tcW w:w="23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8"/>
              </w:rPr>
              <w:t>$911,258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-1414145</wp:posOffset>
            </wp:positionV>
            <wp:extent cx="29317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51" w:lineRule="exact"/>
        <w:rPr>
          <w:sz w:val="20"/>
          <w:szCs w:val="20"/>
          <w:color w:val="auto"/>
        </w:rPr>
      </w:pPr>
    </w:p>
    <w:p>
      <w:pPr>
        <w:jc w:val="both"/>
        <w:ind w:left="420" w:right="100" w:hanging="389"/>
        <w:spacing w:after="0" w:line="264" w:lineRule="auto"/>
        <w:tabs>
          <w:tab w:leader="none" w:pos="408" w:val="left"/>
        </w:tabs>
        <w:numPr>
          <w:ilvl w:val="0"/>
          <w:numId w:val="60"/>
        </w:numPr>
        <w:rPr>
          <w:rFonts w:ascii="Arial" w:cs="Arial" w:eastAsia="Arial" w:hAnsi="Arial"/>
          <w:sz w:val="12"/>
          <w:szCs w:val="12"/>
          <w:color w:val="auto"/>
        </w:rPr>
      </w:pPr>
      <w:r>
        <w:rPr>
          <w:rFonts w:ascii="Arial" w:cs="Arial" w:eastAsia="Arial" w:hAnsi="Arial"/>
          <w:sz w:val="12"/>
          <w:szCs w:val="12"/>
          <w:color w:val="auto"/>
        </w:rPr>
        <w:t>Amounts shown in this column represent the market value of restricted stock units upon vesting as determined by multiplying the number of shares (a) by $13.71, the closing price of our common stock on the Nasdaq Global Select Market on the last trading day prior to January 1, 2025, for shares which vested on that date, (b) by $12.54, the closing price of our common stock on the Nasdaq Global Select Market on the last trading day prior to January 29, 2025, for shares which vested on that date, (c) by $11.74, the closing price of our common stock on the Nasdaq Global Select Market on February 25, 2025, for shares which vested on that date, (d) by $10.07, the closing price of our common stock on the Nasdaq Global Select Market on March 14, 2025, for shares which vested on that date, (e) by $10.07, the closing price of our common stock on the Nasdaq Global Select Market on the last trading day prior to March 15, 2025, for shares which vested on that date, (f) by $10.01, the closing price of our common stock on the Nasdaq Global Select Market on the last trading day prior to March 22, 2025, for shares which vested on that date, (g) by $9.98, the closing price of our common stock on the Nasdaq Global Select Market on March 24, 2025, for shares which vested on that date, (h) by $8.08, the closing price of our common stock on the Nasdaq Global Select Market on the last trading day prior to April 14, 2025, for shares which vested on that date, (i) by $7.77, the closing price of our common stock on the Nasdaq Global Select Market on the last trading day prior to September 22, 2025, for shares which vested on that date, (j) by $7.73, the closing price of our common stock on the Nasdaq Global Select Market on October 1, 2025, for shares which vested on that date, (k) by $6.58, the closing price of our common stock on the Nasdaq Global Select Market on November 5, 2025, for shares which vested on that date, (l) by $7.30, the closing price of our common stock on the Nasdaq Global Select Market on December 11, 2025, for shares which vested on that date, and</w:t>
      </w:r>
    </w:p>
    <w:p>
      <w:pPr>
        <w:spacing w:after="0" w:line="2"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(m) by $6.55, the closing price of our common stock on the Nasdaq Global Select Market on the last trading day prior to December 25, 2025, for shares which vested on that date.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044E7C"/>
        </w:rPr>
        <w:t>Pote</w:t>
      </w:r>
      <w:r>
        <w:rPr>
          <w:rFonts w:ascii="Arial" w:cs="Arial" w:eastAsia="Arial" w:hAnsi="Arial"/>
          <w:sz w:val="20"/>
          <w:szCs w:val="20"/>
          <w:b w:val="1"/>
          <w:bCs w:val="1"/>
          <w:color w:val="003595"/>
        </w:rPr>
        <w:t>ntial Payments Upon Termination or Change of Control</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Severance and Change of Control Agreements</w:t>
      </w:r>
    </w:p>
    <w:p>
      <w:pPr>
        <w:spacing w:after="0" w:line="24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have entered into Severance and Change of Control Agreements (the "Severance and Change of Control Agreements") with each of our executive officers.</w:t>
      </w:r>
    </w:p>
    <w:p>
      <w:pPr>
        <w:spacing w:after="0" w:line="18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Under the terms of the Severance and Change of Control Agreements, if the employment of an executive officer is terminated without “Cause” or if the executive officer separates from us for “Good Reason” (each is defined in the agreement and set forth below), then the executive officer will receive:</w:t>
      </w:r>
    </w:p>
    <w:p>
      <w:pPr>
        <w:spacing w:after="0" w:line="197" w:lineRule="exact"/>
        <w:rPr>
          <w:sz w:val="20"/>
          <w:szCs w:val="20"/>
          <w:color w:val="auto"/>
        </w:rPr>
      </w:pPr>
    </w:p>
    <w:p>
      <w:pPr>
        <w:jc w:val="both"/>
        <w:ind w:left="660" w:hanging="328"/>
        <w:spacing w:after="0" w:line="250" w:lineRule="auto"/>
        <w:tabs>
          <w:tab w:leader="none" w:pos="6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(i) an amount equal to the executive’s then-current annual base salary (or in the case of Mr. Raha, 2.0X his then-current annual base salary), the executive’s then-current target annual bonus (or in the case of Mr. Raha, 2.0X his annual bonus) and any compensation previously deferred; (ii) a prorated portion of the executive’s target annual bonus for the then-current year, based on the portion of the year worked prior to the separation date; (iii) immediate vesting of RSUs scheduled to vest within two years after termination; (iv) vesting of PSUs for two years following termination to the extent that the relevant performance metrics for the PSU grant are achieved; and (v) reimbursement for continued medical benefits until the earlier of 12 months (or in the case of Mr. Raha, 18 months) after the date of termination or the date the executive begins employment with another employer.</w:t>
      </w: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the employment of an executive officer is terminated without “Cause” or if the executive officer separates from us for ‘‘Good Reason’’, within three months before or 24 months after a “Change of Control” (as defined in the agreement and set forth below), then the executive officer will receive the same benefits described in the preceding paragraph, except that all outstanding and unvested equity grants will immediately vest in full.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As defined in the Severance and Change of Control Agreements:</w:t>
      </w:r>
    </w:p>
    <w:p>
      <w:pPr>
        <w:spacing w:after="0" w:line="248" w:lineRule="exact"/>
        <w:rPr>
          <w:sz w:val="20"/>
          <w:szCs w:val="20"/>
          <w:color w:val="auto"/>
        </w:rPr>
      </w:pPr>
    </w:p>
    <w:p>
      <w:pPr>
        <w:jc w:val="both"/>
        <w:ind w:left="660" w:hanging="328"/>
        <w:spacing w:after="0" w:line="245" w:lineRule="auto"/>
        <w:tabs>
          <w:tab w:leader="none" w:pos="649"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means: (i) employee’s gross negligence in the performance of employee’s duties to the Company; (ii) employee’s willful misconduct,</w:t>
      </w:r>
      <w:r>
        <w:rPr>
          <w:rFonts w:ascii="Arial" w:cs="Arial" w:eastAsia="Arial" w:hAnsi="Arial"/>
          <w:sz w:val="16"/>
          <w:szCs w:val="16"/>
          <w:i w:val="1"/>
          <w:iCs w:val="1"/>
          <w:color w:val="auto"/>
        </w:rPr>
        <w:t xml:space="preserve"> </w:t>
      </w:r>
      <w:r>
        <w:rPr>
          <w:rFonts w:ascii="Arial" w:cs="Arial" w:eastAsia="Arial" w:hAnsi="Arial"/>
          <w:sz w:val="16"/>
          <w:szCs w:val="16"/>
          <w:color w:val="auto"/>
        </w:rPr>
        <w:t>embezzlement, misappropriation, fraud, or professional dishonesty; (iii) employee’s material breach of any non-disclosure, invention assignment, non-competition, or similar agreement between employee and the Company; (iv) employee’s commission of a felony or of a crime involving moral turpitude; (v) employee’s willful and material failure to comply with lawful directives of the Board; or (vi) employee’s willful and material breach of a material provision of any employment agreement between employee and the Company or willful and material violation of a material provision of any written Company employment policy applicable to its senior executive officers; provided that (A) the Company provides employee with written notice that the Company intends to terminate employee’s employment thereunder for one of the foregoing circumstances within sixty (60) days of the Board’s knowledge of such circumstance(s) occurring (which notice shall set forth in reasonable detail the circumstance(s) that the Company alleges constitute(s) Cause), (B) in the event that a circumstance described in subsection (v) or (vi) is capable of being cured, employee has failed to cure such circumstance within a period of thirty (30) days after the date of receipt of such written notice, and (C) the Company terminates employee’s employment within sixty five (65) days from the date of the notice referred to in clause (A). Conduct shall not be considered “willful” unless done (or omitted to be done) not in good faith and without a reasonable belief that such conduct (or lack thereof) was in the best interest of the Company.</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“Good Reason</w:t>
      </w:r>
      <w:r>
        <w:rPr>
          <w:rFonts w:ascii="Arial" w:cs="Arial" w:eastAsia="Arial" w:hAnsi="Arial"/>
          <w:sz w:val="16"/>
          <w:szCs w:val="16"/>
          <w:color w:val="auto"/>
        </w:rPr>
        <w:t>” means: (i) a material diminution in employee’s duties, authority or responsibilities; (ii) a material diminution in employee’s base</w:t>
      </w:r>
      <w:r>
        <w:rPr>
          <w:rFonts w:ascii="Arial" w:cs="Arial" w:eastAsia="Arial" w:hAnsi="Arial"/>
          <w:sz w:val="16"/>
          <w:szCs w:val="16"/>
          <w:i w:val="1"/>
          <w:iCs w:val="1"/>
          <w:color w:val="auto"/>
        </w:rPr>
        <w:t xml:space="preserve"> </w:t>
      </w:r>
      <w:r>
        <w:rPr>
          <w:rFonts w:ascii="Arial" w:cs="Arial" w:eastAsia="Arial" w:hAnsi="Arial"/>
          <w:sz w:val="16"/>
          <w:szCs w:val="16"/>
          <w:color w:val="auto"/>
        </w:rPr>
        <w:t>salary, other than a reduction of similar magnitude to the base salaries of other Company senior executive officers if there is a reduction of Company senior executive officer base salaries generally, or a failure by the Company to provide the compensation and benefits provided for in the Severance and Change of Control Agreement; or (iii) a material breach by the Company of the Severance and Change of Control Agreement or any other agreement between the Company and employee; provided that (A) employee provides the Company with written notice that employee intends to terminate employee’s employment thereunder for one of the foregoing circumstances within sixty (60) days of such circumstance occurring (which notice shall set forth in reasonable detail the circumstance(s) that employee alleges constitute(s) Good Reason), (B) if such circumstance is capable of being cured, the Company has failed to cure such circumstance within a period of thirty (30) days after the date of receipt of such written notice, and (C) employee terminates employee’s employment within sixty five (65) days from the date of the notice referred to in clause (A). For purposes of clarification, the above-listed conditions shall apply separately to each occurrence of Good Reason, and failure to adhere to such conditions in the event of a specific occurrence of Good Reason shall not disqualify employee from asserting Good Reason for any subsequent occurrence of Good Reason. For purposes of the Severance and Change of Control Agreement, “Good Reason” shall be interpreted in a manner, and limited to the extent necessary, so that it shall not cause adverse tax consequences for either party with respect to Section 409A of the Internal Revenue Code of 1986, as amended, and any successor statute, regulation and guidance thereto.</w:t>
      </w:r>
    </w:p>
    <w:p>
      <w:pPr>
        <w:spacing w:after="0" w:line="208" w:lineRule="exact"/>
        <w:rPr>
          <w:rFonts w:ascii="Arial" w:cs="Arial" w:eastAsia="Arial" w:hAnsi="Arial"/>
          <w:sz w:val="16"/>
          <w:szCs w:val="16"/>
          <w:color w:val="auto"/>
        </w:rPr>
      </w:pPr>
    </w:p>
    <w:p>
      <w:pPr>
        <w:jc w:val="both"/>
        <w:ind w:left="660" w:hanging="328"/>
        <w:spacing w:after="0" w:line="245" w:lineRule="auto"/>
        <w:tabs>
          <w:tab w:leader="none" w:pos="649"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events: (A) Ownership: any “Person” (as such term is used in Sections 13(d) and</w:t>
      </w:r>
      <w:r>
        <w:rPr>
          <w:rFonts w:ascii="Arial" w:cs="Arial" w:eastAsia="Arial" w:hAnsi="Arial"/>
          <w:sz w:val="16"/>
          <w:szCs w:val="16"/>
          <w:i w:val="1"/>
          <w:iCs w:val="1"/>
          <w:color w:val="auto"/>
        </w:rPr>
        <w:t xml:space="preserve"> </w:t>
      </w:r>
      <w:r>
        <w:rPr>
          <w:rFonts w:ascii="Arial" w:cs="Arial" w:eastAsia="Arial" w:hAnsi="Arial"/>
          <w:sz w:val="16"/>
          <w:szCs w:val="16"/>
          <w:color w:val="auto"/>
        </w:rPr>
        <w:t>14(d) of the Securities Exchange Act of 1934, as amended) becomes the “Beneficial Owner” (as defined in Rule 13d-3 under said Act), directly or indirectly, of securities of the Company representing fifty percent (50%) or more of the total voting power represented by the Company’s then outstanding voting securities (excluding for this purpose any such voting securities held by the Company, any subsidiary of the Company, or any employee benefit plan of the Company); or (B) Merger/Sale of Assets: (1)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entity) at least fifty percent (50%) of the total voting power represented by the voting securities of the Company or such surviving entity or parent of such entity, as the case may be, outstanding immediately after such merger or consolidation; or (2) the sale or disposition by the Company of all or substantially all of the Company’s assets; or (C) Board Change: a change in the Board or its members such that individuals who, as of the effective date of the Severance and Change of Control Agreement or, if later, the date that is one year prior to such change (the later of such two dates referred to herein as the “Measurement Date”), constitute the Board (the “Incumbent Board”) cease to constitute at least a majority of the Board; provided, however, that any individual becoming a director subsequent to the Measurement Date whose election, or nomination for election by the Company’s stockholders, was approved by a vote of at least a majority of the directors then comprising the Incumbent Board (including for these purposes, any new members whose election or nomination was so approved, without counting the member and his or her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Death or Disability</w:t>
      </w:r>
    </w:p>
    <w:p>
      <w:pPr>
        <w:spacing w:after="0" w:line="2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accordance with the Severance and Change of Control Agreements for our executive officers, if an executive officer's employment is terminated due to death or disability, then the executive officer (or their estate) will receive:</w:t>
      </w:r>
    </w:p>
    <w:p>
      <w:pPr>
        <w:spacing w:after="0" w:line="183" w:lineRule="exact"/>
        <w:rPr>
          <w:sz w:val="20"/>
          <w:szCs w:val="20"/>
          <w:color w:val="auto"/>
        </w:rPr>
      </w:pPr>
    </w:p>
    <w:p>
      <w:pPr>
        <w:ind w:left="660" w:hanging="328"/>
        <w:spacing w:after="0" w:line="286" w:lineRule="auto"/>
        <w:tabs>
          <w:tab w:leader="none" w:pos="6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lump-sum payment in an amount equal to the pro-rated portion of the executive officer's target annual bonus for the year in which the separation occurs, based on the portion of the year worked prior to separation; and</w:t>
      </w:r>
    </w:p>
    <w:p>
      <w:pPr>
        <w:spacing w:after="0" w:line="182"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Pro-rata vesting of the executive officer's time-based equity awards based on the period of employment between the most recent vesting date prior to the separation date and the separation date, including any time-based vesting of performance-based awards that the CHCC determines to have been earned.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i w:val="1"/>
          <w:iCs w:val="1"/>
          <w:color w:val="0071CE"/>
        </w:rPr>
        <w:t>Summary of Potential Payments</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summarizes the potential payments to Mr. Raha, Mr. Wheeler, Mr. Verratti, Mr. Donnelly, and Dr. Muzzey under the Severance and Change of Control Agreements, in connection with (i) a termination without Cause or a separation for Good Reason following a Change of Control, (ii) a termination without Cause or a separation for Good Reason independent of a Change of Control or (iii) a termination due to death or disability, in each case assuming such termination or separation occurred as of December 31, 2025.</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(i) February 24, 2025, we entered into the Diaz Consulting Agreement with Mr. Diaz, (ii) October 1, 2025, we entered into the Leffler Separation Agreement with Mr. Leffler and (iii) November 5, 2025, we entered into the Ancona Separation Agreement with Ms. Ancona, each of which provided for the separation benefits to the respective executive officer as set forth under "Narrative Disclosure to Summary Compensation Table and 2025 Grants of Plan-Based Awards Table" above, which disclosure is incorporated herein by reference.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40" w:type="dxa"/>
            <w:vAlign w:val="bottom"/>
            <w:shd w:val="clear" w:color="auto" w:fill="003595"/>
          </w:tcPr>
          <w:p>
            <w:pPr>
              <w:spacing w:after="0"/>
              <w:rPr>
                <w:sz w:val="16"/>
                <w:szCs w:val="16"/>
                <w:color w:val="auto"/>
              </w:rPr>
            </w:pPr>
          </w:p>
        </w:tc>
        <w:tc>
          <w:tcPr>
            <w:tcW w:w="3560" w:type="dxa"/>
            <w:vAlign w:val="bottom"/>
            <w:shd w:val="clear" w:color="auto" w:fill="003595"/>
          </w:tcPr>
          <w:p>
            <w:pPr>
              <w:spacing w:after="0"/>
              <w:rPr>
                <w:sz w:val="16"/>
                <w:szCs w:val="16"/>
                <w:color w:val="auto"/>
              </w:rPr>
            </w:pPr>
          </w:p>
        </w:tc>
        <w:tc>
          <w:tcPr>
            <w:tcW w:w="1620" w:type="dxa"/>
            <w:vAlign w:val="bottom"/>
            <w:shd w:val="clear" w:color="auto" w:fill="003595"/>
          </w:tcPr>
          <w:p>
            <w:pPr>
              <w:jc w:val="center"/>
              <w:ind w:left="9"/>
              <w:spacing w:after="0"/>
              <w:rPr>
                <w:sz w:val="20"/>
                <w:szCs w:val="20"/>
                <w:color w:val="auto"/>
              </w:rPr>
            </w:pPr>
            <w:r>
              <w:rPr>
                <w:rFonts w:ascii="Arial" w:cs="Arial" w:eastAsia="Arial" w:hAnsi="Arial"/>
                <w:sz w:val="14"/>
                <w:szCs w:val="14"/>
                <w:b w:val="1"/>
                <w:bCs w:val="1"/>
                <w:color w:val="FFFFFF"/>
              </w:rPr>
              <w:t>Change of Control</w:t>
            </w:r>
          </w:p>
        </w:tc>
        <w:tc>
          <w:tcPr>
            <w:tcW w:w="198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Involuntary</w:t>
            </w:r>
          </w:p>
        </w:tc>
        <w:tc>
          <w:tcPr>
            <w:tcW w:w="1840" w:type="dxa"/>
            <w:vAlign w:val="bottom"/>
            <w:shd w:val="clear" w:color="auto" w:fill="003595"/>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240" w:type="dxa"/>
            <w:vAlign w:val="bottom"/>
            <w:shd w:val="clear" w:color="auto" w:fill="003595"/>
          </w:tcPr>
          <w:p>
            <w:pPr>
              <w:spacing w:after="0"/>
              <w:rPr>
                <w:sz w:val="7"/>
                <w:szCs w:val="7"/>
                <w:color w:val="auto"/>
              </w:rPr>
            </w:pPr>
          </w:p>
        </w:tc>
        <w:tc>
          <w:tcPr>
            <w:tcW w:w="3560" w:type="dxa"/>
            <w:vAlign w:val="bottom"/>
            <w:shd w:val="clear" w:color="auto" w:fill="003595"/>
          </w:tcPr>
          <w:p>
            <w:pPr>
              <w:spacing w:after="0"/>
              <w:rPr>
                <w:sz w:val="7"/>
                <w:szCs w:val="7"/>
                <w:color w:val="auto"/>
              </w:rPr>
            </w:pPr>
          </w:p>
        </w:tc>
        <w:tc>
          <w:tcPr>
            <w:tcW w:w="162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and Involuntary</w:t>
            </w:r>
          </w:p>
        </w:tc>
        <w:tc>
          <w:tcPr>
            <w:tcW w:w="1980" w:type="dxa"/>
            <w:vAlign w:val="bottom"/>
            <w:vMerge w:val="continue"/>
            <w:shd w:val="clear" w:color="auto" w:fill="003595"/>
          </w:tcPr>
          <w:p>
            <w:pPr>
              <w:spacing w:after="0"/>
              <w:rPr>
                <w:sz w:val="7"/>
                <w:szCs w:val="7"/>
                <w:color w:val="auto"/>
              </w:rPr>
            </w:pPr>
          </w:p>
        </w:tc>
        <w:tc>
          <w:tcPr>
            <w:tcW w:w="1840" w:type="dxa"/>
            <w:vAlign w:val="bottom"/>
            <w:shd w:val="clear" w:color="auto" w:fill="00359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40" w:type="dxa"/>
            <w:vAlign w:val="bottom"/>
            <w:shd w:val="clear" w:color="auto" w:fill="003595"/>
          </w:tcPr>
          <w:p>
            <w:pPr>
              <w:spacing w:after="0"/>
              <w:rPr>
                <w:sz w:val="7"/>
                <w:szCs w:val="7"/>
                <w:color w:val="auto"/>
              </w:rPr>
            </w:pPr>
          </w:p>
        </w:tc>
        <w:tc>
          <w:tcPr>
            <w:tcW w:w="356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Executive Benefits</w:t>
            </w:r>
          </w:p>
        </w:tc>
        <w:tc>
          <w:tcPr>
            <w:tcW w:w="1620" w:type="dxa"/>
            <w:vAlign w:val="bottom"/>
            <w:vMerge w:val="continue"/>
            <w:shd w:val="clear" w:color="auto" w:fill="003595"/>
          </w:tcPr>
          <w:p>
            <w:pPr>
              <w:spacing w:after="0"/>
              <w:rPr>
                <w:sz w:val="7"/>
                <w:szCs w:val="7"/>
                <w:color w:val="auto"/>
              </w:rPr>
            </w:pPr>
          </w:p>
        </w:tc>
        <w:tc>
          <w:tcPr>
            <w:tcW w:w="198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Termination</w:t>
            </w:r>
          </w:p>
        </w:tc>
        <w:tc>
          <w:tcPr>
            <w:tcW w:w="1840" w:type="dxa"/>
            <w:vAlign w:val="bottom"/>
            <w:shd w:val="clear" w:color="auto" w:fill="00359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40" w:type="dxa"/>
            <w:vAlign w:val="bottom"/>
            <w:vMerge w:val="restart"/>
            <w:shd w:val="clear" w:color="auto" w:fill="003595"/>
          </w:tcPr>
          <w:p>
            <w:pPr>
              <w:ind w:left="280"/>
              <w:spacing w:after="0"/>
              <w:rPr>
                <w:sz w:val="20"/>
                <w:szCs w:val="20"/>
                <w:color w:val="auto"/>
              </w:rPr>
            </w:pPr>
            <w:r>
              <w:rPr>
                <w:rFonts w:ascii="Arial" w:cs="Arial" w:eastAsia="Arial" w:hAnsi="Arial"/>
                <w:sz w:val="14"/>
                <w:szCs w:val="14"/>
                <w:b w:val="1"/>
                <w:bCs w:val="1"/>
                <w:color w:val="FFFFFF"/>
              </w:rPr>
              <w:t>Named Executive Officer</w:t>
            </w:r>
          </w:p>
        </w:tc>
        <w:tc>
          <w:tcPr>
            <w:tcW w:w="3560" w:type="dxa"/>
            <w:vAlign w:val="bottom"/>
            <w:vMerge w:val="continue"/>
            <w:shd w:val="clear" w:color="auto" w:fill="003595"/>
          </w:tcPr>
          <w:p>
            <w:pPr>
              <w:spacing w:after="0"/>
              <w:rPr>
                <w:sz w:val="7"/>
                <w:szCs w:val="7"/>
                <w:color w:val="auto"/>
              </w:rPr>
            </w:pPr>
          </w:p>
        </w:tc>
        <w:tc>
          <w:tcPr>
            <w:tcW w:w="1620" w:type="dxa"/>
            <w:vAlign w:val="bottom"/>
            <w:vMerge w:val="restart"/>
            <w:shd w:val="clear" w:color="auto" w:fill="003595"/>
          </w:tcPr>
          <w:p>
            <w:pPr>
              <w:jc w:val="center"/>
              <w:ind w:left="9"/>
              <w:spacing w:after="0"/>
              <w:rPr>
                <w:sz w:val="20"/>
                <w:szCs w:val="20"/>
                <w:color w:val="auto"/>
              </w:rPr>
            </w:pPr>
            <w:r>
              <w:rPr>
                <w:rFonts w:ascii="Arial" w:cs="Arial" w:eastAsia="Arial" w:hAnsi="Arial"/>
                <w:sz w:val="14"/>
                <w:szCs w:val="14"/>
                <w:b w:val="1"/>
                <w:bCs w:val="1"/>
                <w:color w:val="FFFFFF"/>
              </w:rPr>
              <w:t>Termination Without</w:t>
            </w:r>
          </w:p>
        </w:tc>
        <w:tc>
          <w:tcPr>
            <w:tcW w:w="1980" w:type="dxa"/>
            <w:vAlign w:val="bottom"/>
            <w:vMerge w:val="continue"/>
            <w:shd w:val="clear" w:color="auto" w:fill="003595"/>
          </w:tcPr>
          <w:p>
            <w:pPr>
              <w:spacing w:after="0"/>
              <w:rPr>
                <w:sz w:val="7"/>
                <w:szCs w:val="7"/>
                <w:color w:val="auto"/>
              </w:rPr>
            </w:pPr>
          </w:p>
        </w:tc>
        <w:tc>
          <w:tcPr>
            <w:tcW w:w="1840" w:type="dxa"/>
            <w:vAlign w:val="bottom"/>
            <w:vMerge w:val="restart"/>
            <w:shd w:val="clear" w:color="auto" w:fill="003595"/>
          </w:tcPr>
          <w:p>
            <w:pPr>
              <w:ind w:left="60"/>
              <w:spacing w:after="0"/>
              <w:rPr>
                <w:sz w:val="20"/>
                <w:szCs w:val="20"/>
                <w:color w:val="auto"/>
              </w:rPr>
            </w:pPr>
            <w:r>
              <w:rPr>
                <w:rFonts w:ascii="Arial" w:cs="Arial" w:eastAsia="Arial" w:hAnsi="Arial"/>
                <w:sz w:val="14"/>
                <w:szCs w:val="14"/>
                <w:b w:val="1"/>
                <w:bCs w:val="1"/>
                <w:color w:val="FFFFFF"/>
              </w:rPr>
              <w:t>Death or Disability ($) (1)</w:t>
            </w:r>
          </w:p>
        </w:tc>
        <w:tc>
          <w:tcPr>
            <w:tcW w:w="0" w:type="dxa"/>
            <w:vAlign w:val="bottom"/>
          </w:tcPr>
          <w:p>
            <w:pPr>
              <w:spacing w:after="0"/>
              <w:rPr>
                <w:sz w:val="1"/>
                <w:szCs w:val="1"/>
                <w:color w:val="auto"/>
              </w:rPr>
            </w:pPr>
          </w:p>
        </w:tc>
      </w:tr>
      <w:tr>
        <w:trPr>
          <w:trHeight w:val="158"/>
        </w:trPr>
        <w:tc>
          <w:tcPr>
            <w:tcW w:w="2240" w:type="dxa"/>
            <w:vAlign w:val="bottom"/>
            <w:vMerge w:val="continue"/>
            <w:shd w:val="clear" w:color="auto" w:fill="003595"/>
          </w:tcPr>
          <w:p>
            <w:pPr>
              <w:spacing w:after="0"/>
              <w:rPr>
                <w:sz w:val="13"/>
                <w:szCs w:val="13"/>
                <w:color w:val="auto"/>
              </w:rPr>
            </w:pPr>
          </w:p>
        </w:tc>
        <w:tc>
          <w:tcPr>
            <w:tcW w:w="3560" w:type="dxa"/>
            <w:vAlign w:val="bottom"/>
            <w:shd w:val="clear" w:color="auto" w:fill="003595"/>
          </w:tcPr>
          <w:p>
            <w:pPr>
              <w:jc w:val="center"/>
              <w:spacing w:after="0" w:line="158" w:lineRule="exact"/>
              <w:rPr>
                <w:sz w:val="20"/>
                <w:szCs w:val="20"/>
                <w:color w:val="auto"/>
              </w:rPr>
            </w:pPr>
            <w:r>
              <w:rPr>
                <w:rFonts w:ascii="Arial" w:cs="Arial" w:eastAsia="Arial" w:hAnsi="Arial"/>
                <w:sz w:val="14"/>
                <w:szCs w:val="14"/>
                <w:b w:val="1"/>
                <w:bCs w:val="1"/>
                <w:color w:val="FFFFFF"/>
              </w:rPr>
              <w:t>and Payments Upon Termination</w:t>
            </w:r>
          </w:p>
        </w:tc>
        <w:tc>
          <w:tcPr>
            <w:tcW w:w="1620" w:type="dxa"/>
            <w:vAlign w:val="bottom"/>
            <w:vMerge w:val="continue"/>
            <w:shd w:val="clear" w:color="auto" w:fill="003595"/>
          </w:tcPr>
          <w:p>
            <w:pPr>
              <w:spacing w:after="0"/>
              <w:rPr>
                <w:sz w:val="13"/>
                <w:szCs w:val="13"/>
                <w:color w:val="auto"/>
              </w:rPr>
            </w:pPr>
          </w:p>
        </w:tc>
        <w:tc>
          <w:tcPr>
            <w:tcW w:w="1980" w:type="dxa"/>
            <w:vAlign w:val="bottom"/>
            <w:shd w:val="clear" w:color="auto" w:fill="003595"/>
          </w:tcPr>
          <w:p>
            <w:pPr>
              <w:jc w:val="center"/>
              <w:spacing w:after="0" w:line="158" w:lineRule="exact"/>
              <w:rPr>
                <w:sz w:val="20"/>
                <w:szCs w:val="20"/>
                <w:color w:val="auto"/>
              </w:rPr>
            </w:pPr>
            <w:r>
              <w:rPr>
                <w:rFonts w:ascii="Arial" w:cs="Arial" w:eastAsia="Arial" w:hAnsi="Arial"/>
                <w:sz w:val="14"/>
                <w:szCs w:val="14"/>
                <w:b w:val="1"/>
                <w:bCs w:val="1"/>
                <w:color w:val="FFFFFF"/>
              </w:rPr>
              <w:t>Without Cause or for Good</w:t>
            </w:r>
          </w:p>
        </w:tc>
        <w:tc>
          <w:tcPr>
            <w:tcW w:w="1840" w:type="dxa"/>
            <w:vAlign w:val="bottom"/>
            <w:vMerge w:val="continue"/>
            <w:shd w:val="clear" w:color="auto" w:fill="003595"/>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240" w:type="dxa"/>
            <w:vAlign w:val="bottom"/>
            <w:shd w:val="clear" w:color="auto" w:fill="003595"/>
          </w:tcPr>
          <w:p>
            <w:pPr>
              <w:spacing w:after="0"/>
              <w:rPr>
                <w:sz w:val="9"/>
                <w:szCs w:val="9"/>
                <w:color w:val="auto"/>
              </w:rPr>
            </w:pPr>
          </w:p>
        </w:tc>
        <w:tc>
          <w:tcPr>
            <w:tcW w:w="3560" w:type="dxa"/>
            <w:vAlign w:val="bottom"/>
            <w:shd w:val="clear" w:color="auto" w:fill="003595"/>
          </w:tcPr>
          <w:p>
            <w:pPr>
              <w:spacing w:after="0"/>
              <w:rPr>
                <w:sz w:val="9"/>
                <w:szCs w:val="9"/>
                <w:color w:val="auto"/>
              </w:rPr>
            </w:pPr>
          </w:p>
        </w:tc>
        <w:tc>
          <w:tcPr>
            <w:tcW w:w="1620" w:type="dxa"/>
            <w:vAlign w:val="bottom"/>
            <w:shd w:val="clear" w:color="auto" w:fill="003595"/>
          </w:tcPr>
          <w:p>
            <w:pPr>
              <w:jc w:val="center"/>
              <w:ind w:left="9"/>
              <w:spacing w:after="0" w:line="113" w:lineRule="exact"/>
              <w:rPr>
                <w:sz w:val="20"/>
                <w:szCs w:val="20"/>
                <w:color w:val="auto"/>
              </w:rPr>
            </w:pPr>
            <w:r>
              <w:rPr>
                <w:rFonts w:ascii="Arial" w:cs="Arial" w:eastAsia="Arial" w:hAnsi="Arial"/>
                <w:sz w:val="13"/>
                <w:szCs w:val="13"/>
                <w:b w:val="1"/>
                <w:bCs w:val="1"/>
                <w:color w:val="FFFFFF"/>
              </w:rPr>
              <w:t>Cause or for Good</w:t>
            </w:r>
          </w:p>
        </w:tc>
        <w:tc>
          <w:tcPr>
            <w:tcW w:w="198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Reason ($) (1)</w:t>
            </w:r>
          </w:p>
        </w:tc>
        <w:tc>
          <w:tcPr>
            <w:tcW w:w="1840" w:type="dxa"/>
            <w:vAlign w:val="bottom"/>
            <w:shd w:val="clear" w:color="auto" w:fill="003595"/>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40" w:type="dxa"/>
            <w:vAlign w:val="bottom"/>
            <w:shd w:val="clear" w:color="auto" w:fill="003595"/>
          </w:tcPr>
          <w:p>
            <w:pPr>
              <w:spacing w:after="0"/>
              <w:rPr>
                <w:sz w:val="8"/>
                <w:szCs w:val="8"/>
                <w:color w:val="auto"/>
              </w:rPr>
            </w:pPr>
          </w:p>
        </w:tc>
        <w:tc>
          <w:tcPr>
            <w:tcW w:w="3560" w:type="dxa"/>
            <w:vAlign w:val="bottom"/>
            <w:shd w:val="clear" w:color="auto" w:fill="003595"/>
          </w:tcPr>
          <w:p>
            <w:pPr>
              <w:spacing w:after="0"/>
              <w:rPr>
                <w:sz w:val="8"/>
                <w:szCs w:val="8"/>
                <w:color w:val="auto"/>
              </w:rPr>
            </w:pPr>
          </w:p>
        </w:tc>
        <w:tc>
          <w:tcPr>
            <w:tcW w:w="162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Reason ($) (1)</w:t>
            </w:r>
          </w:p>
        </w:tc>
        <w:tc>
          <w:tcPr>
            <w:tcW w:w="1980" w:type="dxa"/>
            <w:vAlign w:val="bottom"/>
            <w:vMerge w:val="continue"/>
            <w:shd w:val="clear" w:color="auto" w:fill="003595"/>
          </w:tcPr>
          <w:p>
            <w:pPr>
              <w:spacing w:after="0"/>
              <w:rPr>
                <w:sz w:val="8"/>
                <w:szCs w:val="8"/>
                <w:color w:val="auto"/>
              </w:rPr>
            </w:pPr>
          </w:p>
        </w:tc>
        <w:tc>
          <w:tcPr>
            <w:tcW w:w="1840" w:type="dxa"/>
            <w:vAlign w:val="bottom"/>
            <w:shd w:val="clear" w:color="auto" w:fill="003595"/>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240" w:type="dxa"/>
            <w:vAlign w:val="bottom"/>
            <w:tcBorders>
              <w:bottom w:val="single" w:sz="8" w:color="003595"/>
            </w:tcBorders>
            <w:shd w:val="clear" w:color="auto" w:fill="003595"/>
          </w:tcPr>
          <w:p>
            <w:pPr>
              <w:spacing w:after="0"/>
              <w:rPr>
                <w:sz w:val="9"/>
                <w:szCs w:val="9"/>
                <w:color w:val="auto"/>
              </w:rPr>
            </w:pPr>
          </w:p>
        </w:tc>
        <w:tc>
          <w:tcPr>
            <w:tcW w:w="3560" w:type="dxa"/>
            <w:vAlign w:val="bottom"/>
            <w:tcBorders>
              <w:bottom w:val="single" w:sz="8" w:color="003595"/>
            </w:tcBorders>
            <w:shd w:val="clear" w:color="auto" w:fill="003595"/>
          </w:tcPr>
          <w:p>
            <w:pPr>
              <w:spacing w:after="0"/>
              <w:rPr>
                <w:sz w:val="9"/>
                <w:szCs w:val="9"/>
                <w:color w:val="auto"/>
              </w:rPr>
            </w:pPr>
          </w:p>
        </w:tc>
        <w:tc>
          <w:tcPr>
            <w:tcW w:w="1620" w:type="dxa"/>
            <w:vAlign w:val="bottom"/>
            <w:tcBorders>
              <w:bottom w:val="single" w:sz="8" w:color="0A2299"/>
            </w:tcBorders>
            <w:vMerge w:val="continue"/>
            <w:shd w:val="clear" w:color="auto" w:fill="003595"/>
          </w:tcPr>
          <w:p>
            <w:pPr>
              <w:spacing w:after="0"/>
              <w:rPr>
                <w:sz w:val="9"/>
                <w:szCs w:val="9"/>
                <w:color w:val="auto"/>
              </w:rPr>
            </w:pPr>
          </w:p>
        </w:tc>
        <w:tc>
          <w:tcPr>
            <w:tcW w:w="1980" w:type="dxa"/>
            <w:vAlign w:val="bottom"/>
            <w:tcBorders>
              <w:bottom w:val="single" w:sz="8" w:color="0A2299"/>
            </w:tcBorders>
            <w:shd w:val="clear" w:color="auto" w:fill="003595"/>
          </w:tcPr>
          <w:p>
            <w:pPr>
              <w:spacing w:after="0"/>
              <w:rPr>
                <w:sz w:val="9"/>
                <w:szCs w:val="9"/>
                <w:color w:val="auto"/>
              </w:rPr>
            </w:pPr>
          </w:p>
        </w:tc>
        <w:tc>
          <w:tcPr>
            <w:tcW w:w="1840" w:type="dxa"/>
            <w:vAlign w:val="bottom"/>
            <w:tcBorders>
              <w:bottom w:val="single" w:sz="8" w:color="0A2299"/>
            </w:tcBorders>
            <w:shd w:val="clear" w:color="auto" w:fill="003595"/>
          </w:tcPr>
          <w:p>
            <w:pPr>
              <w:spacing w:after="0"/>
              <w:rPr>
                <w:sz w:val="9"/>
                <w:szCs w:val="9"/>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11240"/>
          </w:cols>
          <w:pgMar w:left="320" w:top="1005" w:right="339" w:bottom="1440" w:gutter="0" w:footer="0" w:header="0"/>
        </w:sectPr>
      </w:pPr>
    </w:p>
    <w:tbl>
      <w:tblPr>
        <w:tblLayout w:type="fixed"/>
        <w:tblInd w:w="0" w:type="dxa"/>
        <w:tblCellMar>
          <w:top w:w="0" w:type="dxa"/>
          <w:left w:w="0" w:type="dxa"/>
          <w:bottom w:w="0" w:type="dxa"/>
          <w:right w:w="0" w:type="dxa"/>
        </w:tblCellMar>
      </w:tblPr>
      <w:tr>
        <w:trPr>
          <w:trHeight w:val="190"/>
        </w:trPr>
        <w:tc>
          <w:tcPr>
            <w:tcW w:w="22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Base salary</w:t>
            </w:r>
          </w:p>
        </w:tc>
      </w:tr>
      <w:tr>
        <w:trPr>
          <w:trHeight w:val="229"/>
        </w:trPr>
        <w:tc>
          <w:tcPr>
            <w:tcW w:w="2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Bonus</w:t>
            </w:r>
          </w:p>
        </w:tc>
      </w:tr>
      <w:tr>
        <w:trPr>
          <w:trHeight w:val="282"/>
        </w:trPr>
        <w:tc>
          <w:tcPr>
            <w:tcW w:w="2220" w:type="dxa"/>
            <w:vAlign w:val="bottom"/>
          </w:tcPr>
          <w:p>
            <w:pPr>
              <w:ind w:left="20"/>
              <w:spacing w:after="0"/>
              <w:rPr>
                <w:sz w:val="20"/>
                <w:szCs w:val="20"/>
                <w:color w:val="auto"/>
              </w:rPr>
            </w:pPr>
            <w:r>
              <w:rPr>
                <w:rFonts w:ascii="Arial" w:cs="Arial" w:eastAsia="Arial" w:hAnsi="Arial"/>
                <w:sz w:val="14"/>
                <w:szCs w:val="14"/>
                <w:color w:val="auto"/>
              </w:rPr>
              <w:t>Samraat S. Raha</w:t>
            </w:r>
          </w:p>
        </w:tc>
        <w:tc>
          <w:tcPr>
            <w:tcW w:w="3580" w:type="dxa"/>
            <w:vAlign w:val="bottom"/>
          </w:tcPr>
          <w:p>
            <w:pPr>
              <w:jc w:val="center"/>
              <w:spacing w:after="0"/>
              <w:rPr>
                <w:sz w:val="20"/>
                <w:szCs w:val="20"/>
                <w:color w:val="auto"/>
              </w:rPr>
            </w:pPr>
            <w:r>
              <w:rPr>
                <w:rFonts w:ascii="Arial" w:cs="Arial" w:eastAsia="Arial" w:hAnsi="Arial"/>
                <w:sz w:val="14"/>
                <w:szCs w:val="14"/>
                <w:color w:val="auto"/>
              </w:rPr>
              <w:t xml:space="preserve">RSU and PSU acceleration </w:t>
            </w:r>
            <w:r>
              <w:rPr>
                <w:rFonts w:ascii="Arial" w:cs="Arial" w:eastAsia="Arial" w:hAnsi="Arial"/>
                <w:sz w:val="18"/>
                <w:szCs w:val="18"/>
                <w:color w:val="auto"/>
                <w:vertAlign w:val="superscript"/>
              </w:rPr>
              <w:t>(2)</w:t>
            </w:r>
          </w:p>
        </w:tc>
      </w:tr>
      <w:tr>
        <w:trPr>
          <w:trHeight w:val="190"/>
        </w:trPr>
        <w:tc>
          <w:tcPr>
            <w:tcW w:w="22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COBRA benefits</w:t>
            </w:r>
          </w:p>
        </w:tc>
      </w:tr>
      <w:tr>
        <w:trPr>
          <w:trHeight w:val="229"/>
        </w:trPr>
        <w:tc>
          <w:tcPr>
            <w:tcW w:w="2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22"/>
        </w:trPr>
        <w:tc>
          <w:tcPr>
            <w:tcW w:w="2220" w:type="dxa"/>
            <w:vAlign w:val="bottom"/>
            <w:tcBorders>
              <w:bottom w:val="single" w:sz="8" w:color="003595"/>
            </w:tcBorders>
          </w:tcPr>
          <w:p>
            <w:pPr>
              <w:spacing w:after="0" w:line="20" w:lineRule="exact"/>
              <w:rPr>
                <w:sz w:val="1"/>
                <w:szCs w:val="1"/>
                <w:color w:val="auto"/>
              </w:rPr>
            </w:pPr>
          </w:p>
        </w:tc>
        <w:tc>
          <w:tcPr>
            <w:tcW w:w="3580" w:type="dxa"/>
            <w:vAlign w:val="bottom"/>
            <w:tcBorders>
              <w:bottom w:val="single" w:sz="8" w:color="003595"/>
            </w:tcBorders>
          </w:tcPr>
          <w:p>
            <w:pPr>
              <w:spacing w:after="0" w:line="20" w:lineRule="exact"/>
              <w:rPr>
                <w:sz w:val="1"/>
                <w:szCs w:val="1"/>
                <w:color w:val="auto"/>
              </w:rPr>
            </w:pPr>
          </w:p>
        </w:tc>
      </w:tr>
      <w:tr>
        <w:trPr>
          <w:trHeight w:val="202"/>
        </w:trPr>
        <w:tc>
          <w:tcPr>
            <w:tcW w:w="22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Base salary</w:t>
            </w:r>
          </w:p>
        </w:tc>
      </w:tr>
      <w:tr>
        <w:trPr>
          <w:trHeight w:val="229"/>
        </w:trPr>
        <w:tc>
          <w:tcPr>
            <w:tcW w:w="2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Bonus</w:t>
            </w: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Benjamin R. Wheeler</w:t>
            </w:r>
          </w:p>
        </w:tc>
        <w:tc>
          <w:tcPr>
            <w:tcW w:w="3580" w:type="dxa"/>
            <w:vAlign w:val="bottom"/>
          </w:tcPr>
          <w:p>
            <w:pPr>
              <w:jc w:val="center"/>
              <w:spacing w:after="0"/>
              <w:rPr>
                <w:sz w:val="20"/>
                <w:szCs w:val="20"/>
                <w:color w:val="auto"/>
              </w:rPr>
            </w:pPr>
            <w:r>
              <w:rPr>
                <w:rFonts w:ascii="Arial" w:cs="Arial" w:eastAsia="Arial" w:hAnsi="Arial"/>
                <w:sz w:val="14"/>
                <w:szCs w:val="14"/>
                <w:color w:val="auto"/>
              </w:rPr>
              <w:t xml:space="preserve">RSU and PSU acceleration </w:t>
            </w:r>
            <w:r>
              <w:rPr>
                <w:rFonts w:ascii="Arial" w:cs="Arial" w:eastAsia="Arial" w:hAnsi="Arial"/>
                <w:sz w:val="18"/>
                <w:szCs w:val="18"/>
                <w:color w:val="auto"/>
                <w:vertAlign w:val="superscript"/>
              </w:rPr>
              <w:t>(2)</w:t>
            </w:r>
          </w:p>
        </w:tc>
      </w:tr>
      <w:tr>
        <w:trPr>
          <w:trHeight w:val="190"/>
        </w:trPr>
        <w:tc>
          <w:tcPr>
            <w:tcW w:w="22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COBRA benefits</w:t>
            </w:r>
          </w:p>
        </w:tc>
      </w:tr>
      <w:tr>
        <w:trPr>
          <w:trHeight w:val="230"/>
        </w:trPr>
        <w:tc>
          <w:tcPr>
            <w:tcW w:w="2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22"/>
        </w:trPr>
        <w:tc>
          <w:tcPr>
            <w:tcW w:w="2220" w:type="dxa"/>
            <w:vAlign w:val="bottom"/>
            <w:tcBorders>
              <w:bottom w:val="single" w:sz="8" w:color="003595"/>
            </w:tcBorders>
          </w:tcPr>
          <w:p>
            <w:pPr>
              <w:spacing w:after="0" w:line="20" w:lineRule="exact"/>
              <w:rPr>
                <w:sz w:val="1"/>
                <w:szCs w:val="1"/>
                <w:color w:val="auto"/>
              </w:rPr>
            </w:pPr>
          </w:p>
        </w:tc>
        <w:tc>
          <w:tcPr>
            <w:tcW w:w="3580" w:type="dxa"/>
            <w:vAlign w:val="bottom"/>
            <w:tcBorders>
              <w:bottom w:val="single" w:sz="8" w:color="003595"/>
            </w:tcBorders>
          </w:tcPr>
          <w:p>
            <w:pPr>
              <w:spacing w:after="0" w:line="20" w:lineRule="exact"/>
              <w:rPr>
                <w:sz w:val="1"/>
                <w:szCs w:val="1"/>
                <w:color w:val="auto"/>
              </w:rPr>
            </w:pPr>
          </w:p>
        </w:tc>
      </w:tr>
      <w:tr>
        <w:trPr>
          <w:trHeight w:val="201"/>
        </w:trPr>
        <w:tc>
          <w:tcPr>
            <w:tcW w:w="22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Base salary</w:t>
            </w:r>
          </w:p>
        </w:tc>
      </w:tr>
      <w:tr>
        <w:trPr>
          <w:trHeight w:val="230"/>
        </w:trPr>
        <w:tc>
          <w:tcPr>
            <w:tcW w:w="2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Bonus</w:t>
            </w: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Mark S. Verratti</w:t>
            </w:r>
          </w:p>
        </w:tc>
        <w:tc>
          <w:tcPr>
            <w:tcW w:w="3580" w:type="dxa"/>
            <w:vAlign w:val="bottom"/>
          </w:tcPr>
          <w:p>
            <w:pPr>
              <w:jc w:val="center"/>
              <w:spacing w:after="0"/>
              <w:rPr>
                <w:sz w:val="20"/>
                <w:szCs w:val="20"/>
                <w:color w:val="auto"/>
              </w:rPr>
            </w:pPr>
            <w:r>
              <w:rPr>
                <w:rFonts w:ascii="Arial" w:cs="Arial" w:eastAsia="Arial" w:hAnsi="Arial"/>
                <w:sz w:val="14"/>
                <w:szCs w:val="14"/>
                <w:color w:val="auto"/>
              </w:rPr>
              <w:t xml:space="preserve">RSU and PSU acceleration </w:t>
            </w:r>
            <w:r>
              <w:rPr>
                <w:rFonts w:ascii="Arial" w:cs="Arial" w:eastAsia="Arial" w:hAnsi="Arial"/>
                <w:sz w:val="18"/>
                <w:szCs w:val="18"/>
                <w:color w:val="auto"/>
                <w:vertAlign w:val="superscript"/>
              </w:rPr>
              <w:t>(2)</w:t>
            </w:r>
          </w:p>
        </w:tc>
      </w:tr>
      <w:tr>
        <w:trPr>
          <w:trHeight w:val="190"/>
        </w:trPr>
        <w:tc>
          <w:tcPr>
            <w:tcW w:w="22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COBRA benefits</w:t>
            </w:r>
          </w:p>
        </w:tc>
      </w:tr>
      <w:tr>
        <w:trPr>
          <w:trHeight w:val="229"/>
        </w:trPr>
        <w:tc>
          <w:tcPr>
            <w:tcW w:w="2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22"/>
        </w:trPr>
        <w:tc>
          <w:tcPr>
            <w:tcW w:w="2220" w:type="dxa"/>
            <w:vAlign w:val="bottom"/>
            <w:tcBorders>
              <w:bottom w:val="single" w:sz="8" w:color="003595"/>
            </w:tcBorders>
          </w:tcPr>
          <w:p>
            <w:pPr>
              <w:spacing w:after="0" w:line="20" w:lineRule="exact"/>
              <w:rPr>
                <w:sz w:val="1"/>
                <w:szCs w:val="1"/>
                <w:color w:val="auto"/>
              </w:rPr>
            </w:pPr>
          </w:p>
        </w:tc>
        <w:tc>
          <w:tcPr>
            <w:tcW w:w="3580" w:type="dxa"/>
            <w:vAlign w:val="bottom"/>
            <w:tcBorders>
              <w:bottom w:val="single" w:sz="8" w:color="003595"/>
            </w:tcBorders>
          </w:tcPr>
          <w:p>
            <w:pPr>
              <w:spacing w:after="0" w:line="20" w:lineRule="exact"/>
              <w:rPr>
                <w:sz w:val="1"/>
                <w:szCs w:val="1"/>
                <w:color w:val="auto"/>
              </w:rPr>
            </w:pPr>
          </w:p>
        </w:tc>
      </w:tr>
      <w:tr>
        <w:trPr>
          <w:trHeight w:val="202"/>
        </w:trPr>
        <w:tc>
          <w:tcPr>
            <w:tcW w:w="22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Base salary</w:t>
            </w:r>
          </w:p>
        </w:tc>
      </w:tr>
      <w:tr>
        <w:trPr>
          <w:trHeight w:val="229"/>
        </w:trPr>
        <w:tc>
          <w:tcPr>
            <w:tcW w:w="2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Bonus</w:t>
            </w: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Brian J. Donnelly</w:t>
            </w:r>
          </w:p>
        </w:tc>
        <w:tc>
          <w:tcPr>
            <w:tcW w:w="3580" w:type="dxa"/>
            <w:vAlign w:val="bottom"/>
          </w:tcPr>
          <w:p>
            <w:pPr>
              <w:jc w:val="center"/>
              <w:spacing w:after="0"/>
              <w:rPr>
                <w:sz w:val="20"/>
                <w:szCs w:val="20"/>
                <w:color w:val="auto"/>
              </w:rPr>
            </w:pPr>
            <w:r>
              <w:rPr>
                <w:rFonts w:ascii="Arial" w:cs="Arial" w:eastAsia="Arial" w:hAnsi="Arial"/>
                <w:sz w:val="14"/>
                <w:szCs w:val="14"/>
                <w:color w:val="auto"/>
              </w:rPr>
              <w:t xml:space="preserve">RSU and PSU acceleration </w:t>
            </w:r>
            <w:r>
              <w:rPr>
                <w:rFonts w:ascii="Arial" w:cs="Arial" w:eastAsia="Arial" w:hAnsi="Arial"/>
                <w:sz w:val="18"/>
                <w:szCs w:val="18"/>
                <w:color w:val="auto"/>
                <w:vertAlign w:val="superscript"/>
              </w:rPr>
              <w:t>(2)</w:t>
            </w:r>
          </w:p>
        </w:tc>
      </w:tr>
      <w:tr>
        <w:trPr>
          <w:trHeight w:val="190"/>
        </w:trPr>
        <w:tc>
          <w:tcPr>
            <w:tcW w:w="22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COBRA benefits</w:t>
            </w:r>
          </w:p>
        </w:tc>
      </w:tr>
      <w:tr>
        <w:trPr>
          <w:trHeight w:val="230"/>
        </w:trPr>
        <w:tc>
          <w:tcPr>
            <w:tcW w:w="2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22"/>
        </w:trPr>
        <w:tc>
          <w:tcPr>
            <w:tcW w:w="2220" w:type="dxa"/>
            <w:vAlign w:val="bottom"/>
            <w:tcBorders>
              <w:bottom w:val="single" w:sz="8" w:color="003595"/>
            </w:tcBorders>
          </w:tcPr>
          <w:p>
            <w:pPr>
              <w:spacing w:after="0" w:line="20" w:lineRule="exact"/>
              <w:rPr>
                <w:sz w:val="1"/>
                <w:szCs w:val="1"/>
                <w:color w:val="auto"/>
              </w:rPr>
            </w:pPr>
          </w:p>
        </w:tc>
        <w:tc>
          <w:tcPr>
            <w:tcW w:w="3580" w:type="dxa"/>
            <w:vAlign w:val="bottom"/>
            <w:tcBorders>
              <w:bottom w:val="single" w:sz="8" w:color="003595"/>
            </w:tcBorders>
          </w:tcPr>
          <w:p>
            <w:pPr>
              <w:spacing w:after="0" w:line="20" w:lineRule="exact"/>
              <w:rPr>
                <w:sz w:val="1"/>
                <w:szCs w:val="1"/>
                <w:color w:val="auto"/>
              </w:rPr>
            </w:pPr>
          </w:p>
        </w:tc>
      </w:tr>
      <w:tr>
        <w:trPr>
          <w:trHeight w:val="201"/>
        </w:trPr>
        <w:tc>
          <w:tcPr>
            <w:tcW w:w="22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Base salary</w:t>
            </w:r>
          </w:p>
        </w:tc>
      </w:tr>
      <w:tr>
        <w:trPr>
          <w:trHeight w:val="229"/>
        </w:trPr>
        <w:tc>
          <w:tcPr>
            <w:tcW w:w="2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Bonus</w:t>
            </w: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Dale Muzzey, Ph.D.</w:t>
            </w:r>
          </w:p>
        </w:tc>
        <w:tc>
          <w:tcPr>
            <w:tcW w:w="3580" w:type="dxa"/>
            <w:vAlign w:val="bottom"/>
          </w:tcPr>
          <w:p>
            <w:pPr>
              <w:jc w:val="center"/>
              <w:spacing w:after="0"/>
              <w:rPr>
                <w:sz w:val="20"/>
                <w:szCs w:val="20"/>
                <w:color w:val="auto"/>
              </w:rPr>
            </w:pPr>
            <w:r>
              <w:rPr>
                <w:rFonts w:ascii="Arial" w:cs="Arial" w:eastAsia="Arial" w:hAnsi="Arial"/>
                <w:sz w:val="14"/>
                <w:szCs w:val="14"/>
                <w:color w:val="auto"/>
              </w:rPr>
              <w:t xml:space="preserve">RSU and PSU acceleration </w:t>
            </w:r>
            <w:r>
              <w:rPr>
                <w:rFonts w:ascii="Arial" w:cs="Arial" w:eastAsia="Arial" w:hAnsi="Arial"/>
                <w:sz w:val="18"/>
                <w:szCs w:val="18"/>
                <w:color w:val="auto"/>
                <w:vertAlign w:val="superscript"/>
              </w:rPr>
              <w:t>(2)</w:t>
            </w:r>
          </w:p>
        </w:tc>
      </w:tr>
      <w:tr>
        <w:trPr>
          <w:trHeight w:val="190"/>
        </w:trPr>
        <w:tc>
          <w:tcPr>
            <w:tcW w:w="22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rPr>
              <w:t>COBRA benefits</w:t>
            </w:r>
          </w:p>
        </w:tc>
      </w:tr>
      <w:tr>
        <w:trPr>
          <w:trHeight w:val="230"/>
        </w:trPr>
        <w:tc>
          <w:tcPr>
            <w:tcW w:w="2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22"/>
        </w:trPr>
        <w:tc>
          <w:tcPr>
            <w:tcW w:w="2220" w:type="dxa"/>
            <w:vAlign w:val="bottom"/>
            <w:tcBorders>
              <w:bottom w:val="single" w:sz="8" w:color="003595"/>
            </w:tcBorders>
          </w:tcPr>
          <w:p>
            <w:pPr>
              <w:spacing w:after="0" w:line="20" w:lineRule="exact"/>
              <w:rPr>
                <w:sz w:val="1"/>
                <w:szCs w:val="1"/>
                <w:color w:val="auto"/>
              </w:rPr>
            </w:pPr>
          </w:p>
        </w:tc>
        <w:tc>
          <w:tcPr>
            <w:tcW w:w="3580" w:type="dxa"/>
            <w:vAlign w:val="bottom"/>
            <w:tcBorders>
              <w:bottom w:val="single" w:sz="8" w:color="00359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jc w:val="center"/>
              <w:spacing w:after="0"/>
              <w:rPr>
                <w:sz w:val="20"/>
                <w:szCs w:val="20"/>
                <w:color w:val="auto"/>
              </w:rPr>
            </w:pPr>
            <w:r>
              <w:rPr>
                <w:rFonts w:ascii="Arial" w:cs="Arial" w:eastAsia="Arial" w:hAnsi="Arial"/>
                <w:sz w:val="14"/>
                <w:szCs w:val="14"/>
                <w:color w:val="auto"/>
              </w:rPr>
              <w:t>$1,840,000</w:t>
            </w:r>
          </w:p>
        </w:tc>
        <w:tc>
          <w:tcPr>
            <w:tcW w:w="1840" w:type="dxa"/>
            <w:vAlign w:val="bottom"/>
          </w:tcPr>
          <w:p>
            <w:pPr>
              <w:jc w:val="center"/>
              <w:spacing w:after="0"/>
              <w:rPr>
                <w:sz w:val="20"/>
                <w:szCs w:val="20"/>
                <w:color w:val="auto"/>
              </w:rPr>
            </w:pPr>
            <w:r>
              <w:rPr>
                <w:rFonts w:ascii="Arial" w:cs="Arial" w:eastAsia="Arial" w:hAnsi="Arial"/>
                <w:sz w:val="14"/>
                <w:szCs w:val="14"/>
                <w:color w:val="auto"/>
              </w:rPr>
              <w:t>$1,840,000</w:t>
            </w:r>
          </w:p>
        </w:tc>
        <w:tc>
          <w:tcPr>
            <w:tcW w:w="18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29"/>
        </w:trPr>
        <w:tc>
          <w:tcPr>
            <w:tcW w:w="1740" w:type="dxa"/>
            <w:vAlign w:val="bottom"/>
          </w:tcPr>
          <w:p>
            <w:pPr>
              <w:jc w:val="center"/>
              <w:spacing w:after="0"/>
              <w:rPr>
                <w:sz w:val="20"/>
                <w:szCs w:val="20"/>
                <w:color w:val="auto"/>
              </w:rPr>
            </w:pPr>
            <w:r>
              <w:rPr>
                <w:rFonts w:ascii="Arial" w:cs="Arial" w:eastAsia="Arial" w:hAnsi="Arial"/>
                <w:sz w:val="14"/>
                <w:szCs w:val="14"/>
                <w:color w:val="auto"/>
              </w:rPr>
              <w:t>$1,840,000</w:t>
            </w:r>
          </w:p>
        </w:tc>
        <w:tc>
          <w:tcPr>
            <w:tcW w:w="1840" w:type="dxa"/>
            <w:vAlign w:val="bottom"/>
          </w:tcPr>
          <w:p>
            <w:pPr>
              <w:jc w:val="center"/>
              <w:spacing w:after="0"/>
              <w:rPr>
                <w:sz w:val="20"/>
                <w:szCs w:val="20"/>
                <w:color w:val="auto"/>
              </w:rPr>
            </w:pPr>
            <w:r>
              <w:rPr>
                <w:rFonts w:ascii="Arial" w:cs="Arial" w:eastAsia="Arial" w:hAnsi="Arial"/>
                <w:sz w:val="14"/>
                <w:szCs w:val="14"/>
                <w:color w:val="auto"/>
              </w:rPr>
              <w:t>$1,840,000</w:t>
            </w:r>
          </w:p>
        </w:tc>
        <w:tc>
          <w:tcPr>
            <w:tcW w:w="1860" w:type="dxa"/>
            <w:vAlign w:val="bottom"/>
          </w:tcPr>
          <w:p>
            <w:pPr>
              <w:jc w:val="center"/>
              <w:spacing w:after="0"/>
              <w:rPr>
                <w:sz w:val="20"/>
                <w:szCs w:val="20"/>
                <w:color w:val="auto"/>
              </w:rPr>
            </w:pPr>
            <w:r>
              <w:rPr>
                <w:rFonts w:ascii="Arial" w:cs="Arial" w:eastAsia="Arial" w:hAnsi="Arial"/>
                <w:sz w:val="14"/>
                <w:szCs w:val="14"/>
                <w:color w:val="auto"/>
              </w:rPr>
              <w:t>$920,000</w:t>
            </w:r>
          </w:p>
        </w:tc>
      </w:tr>
      <w:tr>
        <w:trPr>
          <w:trHeight w:val="243"/>
        </w:trPr>
        <w:tc>
          <w:tcPr>
            <w:tcW w:w="1740" w:type="dxa"/>
            <w:vAlign w:val="bottom"/>
          </w:tcPr>
          <w:p>
            <w:pPr>
              <w:jc w:val="center"/>
              <w:spacing w:after="0"/>
              <w:rPr>
                <w:sz w:val="20"/>
                <w:szCs w:val="20"/>
                <w:color w:val="auto"/>
              </w:rPr>
            </w:pPr>
            <w:r>
              <w:rPr>
                <w:rFonts w:ascii="Arial" w:cs="Arial" w:eastAsia="Arial" w:hAnsi="Arial"/>
                <w:sz w:val="14"/>
                <w:szCs w:val="14"/>
                <w:color w:val="auto"/>
              </w:rPr>
              <w:t>$4,918,210</w:t>
            </w:r>
          </w:p>
        </w:tc>
        <w:tc>
          <w:tcPr>
            <w:tcW w:w="1840" w:type="dxa"/>
            <w:vAlign w:val="bottom"/>
          </w:tcPr>
          <w:p>
            <w:pPr>
              <w:jc w:val="center"/>
              <w:spacing w:after="0"/>
              <w:rPr>
                <w:sz w:val="20"/>
                <w:szCs w:val="20"/>
                <w:color w:val="auto"/>
              </w:rPr>
            </w:pPr>
            <w:r>
              <w:rPr>
                <w:rFonts w:ascii="Arial" w:cs="Arial" w:eastAsia="Arial" w:hAnsi="Arial"/>
                <w:sz w:val="14"/>
                <w:szCs w:val="14"/>
                <w:color w:val="auto"/>
              </w:rPr>
              <w:t>$3,475,812</w:t>
            </w:r>
          </w:p>
        </w:tc>
        <w:tc>
          <w:tcPr>
            <w:tcW w:w="1860" w:type="dxa"/>
            <w:vAlign w:val="bottom"/>
          </w:tcPr>
          <w:p>
            <w:pPr>
              <w:jc w:val="center"/>
              <w:spacing w:after="0"/>
              <w:rPr>
                <w:sz w:val="20"/>
                <w:szCs w:val="20"/>
                <w:color w:val="auto"/>
              </w:rPr>
            </w:pPr>
            <w:r>
              <w:rPr>
                <w:rFonts w:ascii="Arial" w:cs="Arial" w:eastAsia="Arial" w:hAnsi="Arial"/>
                <w:sz w:val="14"/>
                <w:szCs w:val="14"/>
                <w:color w:val="auto"/>
              </w:rPr>
              <w:t>$432,021</w:t>
            </w:r>
          </w:p>
        </w:tc>
      </w:tr>
      <w:tr>
        <w:trPr>
          <w:trHeight w:val="229"/>
        </w:trPr>
        <w:tc>
          <w:tcPr>
            <w:tcW w:w="1740" w:type="dxa"/>
            <w:vAlign w:val="bottom"/>
          </w:tcPr>
          <w:p>
            <w:pPr>
              <w:jc w:val="center"/>
              <w:spacing w:after="0"/>
              <w:rPr>
                <w:sz w:val="20"/>
                <w:szCs w:val="20"/>
                <w:color w:val="auto"/>
              </w:rPr>
            </w:pPr>
            <w:r>
              <w:rPr>
                <w:rFonts w:ascii="Arial" w:cs="Arial" w:eastAsia="Arial" w:hAnsi="Arial"/>
                <w:sz w:val="14"/>
                <w:szCs w:val="14"/>
                <w:color w:val="auto"/>
              </w:rPr>
              <w:t>$52,292</w:t>
            </w:r>
          </w:p>
        </w:tc>
        <w:tc>
          <w:tcPr>
            <w:tcW w:w="1840" w:type="dxa"/>
            <w:vAlign w:val="bottom"/>
          </w:tcPr>
          <w:p>
            <w:pPr>
              <w:jc w:val="center"/>
              <w:spacing w:after="0"/>
              <w:rPr>
                <w:sz w:val="20"/>
                <w:szCs w:val="20"/>
                <w:color w:val="auto"/>
              </w:rPr>
            </w:pPr>
            <w:r>
              <w:rPr>
                <w:rFonts w:ascii="Arial" w:cs="Arial" w:eastAsia="Arial" w:hAnsi="Arial"/>
                <w:sz w:val="14"/>
                <w:szCs w:val="14"/>
                <w:color w:val="auto"/>
              </w:rPr>
              <w:t>$52,292</w:t>
            </w:r>
          </w:p>
        </w:tc>
        <w:tc>
          <w:tcPr>
            <w:tcW w:w="18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29"/>
        </w:trPr>
        <w:tc>
          <w:tcPr>
            <w:tcW w:w="1740" w:type="dxa"/>
            <w:vAlign w:val="bottom"/>
          </w:tcPr>
          <w:p>
            <w:pPr>
              <w:jc w:val="center"/>
              <w:spacing w:after="0"/>
              <w:rPr>
                <w:sz w:val="20"/>
                <w:szCs w:val="20"/>
                <w:color w:val="auto"/>
              </w:rPr>
            </w:pPr>
            <w:r>
              <w:rPr>
                <w:rFonts w:ascii="Arial" w:cs="Arial" w:eastAsia="Arial" w:hAnsi="Arial"/>
                <w:sz w:val="14"/>
                <w:szCs w:val="14"/>
                <w:color w:val="auto"/>
              </w:rPr>
              <w:t>$8,650,503</w:t>
            </w:r>
          </w:p>
        </w:tc>
        <w:tc>
          <w:tcPr>
            <w:tcW w:w="1840" w:type="dxa"/>
            <w:vAlign w:val="bottom"/>
          </w:tcPr>
          <w:p>
            <w:pPr>
              <w:jc w:val="center"/>
              <w:spacing w:after="0"/>
              <w:rPr>
                <w:sz w:val="20"/>
                <w:szCs w:val="20"/>
                <w:color w:val="auto"/>
              </w:rPr>
            </w:pPr>
            <w:r>
              <w:rPr>
                <w:rFonts w:ascii="Arial" w:cs="Arial" w:eastAsia="Arial" w:hAnsi="Arial"/>
                <w:sz w:val="14"/>
                <w:szCs w:val="14"/>
                <w:color w:val="auto"/>
              </w:rPr>
              <w:t>$7,208,105</w:t>
            </w:r>
          </w:p>
        </w:tc>
        <w:tc>
          <w:tcPr>
            <w:tcW w:w="1860" w:type="dxa"/>
            <w:vAlign w:val="bottom"/>
          </w:tcPr>
          <w:p>
            <w:pPr>
              <w:jc w:val="center"/>
              <w:spacing w:after="0"/>
              <w:rPr>
                <w:sz w:val="20"/>
                <w:szCs w:val="20"/>
                <w:color w:val="auto"/>
              </w:rPr>
            </w:pPr>
            <w:r>
              <w:rPr>
                <w:rFonts w:ascii="Arial" w:cs="Arial" w:eastAsia="Arial" w:hAnsi="Arial"/>
                <w:sz w:val="14"/>
                <w:szCs w:val="14"/>
                <w:color w:val="auto"/>
              </w:rPr>
              <w:t>$1,352,021</w:t>
            </w:r>
          </w:p>
        </w:tc>
      </w:tr>
      <w:tr>
        <w:trPr>
          <w:trHeight w:val="22"/>
        </w:trPr>
        <w:tc>
          <w:tcPr>
            <w:tcW w:w="1740" w:type="dxa"/>
            <w:vAlign w:val="bottom"/>
            <w:tcBorders>
              <w:bottom w:val="single" w:sz="8" w:color="0A2299"/>
            </w:tcBorders>
          </w:tcPr>
          <w:p>
            <w:pPr>
              <w:spacing w:after="0" w:line="20" w:lineRule="exact"/>
              <w:rPr>
                <w:sz w:val="1"/>
                <w:szCs w:val="1"/>
                <w:color w:val="auto"/>
              </w:rPr>
            </w:pPr>
          </w:p>
        </w:tc>
        <w:tc>
          <w:tcPr>
            <w:tcW w:w="1840" w:type="dxa"/>
            <w:vAlign w:val="bottom"/>
            <w:tcBorders>
              <w:bottom w:val="single" w:sz="8" w:color="0A2299"/>
            </w:tcBorders>
          </w:tcPr>
          <w:p>
            <w:pPr>
              <w:spacing w:after="0" w:line="20" w:lineRule="exact"/>
              <w:rPr>
                <w:sz w:val="1"/>
                <w:szCs w:val="1"/>
                <w:color w:val="auto"/>
              </w:rPr>
            </w:pPr>
          </w:p>
        </w:tc>
        <w:tc>
          <w:tcPr>
            <w:tcW w:w="1860" w:type="dxa"/>
            <w:vAlign w:val="bottom"/>
            <w:tcBorders>
              <w:bottom w:val="single" w:sz="8" w:color="0A2299"/>
            </w:tcBorders>
          </w:tcPr>
          <w:p>
            <w:pPr>
              <w:spacing w:after="0" w:line="20" w:lineRule="exact"/>
              <w:rPr>
                <w:sz w:val="1"/>
                <w:szCs w:val="1"/>
                <w:color w:val="auto"/>
              </w:rPr>
            </w:pPr>
          </w:p>
        </w:tc>
      </w:tr>
      <w:tr>
        <w:trPr>
          <w:trHeight w:val="202"/>
        </w:trPr>
        <w:tc>
          <w:tcPr>
            <w:tcW w:w="1740" w:type="dxa"/>
            <w:vAlign w:val="bottom"/>
          </w:tcPr>
          <w:p>
            <w:pPr>
              <w:jc w:val="center"/>
              <w:spacing w:after="0"/>
              <w:rPr>
                <w:sz w:val="20"/>
                <w:szCs w:val="20"/>
                <w:color w:val="auto"/>
              </w:rPr>
            </w:pPr>
            <w:r>
              <w:rPr>
                <w:rFonts w:ascii="Arial" w:cs="Arial" w:eastAsia="Arial" w:hAnsi="Arial"/>
                <w:sz w:val="14"/>
                <w:szCs w:val="14"/>
                <w:color w:val="auto"/>
              </w:rPr>
              <w:t>$490,000</w:t>
            </w:r>
          </w:p>
        </w:tc>
        <w:tc>
          <w:tcPr>
            <w:tcW w:w="1840" w:type="dxa"/>
            <w:vAlign w:val="bottom"/>
          </w:tcPr>
          <w:p>
            <w:pPr>
              <w:jc w:val="center"/>
              <w:spacing w:after="0"/>
              <w:rPr>
                <w:sz w:val="20"/>
                <w:szCs w:val="20"/>
                <w:color w:val="auto"/>
              </w:rPr>
            </w:pPr>
            <w:r>
              <w:rPr>
                <w:rFonts w:ascii="Arial" w:cs="Arial" w:eastAsia="Arial" w:hAnsi="Arial"/>
                <w:sz w:val="14"/>
                <w:szCs w:val="14"/>
                <w:color w:val="auto"/>
              </w:rPr>
              <w:t>$490,000</w:t>
            </w:r>
          </w:p>
        </w:tc>
        <w:tc>
          <w:tcPr>
            <w:tcW w:w="18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29"/>
        </w:trPr>
        <w:tc>
          <w:tcPr>
            <w:tcW w:w="1740" w:type="dxa"/>
            <w:vAlign w:val="bottom"/>
          </w:tcPr>
          <w:p>
            <w:pPr>
              <w:jc w:val="center"/>
              <w:spacing w:after="0"/>
              <w:rPr>
                <w:sz w:val="20"/>
                <w:szCs w:val="20"/>
                <w:color w:val="auto"/>
              </w:rPr>
            </w:pPr>
            <w:r>
              <w:rPr>
                <w:rFonts w:ascii="Arial" w:cs="Arial" w:eastAsia="Arial" w:hAnsi="Arial"/>
                <w:sz w:val="14"/>
                <w:szCs w:val="14"/>
                <w:color w:val="auto"/>
              </w:rPr>
              <w:t>$735,000</w:t>
            </w:r>
          </w:p>
        </w:tc>
        <w:tc>
          <w:tcPr>
            <w:tcW w:w="1840" w:type="dxa"/>
            <w:vAlign w:val="bottom"/>
          </w:tcPr>
          <w:p>
            <w:pPr>
              <w:jc w:val="center"/>
              <w:spacing w:after="0"/>
              <w:rPr>
                <w:sz w:val="20"/>
                <w:szCs w:val="20"/>
                <w:color w:val="auto"/>
              </w:rPr>
            </w:pPr>
            <w:r>
              <w:rPr>
                <w:rFonts w:ascii="Arial" w:cs="Arial" w:eastAsia="Arial" w:hAnsi="Arial"/>
                <w:sz w:val="14"/>
                <w:szCs w:val="14"/>
                <w:color w:val="auto"/>
              </w:rPr>
              <w:t>$735,000</w:t>
            </w:r>
          </w:p>
        </w:tc>
        <w:tc>
          <w:tcPr>
            <w:tcW w:w="1860" w:type="dxa"/>
            <w:vAlign w:val="bottom"/>
          </w:tcPr>
          <w:p>
            <w:pPr>
              <w:jc w:val="center"/>
              <w:spacing w:after="0"/>
              <w:rPr>
                <w:sz w:val="20"/>
                <w:szCs w:val="20"/>
                <w:color w:val="auto"/>
              </w:rPr>
            </w:pPr>
            <w:r>
              <w:rPr>
                <w:rFonts w:ascii="Arial" w:cs="Arial" w:eastAsia="Arial" w:hAnsi="Arial"/>
                <w:sz w:val="14"/>
                <w:szCs w:val="14"/>
                <w:color w:val="auto"/>
              </w:rPr>
              <w:t>$367,500</w:t>
            </w:r>
          </w:p>
        </w:tc>
      </w:tr>
      <w:tr>
        <w:trPr>
          <w:trHeight w:val="230"/>
        </w:trPr>
        <w:tc>
          <w:tcPr>
            <w:tcW w:w="1740" w:type="dxa"/>
            <w:vAlign w:val="bottom"/>
          </w:tcPr>
          <w:p>
            <w:pPr>
              <w:jc w:val="center"/>
              <w:spacing w:after="0"/>
              <w:rPr>
                <w:sz w:val="20"/>
                <w:szCs w:val="20"/>
                <w:color w:val="auto"/>
              </w:rPr>
            </w:pPr>
            <w:r>
              <w:rPr>
                <w:rFonts w:ascii="Arial" w:cs="Arial" w:eastAsia="Arial" w:hAnsi="Arial"/>
                <w:sz w:val="14"/>
                <w:szCs w:val="14"/>
                <w:color w:val="auto"/>
              </w:rPr>
              <w:t>$956,829</w:t>
            </w:r>
          </w:p>
        </w:tc>
        <w:tc>
          <w:tcPr>
            <w:tcW w:w="1840" w:type="dxa"/>
            <w:vAlign w:val="bottom"/>
          </w:tcPr>
          <w:p>
            <w:pPr>
              <w:jc w:val="center"/>
              <w:spacing w:after="0"/>
              <w:rPr>
                <w:sz w:val="20"/>
                <w:szCs w:val="20"/>
                <w:color w:val="auto"/>
              </w:rPr>
            </w:pPr>
            <w:r>
              <w:rPr>
                <w:rFonts w:ascii="Arial" w:cs="Arial" w:eastAsia="Arial" w:hAnsi="Arial"/>
                <w:sz w:val="14"/>
                <w:szCs w:val="14"/>
                <w:color w:val="auto"/>
              </w:rPr>
              <w:t>$479,180</w:t>
            </w:r>
          </w:p>
        </w:tc>
        <w:tc>
          <w:tcPr>
            <w:tcW w:w="1860" w:type="dxa"/>
            <w:vAlign w:val="bottom"/>
          </w:tcPr>
          <w:p>
            <w:pPr>
              <w:jc w:val="center"/>
              <w:spacing w:after="0"/>
              <w:rPr>
                <w:sz w:val="20"/>
                <w:szCs w:val="20"/>
                <w:color w:val="auto"/>
              </w:rPr>
            </w:pPr>
            <w:r>
              <w:rPr>
                <w:rFonts w:ascii="Arial" w:cs="Arial" w:eastAsia="Arial" w:hAnsi="Arial"/>
                <w:sz w:val="14"/>
                <w:szCs w:val="14"/>
                <w:color w:val="auto"/>
              </w:rPr>
              <w:t>$133,889</w:t>
            </w:r>
          </w:p>
        </w:tc>
      </w:tr>
      <w:tr>
        <w:trPr>
          <w:trHeight w:val="229"/>
        </w:trPr>
        <w:tc>
          <w:tcPr>
            <w:tcW w:w="1740" w:type="dxa"/>
            <w:vAlign w:val="bottom"/>
          </w:tcPr>
          <w:p>
            <w:pPr>
              <w:jc w:val="center"/>
              <w:spacing w:after="0"/>
              <w:rPr>
                <w:sz w:val="20"/>
                <w:szCs w:val="20"/>
                <w:color w:val="auto"/>
              </w:rPr>
            </w:pPr>
            <w:r>
              <w:rPr>
                <w:rFonts w:ascii="Arial" w:cs="Arial" w:eastAsia="Arial" w:hAnsi="Arial"/>
                <w:sz w:val="14"/>
                <w:szCs w:val="14"/>
                <w:color w:val="auto"/>
              </w:rPr>
              <w:t>$34,862</w:t>
            </w:r>
          </w:p>
        </w:tc>
        <w:tc>
          <w:tcPr>
            <w:tcW w:w="1840" w:type="dxa"/>
            <w:vAlign w:val="bottom"/>
          </w:tcPr>
          <w:p>
            <w:pPr>
              <w:jc w:val="center"/>
              <w:spacing w:after="0"/>
              <w:rPr>
                <w:sz w:val="20"/>
                <w:szCs w:val="20"/>
                <w:color w:val="auto"/>
              </w:rPr>
            </w:pPr>
            <w:r>
              <w:rPr>
                <w:rFonts w:ascii="Arial" w:cs="Arial" w:eastAsia="Arial" w:hAnsi="Arial"/>
                <w:sz w:val="14"/>
                <w:szCs w:val="14"/>
                <w:color w:val="auto"/>
              </w:rPr>
              <w:t>$34,862</w:t>
            </w:r>
          </w:p>
        </w:tc>
        <w:tc>
          <w:tcPr>
            <w:tcW w:w="18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30"/>
        </w:trPr>
        <w:tc>
          <w:tcPr>
            <w:tcW w:w="1740" w:type="dxa"/>
            <w:vAlign w:val="bottom"/>
          </w:tcPr>
          <w:p>
            <w:pPr>
              <w:jc w:val="center"/>
              <w:spacing w:after="0"/>
              <w:rPr>
                <w:sz w:val="20"/>
                <w:szCs w:val="20"/>
                <w:color w:val="auto"/>
              </w:rPr>
            </w:pPr>
            <w:r>
              <w:rPr>
                <w:rFonts w:ascii="Arial" w:cs="Arial" w:eastAsia="Arial" w:hAnsi="Arial"/>
                <w:sz w:val="14"/>
                <w:szCs w:val="14"/>
                <w:color w:val="auto"/>
              </w:rPr>
              <w:t>$2,216,691</w:t>
            </w:r>
          </w:p>
        </w:tc>
        <w:tc>
          <w:tcPr>
            <w:tcW w:w="1840" w:type="dxa"/>
            <w:vAlign w:val="bottom"/>
          </w:tcPr>
          <w:p>
            <w:pPr>
              <w:jc w:val="center"/>
              <w:spacing w:after="0"/>
              <w:rPr>
                <w:sz w:val="20"/>
                <w:szCs w:val="20"/>
                <w:color w:val="auto"/>
              </w:rPr>
            </w:pPr>
            <w:r>
              <w:rPr>
                <w:rFonts w:ascii="Arial" w:cs="Arial" w:eastAsia="Arial" w:hAnsi="Arial"/>
                <w:sz w:val="14"/>
                <w:szCs w:val="14"/>
                <w:color w:val="auto"/>
              </w:rPr>
              <w:t>$1,739,041</w:t>
            </w:r>
          </w:p>
        </w:tc>
        <w:tc>
          <w:tcPr>
            <w:tcW w:w="1860" w:type="dxa"/>
            <w:vAlign w:val="bottom"/>
          </w:tcPr>
          <w:p>
            <w:pPr>
              <w:jc w:val="center"/>
              <w:spacing w:after="0"/>
              <w:rPr>
                <w:sz w:val="20"/>
                <w:szCs w:val="20"/>
                <w:color w:val="auto"/>
              </w:rPr>
            </w:pPr>
            <w:r>
              <w:rPr>
                <w:rFonts w:ascii="Arial" w:cs="Arial" w:eastAsia="Arial" w:hAnsi="Arial"/>
                <w:sz w:val="14"/>
                <w:szCs w:val="14"/>
                <w:color w:val="auto"/>
              </w:rPr>
              <w:t>$501,389</w:t>
            </w:r>
          </w:p>
        </w:tc>
      </w:tr>
      <w:tr>
        <w:trPr>
          <w:trHeight w:val="22"/>
        </w:trPr>
        <w:tc>
          <w:tcPr>
            <w:tcW w:w="1740" w:type="dxa"/>
            <w:vAlign w:val="bottom"/>
            <w:tcBorders>
              <w:bottom w:val="single" w:sz="8" w:color="0A2299"/>
            </w:tcBorders>
          </w:tcPr>
          <w:p>
            <w:pPr>
              <w:spacing w:after="0" w:line="20" w:lineRule="exact"/>
              <w:rPr>
                <w:sz w:val="1"/>
                <w:szCs w:val="1"/>
                <w:color w:val="auto"/>
              </w:rPr>
            </w:pPr>
          </w:p>
        </w:tc>
        <w:tc>
          <w:tcPr>
            <w:tcW w:w="1840" w:type="dxa"/>
            <w:vAlign w:val="bottom"/>
            <w:tcBorders>
              <w:bottom w:val="single" w:sz="8" w:color="0A2299"/>
            </w:tcBorders>
          </w:tcPr>
          <w:p>
            <w:pPr>
              <w:spacing w:after="0" w:line="20" w:lineRule="exact"/>
              <w:rPr>
                <w:sz w:val="1"/>
                <w:szCs w:val="1"/>
                <w:color w:val="auto"/>
              </w:rPr>
            </w:pPr>
          </w:p>
        </w:tc>
        <w:tc>
          <w:tcPr>
            <w:tcW w:w="1860" w:type="dxa"/>
            <w:vAlign w:val="bottom"/>
            <w:tcBorders>
              <w:bottom w:val="single" w:sz="8" w:color="0A2299"/>
            </w:tcBorders>
          </w:tcPr>
          <w:p>
            <w:pPr>
              <w:spacing w:after="0" w:line="20" w:lineRule="exact"/>
              <w:rPr>
                <w:sz w:val="1"/>
                <w:szCs w:val="1"/>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4"/>
                <w:szCs w:val="14"/>
                <w:color w:val="auto"/>
              </w:rPr>
              <w:t>$660,000</w:t>
            </w:r>
          </w:p>
        </w:tc>
        <w:tc>
          <w:tcPr>
            <w:tcW w:w="1840" w:type="dxa"/>
            <w:vAlign w:val="bottom"/>
          </w:tcPr>
          <w:p>
            <w:pPr>
              <w:jc w:val="center"/>
              <w:spacing w:after="0"/>
              <w:rPr>
                <w:sz w:val="20"/>
                <w:szCs w:val="20"/>
                <w:color w:val="auto"/>
              </w:rPr>
            </w:pPr>
            <w:r>
              <w:rPr>
                <w:rFonts w:ascii="Arial" w:cs="Arial" w:eastAsia="Arial" w:hAnsi="Arial"/>
                <w:sz w:val="14"/>
                <w:szCs w:val="14"/>
                <w:color w:val="auto"/>
              </w:rPr>
              <w:t>$660,000</w:t>
            </w:r>
          </w:p>
        </w:tc>
        <w:tc>
          <w:tcPr>
            <w:tcW w:w="18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30"/>
        </w:trPr>
        <w:tc>
          <w:tcPr>
            <w:tcW w:w="1740" w:type="dxa"/>
            <w:vAlign w:val="bottom"/>
          </w:tcPr>
          <w:p>
            <w:pPr>
              <w:jc w:val="center"/>
              <w:spacing w:after="0"/>
              <w:rPr>
                <w:sz w:val="20"/>
                <w:szCs w:val="20"/>
                <w:color w:val="auto"/>
              </w:rPr>
            </w:pPr>
            <w:r>
              <w:rPr>
                <w:rFonts w:ascii="Arial" w:cs="Arial" w:eastAsia="Arial" w:hAnsi="Arial"/>
                <w:sz w:val="14"/>
                <w:szCs w:val="14"/>
                <w:color w:val="auto"/>
              </w:rPr>
              <w:t>$990,000</w:t>
            </w:r>
          </w:p>
        </w:tc>
        <w:tc>
          <w:tcPr>
            <w:tcW w:w="1840" w:type="dxa"/>
            <w:vAlign w:val="bottom"/>
          </w:tcPr>
          <w:p>
            <w:pPr>
              <w:jc w:val="center"/>
              <w:spacing w:after="0"/>
              <w:rPr>
                <w:sz w:val="20"/>
                <w:szCs w:val="20"/>
                <w:color w:val="auto"/>
              </w:rPr>
            </w:pPr>
            <w:r>
              <w:rPr>
                <w:rFonts w:ascii="Arial" w:cs="Arial" w:eastAsia="Arial" w:hAnsi="Arial"/>
                <w:sz w:val="14"/>
                <w:szCs w:val="14"/>
                <w:color w:val="auto"/>
              </w:rPr>
              <w:t>$990,000</w:t>
            </w:r>
          </w:p>
        </w:tc>
        <w:tc>
          <w:tcPr>
            <w:tcW w:w="1860" w:type="dxa"/>
            <w:vAlign w:val="bottom"/>
          </w:tcPr>
          <w:p>
            <w:pPr>
              <w:jc w:val="center"/>
              <w:spacing w:after="0"/>
              <w:rPr>
                <w:sz w:val="20"/>
                <w:szCs w:val="20"/>
                <w:color w:val="auto"/>
              </w:rPr>
            </w:pPr>
            <w:r>
              <w:rPr>
                <w:rFonts w:ascii="Arial" w:cs="Arial" w:eastAsia="Arial" w:hAnsi="Arial"/>
                <w:sz w:val="14"/>
                <w:szCs w:val="14"/>
                <w:color w:val="auto"/>
              </w:rPr>
              <w:t>$495,000</w:t>
            </w:r>
          </w:p>
        </w:tc>
      </w:tr>
      <w:tr>
        <w:trPr>
          <w:trHeight w:val="230"/>
        </w:trPr>
        <w:tc>
          <w:tcPr>
            <w:tcW w:w="1740" w:type="dxa"/>
            <w:vAlign w:val="bottom"/>
          </w:tcPr>
          <w:p>
            <w:pPr>
              <w:jc w:val="center"/>
              <w:spacing w:after="0"/>
              <w:rPr>
                <w:sz w:val="20"/>
                <w:szCs w:val="20"/>
                <w:color w:val="auto"/>
              </w:rPr>
            </w:pPr>
            <w:r>
              <w:rPr>
                <w:rFonts w:ascii="Arial" w:cs="Arial" w:eastAsia="Arial" w:hAnsi="Arial"/>
                <w:sz w:val="14"/>
                <w:szCs w:val="14"/>
                <w:color w:val="auto"/>
              </w:rPr>
              <w:t>$2,840,088</w:t>
            </w:r>
          </w:p>
        </w:tc>
        <w:tc>
          <w:tcPr>
            <w:tcW w:w="1840" w:type="dxa"/>
            <w:vAlign w:val="bottom"/>
          </w:tcPr>
          <w:p>
            <w:pPr>
              <w:jc w:val="center"/>
              <w:spacing w:after="0"/>
              <w:rPr>
                <w:sz w:val="20"/>
                <w:szCs w:val="20"/>
                <w:color w:val="auto"/>
              </w:rPr>
            </w:pPr>
            <w:r>
              <w:rPr>
                <w:rFonts w:ascii="Arial" w:cs="Arial" w:eastAsia="Arial" w:hAnsi="Arial"/>
                <w:sz w:val="14"/>
                <w:szCs w:val="14"/>
                <w:color w:val="auto"/>
              </w:rPr>
              <w:t>$2,178,990</w:t>
            </w:r>
          </w:p>
        </w:tc>
        <w:tc>
          <w:tcPr>
            <w:tcW w:w="1860" w:type="dxa"/>
            <w:vAlign w:val="bottom"/>
          </w:tcPr>
          <w:p>
            <w:pPr>
              <w:jc w:val="center"/>
              <w:spacing w:after="0"/>
              <w:rPr>
                <w:sz w:val="20"/>
                <w:szCs w:val="20"/>
                <w:color w:val="auto"/>
              </w:rPr>
            </w:pPr>
            <w:r>
              <w:rPr>
                <w:rFonts w:ascii="Arial" w:cs="Arial" w:eastAsia="Arial" w:hAnsi="Arial"/>
                <w:sz w:val="14"/>
                <w:szCs w:val="14"/>
                <w:color w:val="auto"/>
              </w:rPr>
              <w:t>$335,722</w:t>
            </w:r>
          </w:p>
        </w:tc>
      </w:tr>
      <w:tr>
        <w:trPr>
          <w:trHeight w:val="230"/>
        </w:trPr>
        <w:tc>
          <w:tcPr>
            <w:tcW w:w="1740" w:type="dxa"/>
            <w:vAlign w:val="bottom"/>
          </w:tcPr>
          <w:p>
            <w:pPr>
              <w:jc w:val="center"/>
              <w:spacing w:after="0"/>
              <w:rPr>
                <w:sz w:val="20"/>
                <w:szCs w:val="20"/>
                <w:color w:val="auto"/>
              </w:rPr>
            </w:pPr>
            <w:r>
              <w:rPr>
                <w:rFonts w:ascii="Arial" w:cs="Arial" w:eastAsia="Arial" w:hAnsi="Arial"/>
                <w:sz w:val="14"/>
                <w:szCs w:val="14"/>
                <w:color w:val="auto"/>
              </w:rPr>
              <w:t>$34,862</w:t>
            </w:r>
          </w:p>
        </w:tc>
        <w:tc>
          <w:tcPr>
            <w:tcW w:w="1840" w:type="dxa"/>
            <w:vAlign w:val="bottom"/>
          </w:tcPr>
          <w:p>
            <w:pPr>
              <w:jc w:val="center"/>
              <w:spacing w:after="0"/>
              <w:rPr>
                <w:sz w:val="20"/>
                <w:szCs w:val="20"/>
                <w:color w:val="auto"/>
              </w:rPr>
            </w:pPr>
            <w:r>
              <w:rPr>
                <w:rFonts w:ascii="Arial" w:cs="Arial" w:eastAsia="Arial" w:hAnsi="Arial"/>
                <w:sz w:val="14"/>
                <w:szCs w:val="14"/>
                <w:color w:val="auto"/>
              </w:rPr>
              <w:t>$34,862</w:t>
            </w:r>
          </w:p>
        </w:tc>
        <w:tc>
          <w:tcPr>
            <w:tcW w:w="18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29"/>
        </w:trPr>
        <w:tc>
          <w:tcPr>
            <w:tcW w:w="1740" w:type="dxa"/>
            <w:vAlign w:val="bottom"/>
          </w:tcPr>
          <w:p>
            <w:pPr>
              <w:jc w:val="center"/>
              <w:spacing w:after="0"/>
              <w:rPr>
                <w:sz w:val="20"/>
                <w:szCs w:val="20"/>
                <w:color w:val="auto"/>
              </w:rPr>
            </w:pPr>
            <w:r>
              <w:rPr>
                <w:rFonts w:ascii="Arial" w:cs="Arial" w:eastAsia="Arial" w:hAnsi="Arial"/>
                <w:sz w:val="14"/>
                <w:szCs w:val="14"/>
                <w:color w:val="auto"/>
              </w:rPr>
              <w:t>$4,524,950</w:t>
            </w:r>
          </w:p>
        </w:tc>
        <w:tc>
          <w:tcPr>
            <w:tcW w:w="1840" w:type="dxa"/>
            <w:vAlign w:val="bottom"/>
          </w:tcPr>
          <w:p>
            <w:pPr>
              <w:jc w:val="center"/>
              <w:spacing w:after="0"/>
              <w:rPr>
                <w:sz w:val="20"/>
                <w:szCs w:val="20"/>
                <w:color w:val="auto"/>
              </w:rPr>
            </w:pPr>
            <w:r>
              <w:rPr>
                <w:rFonts w:ascii="Arial" w:cs="Arial" w:eastAsia="Arial" w:hAnsi="Arial"/>
                <w:sz w:val="14"/>
                <w:szCs w:val="14"/>
                <w:color w:val="auto"/>
              </w:rPr>
              <w:t>$3,863,851</w:t>
            </w:r>
          </w:p>
        </w:tc>
        <w:tc>
          <w:tcPr>
            <w:tcW w:w="1860" w:type="dxa"/>
            <w:vAlign w:val="bottom"/>
          </w:tcPr>
          <w:p>
            <w:pPr>
              <w:jc w:val="center"/>
              <w:spacing w:after="0"/>
              <w:rPr>
                <w:sz w:val="20"/>
                <w:szCs w:val="20"/>
                <w:color w:val="auto"/>
              </w:rPr>
            </w:pPr>
            <w:r>
              <w:rPr>
                <w:rFonts w:ascii="Arial" w:cs="Arial" w:eastAsia="Arial" w:hAnsi="Arial"/>
                <w:sz w:val="14"/>
                <w:szCs w:val="14"/>
                <w:color w:val="auto"/>
              </w:rPr>
              <w:t>$830,722</w:t>
            </w:r>
          </w:p>
        </w:tc>
      </w:tr>
      <w:tr>
        <w:trPr>
          <w:trHeight w:val="22"/>
        </w:trPr>
        <w:tc>
          <w:tcPr>
            <w:tcW w:w="1740" w:type="dxa"/>
            <w:vAlign w:val="bottom"/>
            <w:tcBorders>
              <w:bottom w:val="single" w:sz="8" w:color="0A2299"/>
            </w:tcBorders>
          </w:tcPr>
          <w:p>
            <w:pPr>
              <w:spacing w:after="0" w:line="20" w:lineRule="exact"/>
              <w:rPr>
                <w:sz w:val="1"/>
                <w:szCs w:val="1"/>
                <w:color w:val="auto"/>
              </w:rPr>
            </w:pPr>
          </w:p>
        </w:tc>
        <w:tc>
          <w:tcPr>
            <w:tcW w:w="1840" w:type="dxa"/>
            <w:vAlign w:val="bottom"/>
            <w:tcBorders>
              <w:bottom w:val="single" w:sz="8" w:color="0A2299"/>
            </w:tcBorders>
          </w:tcPr>
          <w:p>
            <w:pPr>
              <w:spacing w:after="0" w:line="20" w:lineRule="exact"/>
              <w:rPr>
                <w:sz w:val="1"/>
                <w:szCs w:val="1"/>
                <w:color w:val="auto"/>
              </w:rPr>
            </w:pPr>
          </w:p>
        </w:tc>
        <w:tc>
          <w:tcPr>
            <w:tcW w:w="1860" w:type="dxa"/>
            <w:vAlign w:val="bottom"/>
            <w:tcBorders>
              <w:bottom w:val="single" w:sz="8" w:color="0A2299"/>
            </w:tcBorders>
          </w:tcPr>
          <w:p>
            <w:pPr>
              <w:spacing w:after="0" w:line="20" w:lineRule="exact"/>
              <w:rPr>
                <w:sz w:val="1"/>
                <w:szCs w:val="1"/>
                <w:color w:val="auto"/>
              </w:rPr>
            </w:pPr>
          </w:p>
        </w:tc>
      </w:tr>
      <w:tr>
        <w:trPr>
          <w:trHeight w:val="202"/>
        </w:trPr>
        <w:tc>
          <w:tcPr>
            <w:tcW w:w="1740" w:type="dxa"/>
            <w:vAlign w:val="bottom"/>
          </w:tcPr>
          <w:p>
            <w:pPr>
              <w:jc w:val="center"/>
              <w:spacing w:after="0"/>
              <w:rPr>
                <w:sz w:val="20"/>
                <w:szCs w:val="20"/>
                <w:color w:val="auto"/>
              </w:rPr>
            </w:pPr>
            <w:r>
              <w:rPr>
                <w:rFonts w:ascii="Arial" w:cs="Arial" w:eastAsia="Arial" w:hAnsi="Arial"/>
                <w:sz w:val="14"/>
                <w:szCs w:val="14"/>
                <w:color w:val="auto"/>
              </w:rPr>
              <w:t>$560,000</w:t>
            </w:r>
          </w:p>
        </w:tc>
        <w:tc>
          <w:tcPr>
            <w:tcW w:w="1840" w:type="dxa"/>
            <w:vAlign w:val="bottom"/>
          </w:tcPr>
          <w:p>
            <w:pPr>
              <w:jc w:val="center"/>
              <w:spacing w:after="0"/>
              <w:rPr>
                <w:sz w:val="20"/>
                <w:szCs w:val="20"/>
                <w:color w:val="auto"/>
              </w:rPr>
            </w:pPr>
            <w:r>
              <w:rPr>
                <w:rFonts w:ascii="Arial" w:cs="Arial" w:eastAsia="Arial" w:hAnsi="Arial"/>
                <w:sz w:val="14"/>
                <w:szCs w:val="14"/>
                <w:color w:val="auto"/>
              </w:rPr>
              <w:t>$560,000</w:t>
            </w:r>
          </w:p>
        </w:tc>
        <w:tc>
          <w:tcPr>
            <w:tcW w:w="18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29"/>
        </w:trPr>
        <w:tc>
          <w:tcPr>
            <w:tcW w:w="1740" w:type="dxa"/>
            <w:vAlign w:val="bottom"/>
          </w:tcPr>
          <w:p>
            <w:pPr>
              <w:jc w:val="center"/>
              <w:spacing w:after="0"/>
              <w:rPr>
                <w:sz w:val="20"/>
                <w:szCs w:val="20"/>
                <w:color w:val="auto"/>
              </w:rPr>
            </w:pPr>
            <w:r>
              <w:rPr>
                <w:rFonts w:ascii="Arial" w:cs="Arial" w:eastAsia="Arial" w:hAnsi="Arial"/>
                <w:sz w:val="14"/>
                <w:szCs w:val="14"/>
                <w:color w:val="auto"/>
              </w:rPr>
              <w:t>$840,000</w:t>
            </w:r>
          </w:p>
        </w:tc>
        <w:tc>
          <w:tcPr>
            <w:tcW w:w="1840" w:type="dxa"/>
            <w:vAlign w:val="bottom"/>
          </w:tcPr>
          <w:p>
            <w:pPr>
              <w:jc w:val="center"/>
              <w:spacing w:after="0"/>
              <w:rPr>
                <w:sz w:val="20"/>
                <w:szCs w:val="20"/>
                <w:color w:val="auto"/>
              </w:rPr>
            </w:pPr>
            <w:r>
              <w:rPr>
                <w:rFonts w:ascii="Arial" w:cs="Arial" w:eastAsia="Arial" w:hAnsi="Arial"/>
                <w:sz w:val="14"/>
                <w:szCs w:val="14"/>
                <w:color w:val="auto"/>
              </w:rPr>
              <w:t>$840,000</w:t>
            </w:r>
          </w:p>
        </w:tc>
        <w:tc>
          <w:tcPr>
            <w:tcW w:w="1860" w:type="dxa"/>
            <w:vAlign w:val="bottom"/>
          </w:tcPr>
          <w:p>
            <w:pPr>
              <w:jc w:val="center"/>
              <w:spacing w:after="0"/>
              <w:rPr>
                <w:sz w:val="20"/>
                <w:szCs w:val="20"/>
                <w:color w:val="auto"/>
              </w:rPr>
            </w:pPr>
            <w:r>
              <w:rPr>
                <w:rFonts w:ascii="Arial" w:cs="Arial" w:eastAsia="Arial" w:hAnsi="Arial"/>
                <w:sz w:val="14"/>
                <w:szCs w:val="14"/>
                <w:color w:val="auto"/>
              </w:rPr>
              <w:t>$420,000</w:t>
            </w:r>
          </w:p>
        </w:tc>
      </w:tr>
      <w:tr>
        <w:trPr>
          <w:trHeight w:val="230"/>
        </w:trPr>
        <w:tc>
          <w:tcPr>
            <w:tcW w:w="1740" w:type="dxa"/>
            <w:vAlign w:val="bottom"/>
          </w:tcPr>
          <w:p>
            <w:pPr>
              <w:jc w:val="center"/>
              <w:spacing w:after="0"/>
              <w:rPr>
                <w:sz w:val="20"/>
                <w:szCs w:val="20"/>
                <w:color w:val="auto"/>
              </w:rPr>
            </w:pPr>
            <w:r>
              <w:rPr>
                <w:rFonts w:ascii="Arial" w:cs="Arial" w:eastAsia="Arial" w:hAnsi="Arial"/>
                <w:sz w:val="14"/>
                <w:szCs w:val="14"/>
                <w:color w:val="auto"/>
              </w:rPr>
              <w:t>$4,682,180</w:t>
            </w:r>
          </w:p>
        </w:tc>
        <w:tc>
          <w:tcPr>
            <w:tcW w:w="1840" w:type="dxa"/>
            <w:vAlign w:val="bottom"/>
          </w:tcPr>
          <w:p>
            <w:pPr>
              <w:jc w:val="center"/>
              <w:spacing w:after="0"/>
              <w:rPr>
                <w:sz w:val="20"/>
                <w:szCs w:val="20"/>
                <w:color w:val="auto"/>
              </w:rPr>
            </w:pPr>
            <w:r>
              <w:rPr>
                <w:rFonts w:ascii="Arial" w:cs="Arial" w:eastAsia="Arial" w:hAnsi="Arial"/>
                <w:sz w:val="14"/>
                <w:szCs w:val="14"/>
                <w:color w:val="auto"/>
              </w:rPr>
              <w:t>$3,200,360</w:t>
            </w:r>
          </w:p>
        </w:tc>
        <w:tc>
          <w:tcPr>
            <w:tcW w:w="1860" w:type="dxa"/>
            <w:vAlign w:val="bottom"/>
          </w:tcPr>
          <w:p>
            <w:pPr>
              <w:jc w:val="center"/>
              <w:spacing w:after="0"/>
              <w:rPr>
                <w:sz w:val="20"/>
                <w:szCs w:val="20"/>
                <w:color w:val="auto"/>
              </w:rPr>
            </w:pPr>
            <w:r>
              <w:rPr>
                <w:rFonts w:ascii="Arial" w:cs="Arial" w:eastAsia="Arial" w:hAnsi="Arial"/>
                <w:sz w:val="14"/>
                <w:szCs w:val="14"/>
                <w:color w:val="auto"/>
              </w:rPr>
              <w:t>$394,697</w:t>
            </w:r>
          </w:p>
        </w:tc>
      </w:tr>
      <w:tr>
        <w:trPr>
          <w:trHeight w:val="230"/>
        </w:trPr>
        <w:tc>
          <w:tcPr>
            <w:tcW w:w="1740" w:type="dxa"/>
            <w:vAlign w:val="bottom"/>
          </w:tcPr>
          <w:p>
            <w:pPr>
              <w:jc w:val="center"/>
              <w:spacing w:after="0"/>
              <w:rPr>
                <w:sz w:val="20"/>
                <w:szCs w:val="20"/>
                <w:color w:val="auto"/>
              </w:rPr>
            </w:pPr>
            <w:r>
              <w:rPr>
                <w:rFonts w:ascii="Arial" w:cs="Arial" w:eastAsia="Arial" w:hAnsi="Arial"/>
                <w:sz w:val="14"/>
                <w:szCs w:val="14"/>
                <w:color w:val="auto"/>
              </w:rPr>
              <w:t>$34,862</w:t>
            </w:r>
          </w:p>
        </w:tc>
        <w:tc>
          <w:tcPr>
            <w:tcW w:w="1840" w:type="dxa"/>
            <w:vAlign w:val="bottom"/>
          </w:tcPr>
          <w:p>
            <w:pPr>
              <w:jc w:val="center"/>
              <w:spacing w:after="0"/>
              <w:rPr>
                <w:sz w:val="20"/>
                <w:szCs w:val="20"/>
                <w:color w:val="auto"/>
              </w:rPr>
            </w:pPr>
            <w:r>
              <w:rPr>
                <w:rFonts w:ascii="Arial" w:cs="Arial" w:eastAsia="Arial" w:hAnsi="Arial"/>
                <w:sz w:val="14"/>
                <w:szCs w:val="14"/>
                <w:color w:val="auto"/>
              </w:rPr>
              <w:t>$34,862</w:t>
            </w:r>
          </w:p>
        </w:tc>
        <w:tc>
          <w:tcPr>
            <w:tcW w:w="18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30"/>
        </w:trPr>
        <w:tc>
          <w:tcPr>
            <w:tcW w:w="1740" w:type="dxa"/>
            <w:vAlign w:val="bottom"/>
          </w:tcPr>
          <w:p>
            <w:pPr>
              <w:jc w:val="center"/>
              <w:spacing w:after="0"/>
              <w:rPr>
                <w:sz w:val="20"/>
                <w:szCs w:val="20"/>
                <w:color w:val="auto"/>
              </w:rPr>
            </w:pPr>
            <w:r>
              <w:rPr>
                <w:rFonts w:ascii="Arial" w:cs="Arial" w:eastAsia="Arial" w:hAnsi="Arial"/>
                <w:sz w:val="14"/>
                <w:szCs w:val="14"/>
                <w:color w:val="auto"/>
              </w:rPr>
              <w:t>$6,117,041</w:t>
            </w:r>
          </w:p>
        </w:tc>
        <w:tc>
          <w:tcPr>
            <w:tcW w:w="1840" w:type="dxa"/>
            <w:vAlign w:val="bottom"/>
          </w:tcPr>
          <w:p>
            <w:pPr>
              <w:jc w:val="center"/>
              <w:spacing w:after="0"/>
              <w:rPr>
                <w:sz w:val="20"/>
                <w:szCs w:val="20"/>
                <w:color w:val="auto"/>
              </w:rPr>
            </w:pPr>
            <w:r>
              <w:rPr>
                <w:rFonts w:ascii="Arial" w:cs="Arial" w:eastAsia="Arial" w:hAnsi="Arial"/>
                <w:sz w:val="14"/>
                <w:szCs w:val="14"/>
                <w:color w:val="auto"/>
              </w:rPr>
              <w:t>$4,635,222</w:t>
            </w:r>
          </w:p>
        </w:tc>
        <w:tc>
          <w:tcPr>
            <w:tcW w:w="1860" w:type="dxa"/>
            <w:vAlign w:val="bottom"/>
          </w:tcPr>
          <w:p>
            <w:pPr>
              <w:jc w:val="center"/>
              <w:spacing w:after="0"/>
              <w:rPr>
                <w:sz w:val="20"/>
                <w:szCs w:val="20"/>
                <w:color w:val="auto"/>
              </w:rPr>
            </w:pPr>
            <w:r>
              <w:rPr>
                <w:rFonts w:ascii="Arial" w:cs="Arial" w:eastAsia="Arial" w:hAnsi="Arial"/>
                <w:sz w:val="14"/>
                <w:szCs w:val="14"/>
                <w:color w:val="auto"/>
              </w:rPr>
              <w:t>$814,697</w:t>
            </w:r>
          </w:p>
        </w:tc>
      </w:tr>
      <w:tr>
        <w:trPr>
          <w:trHeight w:val="22"/>
        </w:trPr>
        <w:tc>
          <w:tcPr>
            <w:tcW w:w="1740" w:type="dxa"/>
            <w:vAlign w:val="bottom"/>
            <w:tcBorders>
              <w:bottom w:val="single" w:sz="8" w:color="0A2299"/>
            </w:tcBorders>
          </w:tcPr>
          <w:p>
            <w:pPr>
              <w:spacing w:after="0" w:line="20" w:lineRule="exact"/>
              <w:rPr>
                <w:sz w:val="1"/>
                <w:szCs w:val="1"/>
                <w:color w:val="auto"/>
              </w:rPr>
            </w:pPr>
          </w:p>
        </w:tc>
        <w:tc>
          <w:tcPr>
            <w:tcW w:w="1840" w:type="dxa"/>
            <w:vAlign w:val="bottom"/>
            <w:tcBorders>
              <w:bottom w:val="single" w:sz="8" w:color="0A2299"/>
            </w:tcBorders>
          </w:tcPr>
          <w:p>
            <w:pPr>
              <w:spacing w:after="0" w:line="20" w:lineRule="exact"/>
              <w:rPr>
                <w:sz w:val="1"/>
                <w:szCs w:val="1"/>
                <w:color w:val="auto"/>
              </w:rPr>
            </w:pPr>
          </w:p>
        </w:tc>
        <w:tc>
          <w:tcPr>
            <w:tcW w:w="1860" w:type="dxa"/>
            <w:vAlign w:val="bottom"/>
            <w:tcBorders>
              <w:bottom w:val="single" w:sz="8" w:color="0A2299"/>
            </w:tcBorders>
          </w:tcPr>
          <w:p>
            <w:pPr>
              <w:spacing w:after="0" w:line="20" w:lineRule="exact"/>
              <w:rPr>
                <w:sz w:val="1"/>
                <w:szCs w:val="1"/>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4"/>
                <w:szCs w:val="14"/>
                <w:color w:val="auto"/>
              </w:rPr>
              <w:t>$506,400</w:t>
            </w:r>
          </w:p>
        </w:tc>
        <w:tc>
          <w:tcPr>
            <w:tcW w:w="1840" w:type="dxa"/>
            <w:vAlign w:val="bottom"/>
          </w:tcPr>
          <w:p>
            <w:pPr>
              <w:jc w:val="center"/>
              <w:spacing w:after="0"/>
              <w:rPr>
                <w:sz w:val="20"/>
                <w:szCs w:val="20"/>
                <w:color w:val="auto"/>
              </w:rPr>
            </w:pPr>
            <w:r>
              <w:rPr>
                <w:rFonts w:ascii="Arial" w:cs="Arial" w:eastAsia="Arial" w:hAnsi="Arial"/>
                <w:sz w:val="14"/>
                <w:szCs w:val="14"/>
                <w:color w:val="auto"/>
              </w:rPr>
              <w:t>$506,400</w:t>
            </w:r>
          </w:p>
        </w:tc>
        <w:tc>
          <w:tcPr>
            <w:tcW w:w="18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29"/>
        </w:trPr>
        <w:tc>
          <w:tcPr>
            <w:tcW w:w="1740" w:type="dxa"/>
            <w:vAlign w:val="bottom"/>
          </w:tcPr>
          <w:p>
            <w:pPr>
              <w:jc w:val="center"/>
              <w:spacing w:after="0"/>
              <w:rPr>
                <w:sz w:val="20"/>
                <w:szCs w:val="20"/>
                <w:color w:val="auto"/>
              </w:rPr>
            </w:pPr>
            <w:r>
              <w:rPr>
                <w:rFonts w:ascii="Arial" w:cs="Arial" w:eastAsia="Arial" w:hAnsi="Arial"/>
                <w:sz w:val="14"/>
                <w:szCs w:val="14"/>
                <w:color w:val="auto"/>
              </w:rPr>
              <w:t>$506,400</w:t>
            </w:r>
          </w:p>
        </w:tc>
        <w:tc>
          <w:tcPr>
            <w:tcW w:w="1840" w:type="dxa"/>
            <w:vAlign w:val="bottom"/>
          </w:tcPr>
          <w:p>
            <w:pPr>
              <w:jc w:val="center"/>
              <w:spacing w:after="0"/>
              <w:rPr>
                <w:sz w:val="20"/>
                <w:szCs w:val="20"/>
                <w:color w:val="auto"/>
              </w:rPr>
            </w:pPr>
            <w:r>
              <w:rPr>
                <w:rFonts w:ascii="Arial" w:cs="Arial" w:eastAsia="Arial" w:hAnsi="Arial"/>
                <w:sz w:val="14"/>
                <w:szCs w:val="14"/>
                <w:color w:val="auto"/>
              </w:rPr>
              <w:t>$506,400</w:t>
            </w:r>
          </w:p>
        </w:tc>
        <w:tc>
          <w:tcPr>
            <w:tcW w:w="1860" w:type="dxa"/>
            <w:vAlign w:val="bottom"/>
          </w:tcPr>
          <w:p>
            <w:pPr>
              <w:jc w:val="center"/>
              <w:spacing w:after="0"/>
              <w:rPr>
                <w:sz w:val="20"/>
                <w:szCs w:val="20"/>
                <w:color w:val="auto"/>
              </w:rPr>
            </w:pPr>
            <w:r>
              <w:rPr>
                <w:rFonts w:ascii="Arial" w:cs="Arial" w:eastAsia="Arial" w:hAnsi="Arial"/>
                <w:sz w:val="14"/>
                <w:szCs w:val="14"/>
                <w:color w:val="auto"/>
              </w:rPr>
              <w:t>$253,200</w:t>
            </w:r>
          </w:p>
        </w:tc>
      </w:tr>
      <w:tr>
        <w:trPr>
          <w:trHeight w:val="230"/>
        </w:trPr>
        <w:tc>
          <w:tcPr>
            <w:tcW w:w="1740" w:type="dxa"/>
            <w:vAlign w:val="bottom"/>
          </w:tcPr>
          <w:p>
            <w:pPr>
              <w:jc w:val="center"/>
              <w:spacing w:after="0"/>
              <w:rPr>
                <w:sz w:val="20"/>
                <w:szCs w:val="20"/>
                <w:color w:val="auto"/>
              </w:rPr>
            </w:pPr>
            <w:r>
              <w:rPr>
                <w:rFonts w:ascii="Arial" w:cs="Arial" w:eastAsia="Arial" w:hAnsi="Arial"/>
                <w:sz w:val="14"/>
                <w:szCs w:val="14"/>
                <w:color w:val="auto"/>
              </w:rPr>
              <w:t>$1,710,942</w:t>
            </w:r>
          </w:p>
        </w:tc>
        <w:tc>
          <w:tcPr>
            <w:tcW w:w="1840" w:type="dxa"/>
            <w:vAlign w:val="bottom"/>
          </w:tcPr>
          <w:p>
            <w:pPr>
              <w:jc w:val="center"/>
              <w:spacing w:after="0"/>
              <w:rPr>
                <w:sz w:val="20"/>
                <w:szCs w:val="20"/>
                <w:color w:val="auto"/>
              </w:rPr>
            </w:pPr>
            <w:r>
              <w:rPr>
                <w:rFonts w:ascii="Arial" w:cs="Arial" w:eastAsia="Arial" w:hAnsi="Arial"/>
                <w:sz w:val="14"/>
                <w:szCs w:val="14"/>
                <w:color w:val="auto"/>
              </w:rPr>
              <w:t>$1,193,162</w:t>
            </w:r>
          </w:p>
        </w:tc>
        <w:tc>
          <w:tcPr>
            <w:tcW w:w="1860" w:type="dxa"/>
            <w:vAlign w:val="bottom"/>
          </w:tcPr>
          <w:p>
            <w:pPr>
              <w:jc w:val="center"/>
              <w:spacing w:after="0"/>
              <w:rPr>
                <w:sz w:val="20"/>
                <w:szCs w:val="20"/>
                <w:color w:val="auto"/>
              </w:rPr>
            </w:pPr>
            <w:r>
              <w:rPr>
                <w:rFonts w:ascii="Arial" w:cs="Arial" w:eastAsia="Arial" w:hAnsi="Arial"/>
                <w:sz w:val="14"/>
                <w:szCs w:val="14"/>
                <w:color w:val="auto"/>
              </w:rPr>
              <w:t>$240,475</w:t>
            </w:r>
          </w:p>
        </w:tc>
      </w:tr>
      <w:tr>
        <w:trPr>
          <w:trHeight w:val="230"/>
        </w:trPr>
        <w:tc>
          <w:tcPr>
            <w:tcW w:w="1740" w:type="dxa"/>
            <w:vAlign w:val="bottom"/>
          </w:tcPr>
          <w:p>
            <w:pPr>
              <w:jc w:val="center"/>
              <w:spacing w:after="0"/>
              <w:rPr>
                <w:sz w:val="20"/>
                <w:szCs w:val="20"/>
                <w:color w:val="auto"/>
              </w:rPr>
            </w:pPr>
            <w:r>
              <w:rPr>
                <w:rFonts w:ascii="Arial" w:cs="Arial" w:eastAsia="Arial" w:hAnsi="Arial"/>
                <w:sz w:val="14"/>
                <w:szCs w:val="14"/>
                <w:color w:val="auto"/>
              </w:rPr>
              <w:t>$34,862</w:t>
            </w:r>
          </w:p>
        </w:tc>
        <w:tc>
          <w:tcPr>
            <w:tcW w:w="1840" w:type="dxa"/>
            <w:vAlign w:val="bottom"/>
          </w:tcPr>
          <w:p>
            <w:pPr>
              <w:jc w:val="center"/>
              <w:spacing w:after="0"/>
              <w:rPr>
                <w:sz w:val="20"/>
                <w:szCs w:val="20"/>
                <w:color w:val="auto"/>
              </w:rPr>
            </w:pPr>
            <w:r>
              <w:rPr>
                <w:rFonts w:ascii="Arial" w:cs="Arial" w:eastAsia="Arial" w:hAnsi="Arial"/>
                <w:sz w:val="14"/>
                <w:szCs w:val="14"/>
                <w:color w:val="auto"/>
              </w:rPr>
              <w:t>$34,862</w:t>
            </w:r>
          </w:p>
        </w:tc>
        <w:tc>
          <w:tcPr>
            <w:tcW w:w="18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30"/>
        </w:trPr>
        <w:tc>
          <w:tcPr>
            <w:tcW w:w="1740" w:type="dxa"/>
            <w:vAlign w:val="bottom"/>
          </w:tcPr>
          <w:p>
            <w:pPr>
              <w:jc w:val="center"/>
              <w:spacing w:after="0"/>
              <w:rPr>
                <w:sz w:val="20"/>
                <w:szCs w:val="20"/>
                <w:color w:val="auto"/>
              </w:rPr>
            </w:pPr>
            <w:r>
              <w:rPr>
                <w:rFonts w:ascii="Arial" w:cs="Arial" w:eastAsia="Arial" w:hAnsi="Arial"/>
                <w:sz w:val="14"/>
                <w:szCs w:val="14"/>
                <w:color w:val="auto"/>
              </w:rPr>
              <w:t>$2,758,604</w:t>
            </w:r>
          </w:p>
        </w:tc>
        <w:tc>
          <w:tcPr>
            <w:tcW w:w="1840" w:type="dxa"/>
            <w:vAlign w:val="bottom"/>
          </w:tcPr>
          <w:p>
            <w:pPr>
              <w:jc w:val="center"/>
              <w:spacing w:after="0"/>
              <w:rPr>
                <w:sz w:val="20"/>
                <w:szCs w:val="20"/>
                <w:color w:val="auto"/>
              </w:rPr>
            </w:pPr>
            <w:r>
              <w:rPr>
                <w:rFonts w:ascii="Arial" w:cs="Arial" w:eastAsia="Arial" w:hAnsi="Arial"/>
                <w:sz w:val="14"/>
                <w:szCs w:val="14"/>
                <w:color w:val="auto"/>
              </w:rPr>
              <w:t>$2,240,823</w:t>
            </w:r>
          </w:p>
        </w:tc>
        <w:tc>
          <w:tcPr>
            <w:tcW w:w="1860" w:type="dxa"/>
            <w:vAlign w:val="bottom"/>
          </w:tcPr>
          <w:p>
            <w:pPr>
              <w:jc w:val="center"/>
              <w:spacing w:after="0"/>
              <w:rPr>
                <w:sz w:val="20"/>
                <w:szCs w:val="20"/>
                <w:color w:val="auto"/>
              </w:rPr>
            </w:pPr>
            <w:r>
              <w:rPr>
                <w:rFonts w:ascii="Arial" w:cs="Arial" w:eastAsia="Arial" w:hAnsi="Arial"/>
                <w:sz w:val="14"/>
                <w:szCs w:val="14"/>
                <w:color w:val="auto"/>
              </w:rPr>
              <w:t>$493,675</w:t>
            </w:r>
          </w:p>
        </w:tc>
      </w:tr>
      <w:tr>
        <w:trPr>
          <w:trHeight w:val="22"/>
        </w:trPr>
        <w:tc>
          <w:tcPr>
            <w:tcW w:w="1740" w:type="dxa"/>
            <w:vAlign w:val="bottom"/>
            <w:tcBorders>
              <w:bottom w:val="single" w:sz="8" w:color="0A2299"/>
            </w:tcBorders>
          </w:tcPr>
          <w:p>
            <w:pPr>
              <w:spacing w:after="0" w:line="20" w:lineRule="exact"/>
              <w:rPr>
                <w:sz w:val="1"/>
                <w:szCs w:val="1"/>
                <w:color w:val="auto"/>
              </w:rPr>
            </w:pPr>
          </w:p>
        </w:tc>
        <w:tc>
          <w:tcPr>
            <w:tcW w:w="1840" w:type="dxa"/>
            <w:vAlign w:val="bottom"/>
            <w:tcBorders>
              <w:bottom w:val="single" w:sz="8" w:color="0A2299"/>
            </w:tcBorders>
          </w:tcPr>
          <w:p>
            <w:pPr>
              <w:spacing w:after="0" w:line="20" w:lineRule="exact"/>
              <w:rPr>
                <w:sz w:val="1"/>
                <w:szCs w:val="1"/>
                <w:color w:val="auto"/>
              </w:rPr>
            </w:pPr>
          </w:p>
        </w:tc>
        <w:tc>
          <w:tcPr>
            <w:tcW w:w="1860" w:type="dxa"/>
            <w:vAlign w:val="bottom"/>
            <w:tcBorders>
              <w:bottom w:val="single" w:sz="8" w:color="0A2299"/>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00" w:space="0"/>
            <w:col w:w="5440"/>
          </w:cols>
          <w:pgMar w:left="320" w:top="1005" w:right="339" w:bottom="1440" w:gutter="0" w:footer="0" w:header="0"/>
          <w:type w:val="continuous"/>
        </w:sectPr>
      </w:pPr>
    </w:p>
    <w:p>
      <w:pPr>
        <w:spacing w:after="0" w:line="106" w:lineRule="exact"/>
        <w:rPr>
          <w:sz w:val="20"/>
          <w:szCs w:val="20"/>
          <w:color w:val="auto"/>
        </w:rPr>
      </w:pPr>
    </w:p>
    <w:p>
      <w:pPr>
        <w:ind w:left="420" w:hanging="412"/>
        <w:spacing w:after="0" w:line="286" w:lineRule="auto"/>
        <w:tabs>
          <w:tab w:leader="none" w:pos="412"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value of the vesting acceleration for restricted stock units was calculated by multiplying the number of restricted stock units subject to acceleration as of December 31, 2025 by the closing price of our common stock on the Nasdaq Global Select Market on December 31, 2025, the last trading day of 2025, of $6.15.</w:t>
      </w:r>
    </w:p>
    <w:p>
      <w:pPr>
        <w:spacing w:after="0" w:line="197" w:lineRule="exact"/>
        <w:rPr>
          <w:rFonts w:ascii="Arial" w:cs="Arial" w:eastAsia="Arial" w:hAnsi="Arial"/>
          <w:sz w:val="13"/>
          <w:szCs w:val="13"/>
          <w:color w:val="auto"/>
        </w:rPr>
      </w:pPr>
    </w:p>
    <w:p>
      <w:pPr>
        <w:jc w:val="both"/>
        <w:ind w:left="420" w:hanging="412"/>
        <w:spacing w:after="0" w:line="251" w:lineRule="auto"/>
        <w:tabs>
          <w:tab w:leader="none" w:pos="412" w:val="left"/>
        </w:tabs>
        <w:numPr>
          <w:ilvl w:val="0"/>
          <w:numId w:val="64"/>
        </w:numPr>
        <w:rPr>
          <w:rFonts w:ascii="Arial" w:cs="Arial" w:eastAsia="Arial" w:hAnsi="Arial"/>
          <w:sz w:val="13"/>
          <w:szCs w:val="13"/>
          <w:color w:val="auto"/>
        </w:rPr>
      </w:pPr>
      <w:r>
        <w:rPr>
          <w:rFonts w:ascii="Arial" w:cs="Arial" w:eastAsia="Arial" w:hAnsi="Arial"/>
          <w:sz w:val="13"/>
          <w:szCs w:val="13"/>
          <w:color w:val="auto"/>
        </w:rPr>
        <w:t>PSUs for Mr. Raha, Mr. Wheeler, Mr. Verratti, Mr. Donnelly, and Dr. Muzzey with unsatisfied performance conditions were assumed to vest at target. In the case of a termination without Cause or a separation for Good Reason independent of a Change of Control, vesting of RSUs and, if applicable, PSUs for Mr. Raha, Mr. Wheeler, Mr. Verratti, Mr. Donnelly, and Dr. Muzzey were accelerated by two years from December 31, 2025, on a monthly basis.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CEO Pay Ratio</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following is a reasonable estimate prepared under the SEC rules of the ratio of the annual total compensation of our Chief Executive Officer to the median of the annual total compensation of our other employees. We determined that as of December 31, 2025, our employee population consisted of 2,675 employees, 2,663 of which are U.S. employees and 12 of which are international employees. Of the 12 international employees, six are located in Japan, four in Germany, one in Austria, and one in the United Kingdom. All international employees were excluded in the 5%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exemption adjustment as permitted by SEC rules. We then selected our median employee based on the W-2 calculated income of our U.S. employees for the year ending on December 31, 2025.</w:t>
      </w:r>
    </w:p>
    <w:p>
      <w:pPr>
        <w:sectPr>
          <w:pgSz w:w="11900" w:h="16838" w:orient="portrait"/>
          <w:cols w:equalWidth="0" w:num="1">
            <w:col w:w="11240"/>
          </w:cols>
          <w:pgMar w:left="320" w:top="10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65" w:name="page66"/>
    <w:bookmarkEnd w:id="65"/>
    <w:p>
      <w:pPr>
        <w:jc w:val="both"/>
        <w:spacing w:after="0" w:line="247" w:lineRule="auto"/>
        <w:rPr>
          <w:sz w:val="20"/>
          <w:szCs w:val="20"/>
          <w:color w:val="auto"/>
        </w:rPr>
      </w:pPr>
      <w:r>
        <w:rPr>
          <w:rFonts w:ascii="Arial" w:cs="Arial" w:eastAsia="Arial" w:hAnsi="Arial"/>
          <w:sz w:val="16"/>
          <w:szCs w:val="16"/>
          <w:color w:val="auto"/>
        </w:rPr>
        <w:t>The total 2025 compensation of the employee identified as our median employee (excluding our Chief Executive Officer) was $97,407 for the year ended December 31, 2025. The total 2025 compensation of Mr. Raha, our Chief Executive Officer effective as of April 30, 2025, for purposes of determining the CEO Pay Ratio was $5,820,074 for the year ended December 31, 2025. The total compensation of Mr. Raha for purposes of computing the CEO Pay Ratio was determined by taking the total compensation paid to or earned by Mr. Raha for his service as our Chief Executive Officer during 2025, plus the estimated amount of compensation that he reasonably would have received if he had served as Chief Executive Officer for all of 2025. The total compensation of Mr. Raha for purposes of computing the CEO Pay Ratio differs from the total compensation of Mr. Raha reflected in the Summary Compensation Table due to (i) not including the salary Mr. Raha earned in 2025 while serving as Chief Operating Officer and (ii) including the estimated salary Mr. Raha would have earned as Chief Executive Officer if he had started serving in that capacity as of January 1, 2025. Based on the foregoing information, for 2025, the ratio of the total 2025 compensation of our Chief Executive Officers to the total 2025 compensation of our median employee was estimated to be 60 to 1.</w:t>
      </w: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payroll and employment records and the methodologies prescribed by the SEC. The SEC rules for identifying the median compensated employee and calculating the pay ratio based on that employee’s total compensation allow companies to adopt a variety of methodologies, to apply certain exclusions, and to make reasonable estimates and assumptions that reflect their compensation practices. Using consistently applied measures, we did not make any assumptions, adjustments or estimates with respect to base pay in determining the median employee and we did not annualize compensation for any employee not employed for the entire year.</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Due to the flexibility afforded by the rules of the SEC in calculating the pay ratio amount, the ratio calculated may not be comparable to the CEO pay ratio presented by other companies.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Pay Versus Performance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table below shows the compensation of our principal executive officer (PEO), who is the person(s) acting as our President and Chief Executive Officer during the particular period, the average compensation of the other named executive officers, excluding the PEO, and certain Company performance metrics for 2025, 2024, 2023, 2022, and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840" w:type="dxa"/>
            <w:vAlign w:val="bottom"/>
            <w:shd w:val="clear" w:color="auto" w:fill="003595"/>
          </w:tcPr>
          <w:p>
            <w:pPr>
              <w:spacing w:after="0"/>
              <w:rPr>
                <w:sz w:val="24"/>
                <w:szCs w:val="24"/>
                <w:color w:val="auto"/>
              </w:rPr>
            </w:pPr>
          </w:p>
        </w:tc>
        <w:tc>
          <w:tcPr>
            <w:tcW w:w="960" w:type="dxa"/>
            <w:vAlign w:val="bottom"/>
            <w:shd w:val="clear" w:color="auto" w:fill="003595"/>
          </w:tcPr>
          <w:p>
            <w:pPr>
              <w:spacing w:after="0"/>
              <w:rPr>
                <w:sz w:val="24"/>
                <w:szCs w:val="24"/>
                <w:color w:val="auto"/>
              </w:rPr>
            </w:pPr>
          </w:p>
        </w:tc>
        <w:tc>
          <w:tcPr>
            <w:tcW w:w="80" w:type="dxa"/>
            <w:vAlign w:val="bottom"/>
            <w:shd w:val="clear" w:color="auto" w:fill="003595"/>
          </w:tcPr>
          <w:p>
            <w:pPr>
              <w:spacing w:after="0"/>
              <w:rPr>
                <w:sz w:val="24"/>
                <w:szCs w:val="24"/>
                <w:color w:val="auto"/>
              </w:rPr>
            </w:pPr>
          </w:p>
        </w:tc>
        <w:tc>
          <w:tcPr>
            <w:tcW w:w="820" w:type="dxa"/>
            <w:vAlign w:val="bottom"/>
            <w:shd w:val="clear" w:color="auto" w:fill="003595"/>
          </w:tcPr>
          <w:p>
            <w:pPr>
              <w:spacing w:after="0"/>
              <w:rPr>
                <w:sz w:val="24"/>
                <w:szCs w:val="24"/>
                <w:color w:val="auto"/>
              </w:rPr>
            </w:pPr>
          </w:p>
        </w:tc>
        <w:tc>
          <w:tcPr>
            <w:tcW w:w="200" w:type="dxa"/>
            <w:vAlign w:val="bottom"/>
            <w:shd w:val="clear" w:color="auto" w:fill="003595"/>
          </w:tcPr>
          <w:p>
            <w:pPr>
              <w:spacing w:after="0"/>
              <w:rPr>
                <w:sz w:val="24"/>
                <w:szCs w:val="24"/>
                <w:color w:val="auto"/>
              </w:rPr>
            </w:pPr>
          </w:p>
        </w:tc>
        <w:tc>
          <w:tcPr>
            <w:tcW w:w="560" w:type="dxa"/>
            <w:vAlign w:val="bottom"/>
            <w:shd w:val="clear" w:color="auto" w:fill="003595"/>
          </w:tcPr>
          <w:p>
            <w:pPr>
              <w:spacing w:after="0"/>
              <w:rPr>
                <w:sz w:val="24"/>
                <w:szCs w:val="24"/>
                <w:color w:val="auto"/>
              </w:rPr>
            </w:pPr>
          </w:p>
        </w:tc>
        <w:tc>
          <w:tcPr>
            <w:tcW w:w="480" w:type="dxa"/>
            <w:vAlign w:val="bottom"/>
            <w:shd w:val="clear" w:color="auto" w:fill="003595"/>
          </w:tcPr>
          <w:p>
            <w:pPr>
              <w:spacing w:after="0"/>
              <w:rPr>
                <w:sz w:val="24"/>
                <w:szCs w:val="24"/>
                <w:color w:val="auto"/>
              </w:rPr>
            </w:pPr>
          </w:p>
        </w:tc>
        <w:tc>
          <w:tcPr>
            <w:tcW w:w="740" w:type="dxa"/>
            <w:vAlign w:val="bottom"/>
            <w:shd w:val="clear" w:color="auto" w:fill="003595"/>
          </w:tcPr>
          <w:p>
            <w:pPr>
              <w:spacing w:after="0"/>
              <w:rPr>
                <w:sz w:val="24"/>
                <w:szCs w:val="24"/>
                <w:color w:val="auto"/>
              </w:rPr>
            </w:pPr>
          </w:p>
        </w:tc>
        <w:tc>
          <w:tcPr>
            <w:tcW w:w="240" w:type="dxa"/>
            <w:vAlign w:val="bottom"/>
            <w:shd w:val="clear" w:color="auto" w:fill="003595"/>
          </w:tcPr>
          <w:p>
            <w:pPr>
              <w:spacing w:after="0"/>
              <w:rPr>
                <w:sz w:val="24"/>
                <w:szCs w:val="24"/>
                <w:color w:val="auto"/>
              </w:rPr>
            </w:pPr>
          </w:p>
        </w:tc>
        <w:tc>
          <w:tcPr>
            <w:tcW w:w="760" w:type="dxa"/>
            <w:vAlign w:val="bottom"/>
            <w:shd w:val="clear" w:color="auto" w:fill="003595"/>
          </w:tcPr>
          <w:p>
            <w:pPr>
              <w:spacing w:after="0"/>
              <w:rPr>
                <w:sz w:val="24"/>
                <w:szCs w:val="24"/>
                <w:color w:val="auto"/>
              </w:rPr>
            </w:pPr>
          </w:p>
        </w:tc>
        <w:tc>
          <w:tcPr>
            <w:tcW w:w="260" w:type="dxa"/>
            <w:vAlign w:val="bottom"/>
            <w:shd w:val="clear" w:color="auto" w:fill="003595"/>
          </w:tcPr>
          <w:p>
            <w:pPr>
              <w:spacing w:after="0"/>
              <w:rPr>
                <w:sz w:val="24"/>
                <w:szCs w:val="24"/>
                <w:color w:val="auto"/>
              </w:rPr>
            </w:pPr>
          </w:p>
        </w:tc>
        <w:tc>
          <w:tcPr>
            <w:tcW w:w="920" w:type="dxa"/>
            <w:vAlign w:val="bottom"/>
            <w:vMerge w:val="restart"/>
            <w:shd w:val="clear" w:color="auto" w:fill="003595"/>
          </w:tcPr>
          <w:p>
            <w:pPr>
              <w:jc w:val="center"/>
              <w:spacing w:after="0"/>
              <w:rPr>
                <w:sz w:val="20"/>
                <w:szCs w:val="20"/>
                <w:color w:val="auto"/>
              </w:rPr>
            </w:pPr>
            <w:r>
              <w:rPr>
                <w:rFonts w:ascii="Arial" w:cs="Arial" w:eastAsia="Arial" w:hAnsi="Arial"/>
                <w:sz w:val="11"/>
                <w:szCs w:val="11"/>
                <w:color w:val="FFFFFF"/>
                <w:w w:val="97"/>
              </w:rPr>
              <w:t>Average</w:t>
            </w:r>
          </w:p>
        </w:tc>
        <w:tc>
          <w:tcPr>
            <w:tcW w:w="1740" w:type="dxa"/>
            <w:vAlign w:val="bottom"/>
            <w:gridSpan w:val="2"/>
            <w:shd w:val="clear" w:color="auto" w:fill="003595"/>
          </w:tcPr>
          <w:p>
            <w:pPr>
              <w:jc w:val="center"/>
              <w:spacing w:after="0"/>
              <w:rPr>
                <w:sz w:val="20"/>
                <w:szCs w:val="20"/>
                <w:color w:val="auto"/>
              </w:rPr>
            </w:pPr>
            <w:r>
              <w:rPr>
                <w:rFonts w:ascii="Arial" w:cs="Arial" w:eastAsia="Arial" w:hAnsi="Arial"/>
                <w:sz w:val="11"/>
                <w:szCs w:val="11"/>
                <w:color w:val="FFFFFF"/>
                <w:w w:val="97"/>
              </w:rPr>
              <w:t>Value of Initial Fixed $100</w:t>
            </w:r>
          </w:p>
        </w:tc>
        <w:tc>
          <w:tcPr>
            <w:tcW w:w="860" w:type="dxa"/>
            <w:vAlign w:val="bottom"/>
            <w:shd w:val="clear" w:color="auto" w:fill="003595"/>
          </w:tcPr>
          <w:p>
            <w:pPr>
              <w:spacing w:after="0"/>
              <w:rPr>
                <w:sz w:val="24"/>
                <w:szCs w:val="24"/>
                <w:color w:val="auto"/>
              </w:rPr>
            </w:pPr>
          </w:p>
        </w:tc>
        <w:tc>
          <w:tcPr>
            <w:tcW w:w="660" w:type="dxa"/>
            <w:vAlign w:val="bottom"/>
            <w:shd w:val="clear" w:color="auto" w:fill="003595"/>
          </w:tcPr>
          <w:p>
            <w:pPr>
              <w:spacing w:after="0"/>
              <w:rPr>
                <w:sz w:val="24"/>
                <w:szCs w:val="24"/>
                <w:color w:val="auto"/>
              </w:rPr>
            </w:pPr>
          </w:p>
        </w:tc>
        <w:tc>
          <w:tcPr>
            <w:tcW w:w="200" w:type="dxa"/>
            <w:vAlign w:val="bottom"/>
            <w:shd w:val="clear" w:color="auto" w:fill="003595"/>
          </w:tcPr>
          <w:p>
            <w:pPr>
              <w:spacing w:after="0"/>
              <w:rPr>
                <w:sz w:val="24"/>
                <w:szCs w:val="24"/>
                <w:color w:val="auto"/>
              </w:rPr>
            </w:pPr>
          </w:p>
        </w:tc>
        <w:tc>
          <w:tcPr>
            <w:tcW w:w="20" w:type="dxa"/>
            <w:vAlign w:val="bottom"/>
            <w:shd w:val="clear" w:color="auto" w:fill="003595"/>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40" w:type="dxa"/>
            <w:vAlign w:val="bottom"/>
            <w:shd w:val="clear" w:color="auto" w:fill="003595"/>
          </w:tcPr>
          <w:p>
            <w:pPr>
              <w:spacing w:after="0"/>
              <w:rPr>
                <w:sz w:val="9"/>
                <w:szCs w:val="9"/>
                <w:color w:val="auto"/>
              </w:rPr>
            </w:pPr>
          </w:p>
        </w:tc>
        <w:tc>
          <w:tcPr>
            <w:tcW w:w="960" w:type="dxa"/>
            <w:vAlign w:val="bottom"/>
            <w:shd w:val="clear" w:color="auto" w:fill="003595"/>
          </w:tcPr>
          <w:p>
            <w:pPr>
              <w:spacing w:after="0"/>
              <w:rPr>
                <w:sz w:val="9"/>
                <w:szCs w:val="9"/>
                <w:color w:val="auto"/>
              </w:rPr>
            </w:pPr>
          </w:p>
        </w:tc>
        <w:tc>
          <w:tcPr>
            <w:tcW w:w="80" w:type="dxa"/>
            <w:vAlign w:val="bottom"/>
            <w:shd w:val="clear" w:color="auto" w:fill="003595"/>
          </w:tcPr>
          <w:p>
            <w:pPr>
              <w:spacing w:after="0"/>
              <w:rPr>
                <w:sz w:val="9"/>
                <w:szCs w:val="9"/>
                <w:color w:val="auto"/>
              </w:rPr>
            </w:pPr>
          </w:p>
        </w:tc>
        <w:tc>
          <w:tcPr>
            <w:tcW w:w="820" w:type="dxa"/>
            <w:vAlign w:val="bottom"/>
            <w:vMerge w:val="restart"/>
            <w:shd w:val="clear" w:color="auto" w:fill="003595"/>
          </w:tcPr>
          <w:p>
            <w:pPr>
              <w:jc w:val="center"/>
              <w:ind w:left="143"/>
              <w:spacing w:after="0"/>
              <w:rPr>
                <w:sz w:val="20"/>
                <w:szCs w:val="20"/>
                <w:color w:val="auto"/>
              </w:rPr>
            </w:pPr>
            <w:r>
              <w:rPr>
                <w:rFonts w:ascii="Arial" w:cs="Arial" w:eastAsia="Arial" w:hAnsi="Arial"/>
                <w:sz w:val="11"/>
                <w:szCs w:val="11"/>
                <w:color w:val="FFFFFF"/>
                <w:w w:val="97"/>
              </w:rPr>
              <w:t>Summary</w:t>
            </w:r>
          </w:p>
        </w:tc>
        <w:tc>
          <w:tcPr>
            <w:tcW w:w="200" w:type="dxa"/>
            <w:vAlign w:val="bottom"/>
            <w:shd w:val="clear" w:color="auto" w:fill="003595"/>
          </w:tcPr>
          <w:p>
            <w:pPr>
              <w:spacing w:after="0"/>
              <w:rPr>
                <w:sz w:val="9"/>
                <w:szCs w:val="9"/>
                <w:color w:val="auto"/>
              </w:rPr>
            </w:pPr>
          </w:p>
        </w:tc>
        <w:tc>
          <w:tcPr>
            <w:tcW w:w="560" w:type="dxa"/>
            <w:vAlign w:val="bottom"/>
            <w:shd w:val="clear" w:color="auto" w:fill="003595"/>
          </w:tcPr>
          <w:p>
            <w:pPr>
              <w:spacing w:after="0"/>
              <w:rPr>
                <w:sz w:val="9"/>
                <w:szCs w:val="9"/>
                <w:color w:val="auto"/>
              </w:rPr>
            </w:pPr>
          </w:p>
        </w:tc>
        <w:tc>
          <w:tcPr>
            <w:tcW w:w="480" w:type="dxa"/>
            <w:vAlign w:val="bottom"/>
            <w:shd w:val="clear" w:color="auto" w:fill="003595"/>
          </w:tcPr>
          <w:p>
            <w:pPr>
              <w:spacing w:after="0"/>
              <w:rPr>
                <w:sz w:val="9"/>
                <w:szCs w:val="9"/>
                <w:color w:val="auto"/>
              </w:rPr>
            </w:pPr>
          </w:p>
        </w:tc>
        <w:tc>
          <w:tcPr>
            <w:tcW w:w="740" w:type="dxa"/>
            <w:vAlign w:val="bottom"/>
            <w:shd w:val="clear" w:color="auto" w:fill="003595"/>
          </w:tcPr>
          <w:p>
            <w:pPr>
              <w:spacing w:after="0"/>
              <w:rPr>
                <w:sz w:val="9"/>
                <w:szCs w:val="9"/>
                <w:color w:val="auto"/>
              </w:rPr>
            </w:pPr>
          </w:p>
        </w:tc>
        <w:tc>
          <w:tcPr>
            <w:tcW w:w="240" w:type="dxa"/>
            <w:vAlign w:val="bottom"/>
            <w:shd w:val="clear" w:color="auto" w:fill="003595"/>
          </w:tcPr>
          <w:p>
            <w:pPr>
              <w:spacing w:after="0"/>
              <w:rPr>
                <w:sz w:val="9"/>
                <w:szCs w:val="9"/>
                <w:color w:val="auto"/>
              </w:rPr>
            </w:pPr>
          </w:p>
        </w:tc>
        <w:tc>
          <w:tcPr>
            <w:tcW w:w="1020" w:type="dxa"/>
            <w:vAlign w:val="bottom"/>
            <w:gridSpan w:val="2"/>
            <w:vMerge w:val="restart"/>
            <w:shd w:val="clear" w:color="auto" w:fill="003595"/>
          </w:tcPr>
          <w:p>
            <w:pPr>
              <w:jc w:val="center"/>
              <w:spacing w:after="0"/>
              <w:rPr>
                <w:sz w:val="20"/>
                <w:szCs w:val="20"/>
                <w:color w:val="auto"/>
              </w:rPr>
            </w:pPr>
            <w:r>
              <w:rPr>
                <w:rFonts w:ascii="Arial" w:cs="Arial" w:eastAsia="Arial" w:hAnsi="Arial"/>
                <w:sz w:val="11"/>
                <w:szCs w:val="11"/>
                <w:color w:val="FFFFFF"/>
                <w:w w:val="98"/>
              </w:rPr>
              <w:t>Average Summary</w:t>
            </w:r>
          </w:p>
        </w:tc>
        <w:tc>
          <w:tcPr>
            <w:tcW w:w="920" w:type="dxa"/>
            <w:vAlign w:val="bottom"/>
            <w:vMerge w:val="continue"/>
            <w:shd w:val="clear" w:color="auto" w:fill="003595"/>
          </w:tcPr>
          <w:p>
            <w:pPr>
              <w:spacing w:after="0"/>
              <w:rPr>
                <w:sz w:val="9"/>
                <w:szCs w:val="9"/>
                <w:color w:val="auto"/>
              </w:rPr>
            </w:pPr>
          </w:p>
        </w:tc>
        <w:tc>
          <w:tcPr>
            <w:tcW w:w="1740" w:type="dxa"/>
            <w:vAlign w:val="bottom"/>
            <w:gridSpan w:val="2"/>
            <w:shd w:val="clear" w:color="auto" w:fill="003595"/>
          </w:tcPr>
          <w:p>
            <w:pPr>
              <w:jc w:val="center"/>
              <w:spacing w:after="0" w:line="108" w:lineRule="exact"/>
              <w:rPr>
                <w:sz w:val="20"/>
                <w:szCs w:val="20"/>
                <w:color w:val="auto"/>
              </w:rPr>
            </w:pPr>
            <w:r>
              <w:rPr>
                <w:rFonts w:ascii="Arial" w:cs="Arial" w:eastAsia="Arial" w:hAnsi="Arial"/>
                <w:sz w:val="11"/>
                <w:szCs w:val="11"/>
                <w:color w:val="FFFFFF"/>
                <w:w w:val="98"/>
              </w:rPr>
              <w:t>Investment on December 31, 2020</w:t>
            </w:r>
          </w:p>
        </w:tc>
        <w:tc>
          <w:tcPr>
            <w:tcW w:w="860" w:type="dxa"/>
            <w:vAlign w:val="bottom"/>
            <w:shd w:val="clear" w:color="auto" w:fill="003595"/>
          </w:tcPr>
          <w:p>
            <w:pPr>
              <w:spacing w:after="0"/>
              <w:rPr>
                <w:sz w:val="9"/>
                <w:szCs w:val="9"/>
                <w:color w:val="auto"/>
              </w:rPr>
            </w:pPr>
          </w:p>
        </w:tc>
        <w:tc>
          <w:tcPr>
            <w:tcW w:w="660" w:type="dxa"/>
            <w:vAlign w:val="bottom"/>
            <w:shd w:val="clear" w:color="auto" w:fill="003595"/>
          </w:tcPr>
          <w:p>
            <w:pPr>
              <w:spacing w:after="0"/>
              <w:rPr>
                <w:sz w:val="9"/>
                <w:szCs w:val="9"/>
                <w:color w:val="auto"/>
              </w:rPr>
            </w:pPr>
          </w:p>
        </w:tc>
        <w:tc>
          <w:tcPr>
            <w:tcW w:w="200" w:type="dxa"/>
            <w:vAlign w:val="bottom"/>
            <w:shd w:val="clear" w:color="auto" w:fill="003595"/>
          </w:tcPr>
          <w:p>
            <w:pPr>
              <w:spacing w:after="0"/>
              <w:rPr>
                <w:sz w:val="9"/>
                <w:szCs w:val="9"/>
                <w:color w:val="auto"/>
              </w:rPr>
            </w:pPr>
          </w:p>
        </w:tc>
        <w:tc>
          <w:tcPr>
            <w:tcW w:w="20" w:type="dxa"/>
            <w:vAlign w:val="bottom"/>
            <w:shd w:val="clear" w:color="auto" w:fill="003595"/>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40" w:type="dxa"/>
            <w:vAlign w:val="bottom"/>
            <w:shd w:val="clear" w:color="auto" w:fill="003595"/>
          </w:tcPr>
          <w:p>
            <w:pPr>
              <w:spacing w:after="0"/>
              <w:rPr>
                <w:sz w:val="4"/>
                <w:szCs w:val="4"/>
                <w:color w:val="auto"/>
              </w:rPr>
            </w:pPr>
          </w:p>
        </w:tc>
        <w:tc>
          <w:tcPr>
            <w:tcW w:w="960" w:type="dxa"/>
            <w:vAlign w:val="bottom"/>
            <w:vMerge w:val="restart"/>
            <w:shd w:val="clear" w:color="auto" w:fill="003595"/>
          </w:tcPr>
          <w:p>
            <w:pPr>
              <w:jc w:val="center"/>
              <w:ind w:left="42"/>
              <w:spacing w:after="0" w:line="109" w:lineRule="exact"/>
              <w:rPr>
                <w:sz w:val="20"/>
                <w:szCs w:val="20"/>
                <w:color w:val="auto"/>
              </w:rPr>
            </w:pPr>
            <w:r>
              <w:rPr>
                <w:rFonts w:ascii="Arial" w:cs="Arial" w:eastAsia="Arial" w:hAnsi="Arial"/>
                <w:sz w:val="11"/>
                <w:szCs w:val="11"/>
                <w:color w:val="FFFFFF"/>
                <w:w w:val="97"/>
              </w:rPr>
              <w:t>Summary</w:t>
            </w:r>
          </w:p>
        </w:tc>
        <w:tc>
          <w:tcPr>
            <w:tcW w:w="80" w:type="dxa"/>
            <w:vAlign w:val="bottom"/>
            <w:shd w:val="clear" w:color="auto" w:fill="003595"/>
          </w:tcPr>
          <w:p>
            <w:pPr>
              <w:spacing w:after="0"/>
              <w:rPr>
                <w:sz w:val="4"/>
                <w:szCs w:val="4"/>
                <w:color w:val="auto"/>
              </w:rPr>
            </w:pPr>
          </w:p>
        </w:tc>
        <w:tc>
          <w:tcPr>
            <w:tcW w:w="820" w:type="dxa"/>
            <w:vAlign w:val="bottom"/>
            <w:vMerge w:val="continue"/>
            <w:shd w:val="clear" w:color="auto" w:fill="003595"/>
          </w:tcPr>
          <w:p>
            <w:pPr>
              <w:spacing w:after="0"/>
              <w:rPr>
                <w:sz w:val="4"/>
                <w:szCs w:val="4"/>
                <w:color w:val="auto"/>
              </w:rPr>
            </w:pPr>
          </w:p>
        </w:tc>
        <w:tc>
          <w:tcPr>
            <w:tcW w:w="200" w:type="dxa"/>
            <w:vAlign w:val="bottom"/>
            <w:shd w:val="clear" w:color="auto" w:fill="003595"/>
          </w:tcPr>
          <w:p>
            <w:pPr>
              <w:spacing w:after="0"/>
              <w:rPr>
                <w:sz w:val="4"/>
                <w:szCs w:val="4"/>
                <w:color w:val="auto"/>
              </w:rPr>
            </w:pPr>
          </w:p>
        </w:tc>
        <w:tc>
          <w:tcPr>
            <w:tcW w:w="1040" w:type="dxa"/>
            <w:vAlign w:val="bottom"/>
            <w:gridSpan w:val="2"/>
            <w:vMerge w:val="restart"/>
            <w:shd w:val="clear" w:color="auto" w:fill="003595"/>
          </w:tcPr>
          <w:p>
            <w:pPr>
              <w:jc w:val="center"/>
              <w:spacing w:after="0" w:line="109" w:lineRule="exact"/>
              <w:rPr>
                <w:sz w:val="20"/>
                <w:szCs w:val="20"/>
                <w:color w:val="auto"/>
              </w:rPr>
            </w:pPr>
            <w:r>
              <w:rPr>
                <w:rFonts w:ascii="Arial" w:cs="Arial" w:eastAsia="Arial" w:hAnsi="Arial"/>
                <w:sz w:val="11"/>
                <w:szCs w:val="11"/>
                <w:color w:val="FFFFFF"/>
                <w:w w:val="98"/>
              </w:rPr>
              <w:t>Compensation</w:t>
            </w:r>
          </w:p>
        </w:tc>
        <w:tc>
          <w:tcPr>
            <w:tcW w:w="980" w:type="dxa"/>
            <w:vAlign w:val="bottom"/>
            <w:gridSpan w:val="2"/>
            <w:vMerge w:val="restart"/>
            <w:shd w:val="clear" w:color="auto" w:fill="003595"/>
          </w:tcPr>
          <w:p>
            <w:pPr>
              <w:jc w:val="center"/>
              <w:spacing w:after="0" w:line="109" w:lineRule="exact"/>
              <w:rPr>
                <w:sz w:val="20"/>
                <w:szCs w:val="20"/>
                <w:color w:val="auto"/>
              </w:rPr>
            </w:pPr>
            <w:r>
              <w:rPr>
                <w:rFonts w:ascii="Arial" w:cs="Arial" w:eastAsia="Arial" w:hAnsi="Arial"/>
                <w:sz w:val="11"/>
                <w:szCs w:val="11"/>
                <w:color w:val="FFFFFF"/>
                <w:w w:val="98"/>
              </w:rPr>
              <w:t>Compensation</w:t>
            </w:r>
          </w:p>
        </w:tc>
        <w:tc>
          <w:tcPr>
            <w:tcW w:w="1020" w:type="dxa"/>
            <w:vAlign w:val="bottom"/>
            <w:gridSpan w:val="2"/>
            <w:vMerge w:val="continue"/>
            <w:shd w:val="clear" w:color="auto" w:fill="003595"/>
          </w:tcPr>
          <w:p>
            <w:pPr>
              <w:spacing w:after="0"/>
              <w:rPr>
                <w:sz w:val="4"/>
                <w:szCs w:val="4"/>
                <w:color w:val="auto"/>
              </w:rPr>
            </w:pPr>
          </w:p>
        </w:tc>
        <w:tc>
          <w:tcPr>
            <w:tcW w:w="920" w:type="dxa"/>
            <w:vAlign w:val="bottom"/>
            <w:vMerge w:val="restart"/>
            <w:shd w:val="clear" w:color="auto" w:fill="003595"/>
          </w:tcPr>
          <w:p>
            <w:pPr>
              <w:jc w:val="center"/>
              <w:spacing w:after="0" w:line="109" w:lineRule="exact"/>
              <w:rPr>
                <w:sz w:val="20"/>
                <w:szCs w:val="20"/>
                <w:color w:val="auto"/>
              </w:rPr>
            </w:pPr>
            <w:r>
              <w:rPr>
                <w:rFonts w:ascii="Arial" w:cs="Arial" w:eastAsia="Arial" w:hAnsi="Arial"/>
                <w:sz w:val="11"/>
                <w:szCs w:val="11"/>
                <w:color w:val="FFFFFF"/>
                <w:w w:val="98"/>
              </w:rPr>
              <w:t>Compensation</w:t>
            </w:r>
          </w:p>
        </w:tc>
        <w:tc>
          <w:tcPr>
            <w:tcW w:w="1740" w:type="dxa"/>
            <w:vAlign w:val="bottom"/>
            <w:gridSpan w:val="2"/>
            <w:vMerge w:val="restart"/>
            <w:shd w:val="clear" w:color="auto" w:fill="003595"/>
          </w:tcPr>
          <w:p>
            <w:pPr>
              <w:jc w:val="center"/>
              <w:spacing w:after="0" w:line="109" w:lineRule="exact"/>
              <w:rPr>
                <w:sz w:val="20"/>
                <w:szCs w:val="20"/>
                <w:color w:val="auto"/>
              </w:rPr>
            </w:pPr>
            <w:r>
              <w:rPr>
                <w:rFonts w:ascii="Arial" w:cs="Arial" w:eastAsia="Arial" w:hAnsi="Arial"/>
                <w:sz w:val="11"/>
                <w:szCs w:val="11"/>
                <w:color w:val="FFFFFF"/>
                <w:w w:val="96"/>
              </w:rPr>
              <w:t>Based on:</w:t>
            </w:r>
          </w:p>
        </w:tc>
        <w:tc>
          <w:tcPr>
            <w:tcW w:w="860" w:type="dxa"/>
            <w:vAlign w:val="bottom"/>
            <w:shd w:val="clear" w:color="auto" w:fill="003595"/>
          </w:tcPr>
          <w:p>
            <w:pPr>
              <w:spacing w:after="0"/>
              <w:rPr>
                <w:sz w:val="4"/>
                <w:szCs w:val="4"/>
                <w:color w:val="auto"/>
              </w:rPr>
            </w:pPr>
          </w:p>
        </w:tc>
        <w:tc>
          <w:tcPr>
            <w:tcW w:w="660" w:type="dxa"/>
            <w:vAlign w:val="bottom"/>
            <w:shd w:val="clear" w:color="auto" w:fill="003595"/>
          </w:tcPr>
          <w:p>
            <w:pPr>
              <w:spacing w:after="0"/>
              <w:rPr>
                <w:sz w:val="4"/>
                <w:szCs w:val="4"/>
                <w:color w:val="auto"/>
              </w:rPr>
            </w:pPr>
          </w:p>
        </w:tc>
        <w:tc>
          <w:tcPr>
            <w:tcW w:w="200" w:type="dxa"/>
            <w:vAlign w:val="bottom"/>
            <w:shd w:val="clear" w:color="auto" w:fill="003595"/>
          </w:tcPr>
          <w:p>
            <w:pPr>
              <w:spacing w:after="0"/>
              <w:rPr>
                <w:sz w:val="4"/>
                <w:szCs w:val="4"/>
                <w:color w:val="auto"/>
              </w:rPr>
            </w:pPr>
          </w:p>
        </w:tc>
        <w:tc>
          <w:tcPr>
            <w:tcW w:w="20" w:type="dxa"/>
            <w:vAlign w:val="bottom"/>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840" w:type="dxa"/>
            <w:vAlign w:val="bottom"/>
            <w:shd w:val="clear" w:color="auto" w:fill="003595"/>
          </w:tcPr>
          <w:p>
            <w:pPr>
              <w:spacing w:after="0"/>
              <w:rPr>
                <w:sz w:val="4"/>
                <w:szCs w:val="4"/>
                <w:color w:val="auto"/>
              </w:rPr>
            </w:pPr>
          </w:p>
        </w:tc>
        <w:tc>
          <w:tcPr>
            <w:tcW w:w="960" w:type="dxa"/>
            <w:vAlign w:val="bottom"/>
            <w:vMerge w:val="continue"/>
            <w:shd w:val="clear" w:color="auto" w:fill="003595"/>
          </w:tcPr>
          <w:p>
            <w:pPr>
              <w:spacing w:after="0"/>
              <w:rPr>
                <w:sz w:val="4"/>
                <w:szCs w:val="4"/>
                <w:color w:val="auto"/>
              </w:rPr>
            </w:pPr>
          </w:p>
        </w:tc>
        <w:tc>
          <w:tcPr>
            <w:tcW w:w="80" w:type="dxa"/>
            <w:vAlign w:val="bottom"/>
            <w:shd w:val="clear" w:color="auto" w:fill="003595"/>
          </w:tcPr>
          <w:p>
            <w:pPr>
              <w:spacing w:after="0"/>
              <w:rPr>
                <w:sz w:val="4"/>
                <w:szCs w:val="4"/>
                <w:color w:val="auto"/>
              </w:rPr>
            </w:pPr>
          </w:p>
        </w:tc>
        <w:tc>
          <w:tcPr>
            <w:tcW w:w="1020" w:type="dxa"/>
            <w:vAlign w:val="bottom"/>
            <w:gridSpan w:val="2"/>
            <w:vMerge w:val="restart"/>
            <w:shd w:val="clear" w:color="auto" w:fill="003595"/>
          </w:tcPr>
          <w:p>
            <w:pPr>
              <w:jc w:val="center"/>
              <w:spacing w:after="0"/>
              <w:rPr>
                <w:sz w:val="20"/>
                <w:szCs w:val="20"/>
                <w:color w:val="auto"/>
              </w:rPr>
            </w:pPr>
            <w:r>
              <w:rPr>
                <w:rFonts w:ascii="Arial" w:cs="Arial" w:eastAsia="Arial" w:hAnsi="Arial"/>
                <w:sz w:val="11"/>
                <w:szCs w:val="11"/>
                <w:color w:val="FFFFFF"/>
                <w:w w:val="98"/>
              </w:rPr>
              <w:t>Compensation</w:t>
            </w:r>
          </w:p>
        </w:tc>
        <w:tc>
          <w:tcPr>
            <w:tcW w:w="1040" w:type="dxa"/>
            <w:vAlign w:val="bottom"/>
            <w:gridSpan w:val="2"/>
            <w:vMerge w:val="continue"/>
            <w:shd w:val="clear" w:color="auto" w:fill="003595"/>
          </w:tcPr>
          <w:p>
            <w:pPr>
              <w:spacing w:after="0"/>
              <w:rPr>
                <w:sz w:val="4"/>
                <w:szCs w:val="4"/>
                <w:color w:val="auto"/>
              </w:rPr>
            </w:pPr>
          </w:p>
        </w:tc>
        <w:tc>
          <w:tcPr>
            <w:tcW w:w="980" w:type="dxa"/>
            <w:vAlign w:val="bottom"/>
            <w:gridSpan w:val="2"/>
            <w:vMerge w:val="continue"/>
            <w:shd w:val="clear" w:color="auto" w:fill="003595"/>
          </w:tcPr>
          <w:p>
            <w:pPr>
              <w:spacing w:after="0"/>
              <w:rPr>
                <w:sz w:val="4"/>
                <w:szCs w:val="4"/>
                <w:color w:val="auto"/>
              </w:rPr>
            </w:pPr>
          </w:p>
        </w:tc>
        <w:tc>
          <w:tcPr>
            <w:tcW w:w="1020" w:type="dxa"/>
            <w:vAlign w:val="bottom"/>
            <w:gridSpan w:val="2"/>
            <w:vMerge w:val="restart"/>
            <w:shd w:val="clear" w:color="auto" w:fill="003595"/>
          </w:tcPr>
          <w:p>
            <w:pPr>
              <w:jc w:val="center"/>
              <w:spacing w:after="0"/>
              <w:rPr>
                <w:sz w:val="20"/>
                <w:szCs w:val="20"/>
                <w:color w:val="auto"/>
              </w:rPr>
            </w:pPr>
            <w:r>
              <w:rPr>
                <w:rFonts w:ascii="Arial" w:cs="Arial" w:eastAsia="Arial" w:hAnsi="Arial"/>
                <w:sz w:val="11"/>
                <w:szCs w:val="11"/>
                <w:color w:val="FFFFFF"/>
                <w:w w:val="98"/>
              </w:rPr>
              <w:t>Compensation</w:t>
            </w:r>
          </w:p>
        </w:tc>
        <w:tc>
          <w:tcPr>
            <w:tcW w:w="920" w:type="dxa"/>
            <w:vAlign w:val="bottom"/>
            <w:vMerge w:val="continue"/>
            <w:shd w:val="clear" w:color="auto" w:fill="003595"/>
          </w:tcPr>
          <w:p>
            <w:pPr>
              <w:spacing w:after="0"/>
              <w:rPr>
                <w:sz w:val="4"/>
                <w:szCs w:val="4"/>
                <w:color w:val="auto"/>
              </w:rPr>
            </w:pPr>
          </w:p>
        </w:tc>
        <w:tc>
          <w:tcPr>
            <w:tcW w:w="1740" w:type="dxa"/>
            <w:vAlign w:val="bottom"/>
            <w:gridSpan w:val="2"/>
            <w:vMerge w:val="continue"/>
            <w:shd w:val="clear" w:color="auto" w:fill="003595"/>
          </w:tcPr>
          <w:p>
            <w:pPr>
              <w:spacing w:after="0"/>
              <w:rPr>
                <w:sz w:val="4"/>
                <w:szCs w:val="4"/>
                <w:color w:val="auto"/>
              </w:rPr>
            </w:pPr>
          </w:p>
        </w:tc>
        <w:tc>
          <w:tcPr>
            <w:tcW w:w="860" w:type="dxa"/>
            <w:vAlign w:val="bottom"/>
            <w:vMerge w:val="restart"/>
            <w:shd w:val="clear" w:color="auto" w:fill="003595"/>
          </w:tcPr>
          <w:p>
            <w:pPr>
              <w:jc w:val="center"/>
              <w:spacing w:after="0"/>
              <w:rPr>
                <w:sz w:val="20"/>
                <w:szCs w:val="20"/>
                <w:color w:val="auto"/>
              </w:rPr>
            </w:pPr>
            <w:r>
              <w:rPr>
                <w:rFonts w:ascii="Arial" w:cs="Arial" w:eastAsia="Arial" w:hAnsi="Arial"/>
                <w:sz w:val="11"/>
                <w:szCs w:val="11"/>
                <w:color w:val="FFFFFF"/>
                <w:w w:val="95"/>
              </w:rPr>
              <w:t>Net Income</w:t>
            </w:r>
          </w:p>
        </w:tc>
        <w:tc>
          <w:tcPr>
            <w:tcW w:w="660" w:type="dxa"/>
            <w:vAlign w:val="bottom"/>
            <w:vMerge w:val="restart"/>
            <w:shd w:val="clear" w:color="auto" w:fill="003595"/>
          </w:tcPr>
          <w:p>
            <w:pPr>
              <w:ind w:left="160"/>
              <w:spacing w:after="0"/>
              <w:rPr>
                <w:sz w:val="20"/>
                <w:szCs w:val="20"/>
                <w:color w:val="auto"/>
              </w:rPr>
            </w:pPr>
            <w:r>
              <w:rPr>
                <w:rFonts w:ascii="Arial" w:cs="Arial" w:eastAsia="Arial" w:hAnsi="Arial"/>
                <w:sz w:val="11"/>
                <w:szCs w:val="11"/>
                <w:color w:val="FFFFFF"/>
                <w:w w:val="97"/>
              </w:rPr>
              <w:t>Revenue</w:t>
            </w:r>
            <w:r>
              <w:rPr>
                <w:rFonts w:ascii="Arial" w:cs="Arial" w:eastAsia="Arial" w:hAnsi="Arial"/>
                <w:sz w:val="14"/>
                <w:szCs w:val="14"/>
                <w:color w:val="FFFFFF"/>
                <w:w w:val="97"/>
                <w:vertAlign w:val="superscript"/>
              </w:rPr>
              <w:t>6</w:t>
            </w:r>
          </w:p>
        </w:tc>
        <w:tc>
          <w:tcPr>
            <w:tcW w:w="200" w:type="dxa"/>
            <w:vAlign w:val="bottom"/>
            <w:shd w:val="clear" w:color="auto" w:fill="003595"/>
          </w:tcPr>
          <w:p>
            <w:pPr>
              <w:spacing w:after="0"/>
              <w:rPr>
                <w:sz w:val="4"/>
                <w:szCs w:val="4"/>
                <w:color w:val="auto"/>
              </w:rPr>
            </w:pPr>
          </w:p>
        </w:tc>
        <w:tc>
          <w:tcPr>
            <w:tcW w:w="20" w:type="dxa"/>
            <w:vAlign w:val="bottom"/>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shd w:val="clear" w:color="auto" w:fill="003595"/>
          </w:tcPr>
          <w:p>
            <w:pPr>
              <w:jc w:val="center"/>
              <w:spacing w:after="0"/>
              <w:rPr>
                <w:sz w:val="20"/>
                <w:szCs w:val="20"/>
                <w:color w:val="auto"/>
              </w:rPr>
            </w:pPr>
            <w:r>
              <w:rPr>
                <w:rFonts w:ascii="Arial" w:cs="Arial" w:eastAsia="Arial" w:hAnsi="Arial"/>
                <w:sz w:val="11"/>
                <w:szCs w:val="11"/>
                <w:color w:val="FFFFFF"/>
                <w:w w:val="94"/>
              </w:rPr>
              <w:t>Year</w:t>
            </w:r>
          </w:p>
        </w:tc>
        <w:tc>
          <w:tcPr>
            <w:tcW w:w="1040" w:type="dxa"/>
            <w:vAlign w:val="bottom"/>
            <w:gridSpan w:val="2"/>
            <w:shd w:val="clear" w:color="auto" w:fill="003595"/>
          </w:tcPr>
          <w:p>
            <w:pPr>
              <w:jc w:val="center"/>
              <w:spacing w:after="0" w:line="108" w:lineRule="exact"/>
              <w:rPr>
                <w:sz w:val="20"/>
                <w:szCs w:val="20"/>
                <w:color w:val="auto"/>
              </w:rPr>
            </w:pPr>
            <w:r>
              <w:rPr>
                <w:rFonts w:ascii="Arial" w:cs="Arial" w:eastAsia="Arial" w:hAnsi="Arial"/>
                <w:sz w:val="11"/>
                <w:szCs w:val="11"/>
                <w:color w:val="FFFFFF"/>
                <w:w w:val="96"/>
              </w:rPr>
              <w:t>Compensation Table</w:t>
            </w:r>
          </w:p>
        </w:tc>
        <w:tc>
          <w:tcPr>
            <w:tcW w:w="1020" w:type="dxa"/>
            <w:vAlign w:val="bottom"/>
            <w:gridSpan w:val="2"/>
            <w:vMerge w:val="continue"/>
            <w:shd w:val="clear" w:color="auto" w:fill="003595"/>
          </w:tcPr>
          <w:p>
            <w:pPr>
              <w:spacing w:after="0"/>
              <w:rPr>
                <w:sz w:val="9"/>
                <w:szCs w:val="9"/>
                <w:color w:val="auto"/>
              </w:rPr>
            </w:pPr>
          </w:p>
        </w:tc>
        <w:tc>
          <w:tcPr>
            <w:tcW w:w="1040" w:type="dxa"/>
            <w:vAlign w:val="bottom"/>
            <w:gridSpan w:val="2"/>
            <w:shd w:val="clear" w:color="auto" w:fill="003595"/>
          </w:tcPr>
          <w:p>
            <w:pPr>
              <w:jc w:val="center"/>
              <w:spacing w:after="0" w:line="108" w:lineRule="exact"/>
              <w:rPr>
                <w:sz w:val="20"/>
                <w:szCs w:val="20"/>
                <w:color w:val="auto"/>
              </w:rPr>
            </w:pPr>
            <w:r>
              <w:rPr>
                <w:rFonts w:ascii="Arial" w:cs="Arial" w:eastAsia="Arial" w:hAnsi="Arial"/>
                <w:sz w:val="11"/>
                <w:szCs w:val="11"/>
                <w:color w:val="FFFFFF"/>
                <w:w w:val="97"/>
              </w:rPr>
              <w:t>Actually Paid to First</w:t>
            </w:r>
          </w:p>
        </w:tc>
        <w:tc>
          <w:tcPr>
            <w:tcW w:w="980" w:type="dxa"/>
            <w:vAlign w:val="bottom"/>
            <w:gridSpan w:val="2"/>
            <w:shd w:val="clear" w:color="auto" w:fill="003595"/>
          </w:tcPr>
          <w:p>
            <w:pPr>
              <w:jc w:val="center"/>
              <w:spacing w:after="0" w:line="108" w:lineRule="exact"/>
              <w:rPr>
                <w:sz w:val="20"/>
                <w:szCs w:val="20"/>
                <w:color w:val="auto"/>
              </w:rPr>
            </w:pPr>
            <w:r>
              <w:rPr>
                <w:rFonts w:ascii="Arial" w:cs="Arial" w:eastAsia="Arial" w:hAnsi="Arial"/>
                <w:sz w:val="11"/>
                <w:szCs w:val="11"/>
                <w:color w:val="FFFFFF"/>
                <w:w w:val="97"/>
              </w:rPr>
              <w:t>Actually Paid to</w:t>
            </w:r>
          </w:p>
        </w:tc>
        <w:tc>
          <w:tcPr>
            <w:tcW w:w="1020" w:type="dxa"/>
            <w:vAlign w:val="bottom"/>
            <w:gridSpan w:val="2"/>
            <w:vMerge w:val="continue"/>
            <w:shd w:val="clear" w:color="auto" w:fill="003595"/>
          </w:tcPr>
          <w:p>
            <w:pPr>
              <w:spacing w:after="0"/>
              <w:rPr>
                <w:sz w:val="9"/>
                <w:szCs w:val="9"/>
                <w:color w:val="auto"/>
              </w:rPr>
            </w:pPr>
          </w:p>
        </w:tc>
        <w:tc>
          <w:tcPr>
            <w:tcW w:w="920" w:type="dxa"/>
            <w:vAlign w:val="bottom"/>
            <w:shd w:val="clear" w:color="auto" w:fill="003595"/>
          </w:tcPr>
          <w:p>
            <w:pPr>
              <w:jc w:val="center"/>
              <w:spacing w:after="0" w:line="108" w:lineRule="exact"/>
              <w:rPr>
                <w:sz w:val="20"/>
                <w:szCs w:val="20"/>
                <w:color w:val="auto"/>
              </w:rPr>
            </w:pPr>
            <w:r>
              <w:rPr>
                <w:rFonts w:ascii="Arial" w:cs="Arial" w:eastAsia="Arial" w:hAnsi="Arial"/>
                <w:sz w:val="11"/>
                <w:szCs w:val="11"/>
                <w:color w:val="FFFFFF"/>
                <w:w w:val="97"/>
              </w:rPr>
              <w:t>Actually Paid to</w:t>
            </w:r>
          </w:p>
        </w:tc>
        <w:tc>
          <w:tcPr>
            <w:tcW w:w="860" w:type="dxa"/>
            <w:vAlign w:val="bottom"/>
            <w:shd w:val="clear" w:color="auto" w:fill="003595"/>
          </w:tcPr>
          <w:p>
            <w:pPr>
              <w:spacing w:after="0"/>
              <w:rPr>
                <w:sz w:val="9"/>
                <w:szCs w:val="9"/>
                <w:color w:val="auto"/>
              </w:rPr>
            </w:pPr>
          </w:p>
        </w:tc>
        <w:tc>
          <w:tcPr>
            <w:tcW w:w="880" w:type="dxa"/>
            <w:vAlign w:val="bottom"/>
            <w:shd w:val="clear" w:color="auto" w:fill="003595"/>
          </w:tcPr>
          <w:p>
            <w:pPr>
              <w:spacing w:after="0"/>
              <w:rPr>
                <w:sz w:val="9"/>
                <w:szCs w:val="9"/>
                <w:color w:val="auto"/>
              </w:rPr>
            </w:pPr>
          </w:p>
        </w:tc>
        <w:tc>
          <w:tcPr>
            <w:tcW w:w="860" w:type="dxa"/>
            <w:vAlign w:val="bottom"/>
            <w:vMerge w:val="continue"/>
            <w:shd w:val="clear" w:color="auto" w:fill="003595"/>
          </w:tcPr>
          <w:p>
            <w:pPr>
              <w:spacing w:after="0"/>
              <w:rPr>
                <w:sz w:val="9"/>
                <w:szCs w:val="9"/>
                <w:color w:val="auto"/>
              </w:rPr>
            </w:pPr>
          </w:p>
        </w:tc>
        <w:tc>
          <w:tcPr>
            <w:tcW w:w="660" w:type="dxa"/>
            <w:vAlign w:val="bottom"/>
            <w:vMerge w:val="continue"/>
            <w:shd w:val="clear" w:color="auto" w:fill="003595"/>
          </w:tcPr>
          <w:p>
            <w:pPr>
              <w:spacing w:after="0"/>
              <w:rPr>
                <w:sz w:val="9"/>
                <w:szCs w:val="9"/>
                <w:color w:val="auto"/>
              </w:rPr>
            </w:pPr>
          </w:p>
        </w:tc>
        <w:tc>
          <w:tcPr>
            <w:tcW w:w="200" w:type="dxa"/>
            <w:vAlign w:val="bottom"/>
            <w:shd w:val="clear" w:color="auto" w:fill="003595"/>
          </w:tcPr>
          <w:p>
            <w:pPr>
              <w:jc w:val="right"/>
              <w:ind w:right="91"/>
              <w:spacing w:after="0" w:line="108" w:lineRule="exact"/>
              <w:rPr>
                <w:sz w:val="20"/>
                <w:szCs w:val="20"/>
                <w:color w:val="auto"/>
              </w:rPr>
            </w:pPr>
            <w:r>
              <w:rPr>
                <w:rFonts w:ascii="Arial" w:cs="Arial" w:eastAsia="Arial" w:hAnsi="Arial"/>
                <w:sz w:val="10"/>
                <w:szCs w:val="10"/>
                <w:color w:val="FFFFFF"/>
                <w:w w:val="71"/>
              </w:rPr>
              <w:t>$</w:t>
            </w:r>
          </w:p>
        </w:tc>
        <w:tc>
          <w:tcPr>
            <w:tcW w:w="20" w:type="dxa"/>
            <w:vAlign w:val="bottom"/>
            <w:shd w:val="clear" w:color="auto" w:fill="003595"/>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40" w:type="dxa"/>
            <w:vAlign w:val="bottom"/>
            <w:vMerge w:val="continue"/>
            <w:shd w:val="clear" w:color="auto" w:fill="003595"/>
          </w:tcPr>
          <w:p>
            <w:pPr>
              <w:spacing w:after="0"/>
              <w:rPr>
                <w:sz w:val="7"/>
                <w:szCs w:val="7"/>
                <w:color w:val="auto"/>
              </w:rPr>
            </w:pPr>
          </w:p>
        </w:tc>
        <w:tc>
          <w:tcPr>
            <w:tcW w:w="960" w:type="dxa"/>
            <w:vAlign w:val="bottom"/>
            <w:vMerge w:val="restart"/>
            <w:shd w:val="clear" w:color="auto" w:fill="003595"/>
          </w:tcPr>
          <w:p>
            <w:pPr>
              <w:jc w:val="right"/>
              <w:spacing w:after="0"/>
              <w:rPr>
                <w:sz w:val="20"/>
                <w:szCs w:val="20"/>
                <w:color w:val="auto"/>
              </w:rPr>
            </w:pPr>
            <w:r>
              <w:rPr>
                <w:rFonts w:ascii="Arial" w:cs="Arial" w:eastAsia="Arial" w:hAnsi="Arial"/>
                <w:sz w:val="11"/>
                <w:szCs w:val="11"/>
                <w:color w:val="FFFFFF"/>
              </w:rPr>
              <w:t>Total for First PEO</w:t>
            </w:r>
          </w:p>
        </w:tc>
        <w:tc>
          <w:tcPr>
            <w:tcW w:w="80" w:type="dxa"/>
            <w:vAlign w:val="bottom"/>
            <w:shd w:val="clear" w:color="auto" w:fill="003595"/>
          </w:tcPr>
          <w:p>
            <w:pPr>
              <w:jc w:val="right"/>
              <w:ind w:right="17"/>
              <w:spacing w:after="0"/>
              <w:rPr>
                <w:sz w:val="20"/>
                <w:szCs w:val="20"/>
                <w:color w:val="auto"/>
              </w:rPr>
            </w:pPr>
            <w:r>
              <w:rPr>
                <w:rFonts w:ascii="Arial" w:cs="Arial" w:eastAsia="Arial" w:hAnsi="Arial"/>
                <w:sz w:val="5"/>
                <w:szCs w:val="5"/>
                <w:color w:val="FFFFFF"/>
                <w:w w:val="70"/>
              </w:rPr>
              <w:t>1</w:t>
            </w:r>
          </w:p>
        </w:tc>
        <w:tc>
          <w:tcPr>
            <w:tcW w:w="1020" w:type="dxa"/>
            <w:vAlign w:val="bottom"/>
            <w:gridSpan w:val="2"/>
            <w:shd w:val="clear" w:color="auto" w:fill="003595"/>
          </w:tcPr>
          <w:p>
            <w:pPr>
              <w:jc w:val="center"/>
              <w:spacing w:after="0" w:line="81" w:lineRule="exact"/>
              <w:rPr>
                <w:sz w:val="20"/>
                <w:szCs w:val="20"/>
                <w:color w:val="auto"/>
              </w:rPr>
            </w:pPr>
            <w:r>
              <w:rPr>
                <w:rFonts w:ascii="Arial" w:cs="Arial" w:eastAsia="Arial" w:hAnsi="Arial"/>
                <w:sz w:val="9"/>
                <w:szCs w:val="9"/>
                <w:color w:val="FFFFFF"/>
              </w:rPr>
              <w:t>Table Total for</w:t>
            </w:r>
          </w:p>
        </w:tc>
        <w:tc>
          <w:tcPr>
            <w:tcW w:w="560" w:type="dxa"/>
            <w:vAlign w:val="bottom"/>
            <w:vMerge w:val="restart"/>
            <w:shd w:val="clear" w:color="auto" w:fill="003595"/>
          </w:tcPr>
          <w:p>
            <w:pPr>
              <w:ind w:left="340"/>
              <w:spacing w:after="0"/>
              <w:rPr>
                <w:sz w:val="20"/>
                <w:szCs w:val="20"/>
                <w:color w:val="auto"/>
              </w:rPr>
            </w:pPr>
            <w:r>
              <w:rPr>
                <w:rFonts w:ascii="Arial" w:cs="Arial" w:eastAsia="Arial" w:hAnsi="Arial"/>
                <w:sz w:val="11"/>
                <w:szCs w:val="11"/>
                <w:color w:val="FFFFFF"/>
                <w:w w:val="85"/>
              </w:rPr>
              <w:t>PEO</w:t>
            </w:r>
          </w:p>
        </w:tc>
        <w:tc>
          <w:tcPr>
            <w:tcW w:w="480" w:type="dxa"/>
            <w:vAlign w:val="bottom"/>
            <w:shd w:val="clear" w:color="auto" w:fill="003595"/>
          </w:tcPr>
          <w:p>
            <w:pPr>
              <w:jc w:val="right"/>
              <w:ind w:right="285"/>
              <w:spacing w:after="0"/>
              <w:rPr>
                <w:sz w:val="20"/>
                <w:szCs w:val="20"/>
                <w:color w:val="auto"/>
              </w:rPr>
            </w:pPr>
            <w:r>
              <w:rPr>
                <w:rFonts w:ascii="Arial" w:cs="Arial" w:eastAsia="Arial" w:hAnsi="Arial"/>
                <w:sz w:val="7"/>
                <w:szCs w:val="7"/>
                <w:color w:val="FFFFFF"/>
                <w:w w:val="89"/>
              </w:rPr>
              <w:t>1,2,3</w:t>
            </w:r>
          </w:p>
        </w:tc>
        <w:tc>
          <w:tcPr>
            <w:tcW w:w="740" w:type="dxa"/>
            <w:vAlign w:val="bottom"/>
            <w:vMerge w:val="restart"/>
            <w:shd w:val="clear" w:color="auto" w:fill="003595"/>
          </w:tcPr>
          <w:p>
            <w:pPr>
              <w:ind w:left="100"/>
              <w:spacing w:after="0"/>
              <w:rPr>
                <w:sz w:val="20"/>
                <w:szCs w:val="20"/>
                <w:color w:val="auto"/>
              </w:rPr>
            </w:pPr>
            <w:r>
              <w:rPr>
                <w:rFonts w:ascii="Arial" w:cs="Arial" w:eastAsia="Arial" w:hAnsi="Arial"/>
                <w:sz w:val="11"/>
                <w:szCs w:val="11"/>
                <w:color w:val="FFFFFF"/>
                <w:w w:val="97"/>
              </w:rPr>
              <w:t>Second PEO</w:t>
            </w:r>
          </w:p>
        </w:tc>
        <w:tc>
          <w:tcPr>
            <w:tcW w:w="240" w:type="dxa"/>
            <w:vAlign w:val="bottom"/>
            <w:shd w:val="clear" w:color="auto" w:fill="003595"/>
          </w:tcPr>
          <w:p>
            <w:pPr>
              <w:jc w:val="right"/>
              <w:ind w:right="65"/>
              <w:spacing w:after="0"/>
              <w:rPr>
                <w:sz w:val="20"/>
                <w:szCs w:val="20"/>
                <w:color w:val="auto"/>
              </w:rPr>
            </w:pPr>
            <w:r>
              <w:rPr>
                <w:rFonts w:ascii="Arial" w:cs="Arial" w:eastAsia="Arial" w:hAnsi="Arial"/>
                <w:sz w:val="7"/>
                <w:szCs w:val="7"/>
                <w:color w:val="FFFFFF"/>
                <w:w w:val="76"/>
              </w:rPr>
              <w:t>1,2,3</w:t>
            </w:r>
          </w:p>
        </w:tc>
        <w:tc>
          <w:tcPr>
            <w:tcW w:w="1020" w:type="dxa"/>
            <w:vAlign w:val="bottom"/>
            <w:gridSpan w:val="2"/>
            <w:shd w:val="clear" w:color="auto" w:fill="003595"/>
          </w:tcPr>
          <w:p>
            <w:pPr>
              <w:jc w:val="center"/>
              <w:spacing w:after="0" w:line="81" w:lineRule="exact"/>
              <w:rPr>
                <w:sz w:val="20"/>
                <w:szCs w:val="20"/>
                <w:color w:val="auto"/>
              </w:rPr>
            </w:pPr>
            <w:r>
              <w:rPr>
                <w:rFonts w:ascii="Arial" w:cs="Arial" w:eastAsia="Arial" w:hAnsi="Arial"/>
                <w:sz w:val="9"/>
                <w:szCs w:val="9"/>
                <w:color w:val="FFFFFF"/>
              </w:rPr>
              <w:t>Table Total for Non-</w:t>
            </w:r>
          </w:p>
        </w:tc>
        <w:tc>
          <w:tcPr>
            <w:tcW w:w="920" w:type="dxa"/>
            <w:vAlign w:val="bottom"/>
            <w:vMerge w:val="restart"/>
            <w:shd w:val="clear" w:color="auto" w:fill="003595"/>
          </w:tcPr>
          <w:p>
            <w:pPr>
              <w:jc w:val="center"/>
              <w:spacing w:after="0"/>
              <w:rPr>
                <w:sz w:val="20"/>
                <w:szCs w:val="20"/>
                <w:color w:val="auto"/>
              </w:rPr>
            </w:pPr>
            <w:r>
              <w:rPr>
                <w:rFonts w:ascii="Arial" w:cs="Arial" w:eastAsia="Arial" w:hAnsi="Arial"/>
                <w:sz w:val="11"/>
                <w:szCs w:val="11"/>
                <w:color w:val="FFFFFF"/>
                <w:w w:val="97"/>
              </w:rPr>
              <w:t>Non-PEO</w:t>
            </w:r>
          </w:p>
        </w:tc>
        <w:tc>
          <w:tcPr>
            <w:tcW w:w="860" w:type="dxa"/>
            <w:vAlign w:val="bottom"/>
            <w:shd w:val="clear" w:color="auto" w:fill="003595"/>
          </w:tcPr>
          <w:p>
            <w:pPr>
              <w:spacing w:after="0"/>
              <w:rPr>
                <w:sz w:val="7"/>
                <w:szCs w:val="7"/>
                <w:color w:val="auto"/>
              </w:rPr>
            </w:pPr>
          </w:p>
        </w:tc>
        <w:tc>
          <w:tcPr>
            <w:tcW w:w="880" w:type="dxa"/>
            <w:vAlign w:val="bottom"/>
            <w:shd w:val="clear" w:color="auto" w:fill="003595"/>
          </w:tcPr>
          <w:p>
            <w:pPr>
              <w:spacing w:after="0"/>
              <w:rPr>
                <w:sz w:val="7"/>
                <w:szCs w:val="7"/>
                <w:color w:val="auto"/>
              </w:rPr>
            </w:pPr>
          </w:p>
        </w:tc>
        <w:tc>
          <w:tcPr>
            <w:tcW w:w="860" w:type="dxa"/>
            <w:vAlign w:val="bottom"/>
            <w:shd w:val="clear" w:color="auto" w:fill="003595"/>
          </w:tcPr>
          <w:p>
            <w:pPr>
              <w:jc w:val="center"/>
              <w:spacing w:after="0" w:line="81" w:lineRule="exact"/>
              <w:rPr>
                <w:sz w:val="20"/>
                <w:szCs w:val="20"/>
                <w:color w:val="auto"/>
              </w:rPr>
            </w:pPr>
            <w:r>
              <w:rPr>
                <w:rFonts w:ascii="Arial" w:cs="Arial" w:eastAsia="Arial" w:hAnsi="Arial"/>
                <w:sz w:val="9"/>
                <w:szCs w:val="9"/>
                <w:color w:val="FFFFFF"/>
              </w:rPr>
              <w:t>(Loss) $</w:t>
            </w:r>
          </w:p>
        </w:tc>
        <w:tc>
          <w:tcPr>
            <w:tcW w:w="660" w:type="dxa"/>
            <w:vAlign w:val="bottom"/>
            <w:vMerge w:val="restart"/>
            <w:shd w:val="clear" w:color="auto" w:fill="003595"/>
          </w:tcPr>
          <w:p>
            <w:pPr>
              <w:jc w:val="center"/>
              <w:ind w:left="160"/>
              <w:spacing w:after="0"/>
              <w:rPr>
                <w:sz w:val="20"/>
                <w:szCs w:val="20"/>
                <w:color w:val="auto"/>
              </w:rPr>
            </w:pPr>
            <w:r>
              <w:rPr>
                <w:rFonts w:ascii="Arial" w:cs="Arial" w:eastAsia="Arial" w:hAnsi="Arial"/>
                <w:sz w:val="11"/>
                <w:szCs w:val="11"/>
                <w:color w:val="FFFFFF"/>
                <w:w w:val="99"/>
              </w:rPr>
              <w:t>(millions)</w:t>
            </w:r>
          </w:p>
        </w:tc>
        <w:tc>
          <w:tcPr>
            <w:tcW w:w="200" w:type="dxa"/>
            <w:vAlign w:val="bottom"/>
            <w:shd w:val="clear" w:color="auto" w:fill="003595"/>
          </w:tcPr>
          <w:p>
            <w:pPr>
              <w:spacing w:after="0"/>
              <w:rPr>
                <w:sz w:val="7"/>
                <w:szCs w:val="7"/>
                <w:color w:val="auto"/>
              </w:rPr>
            </w:pPr>
          </w:p>
        </w:tc>
        <w:tc>
          <w:tcPr>
            <w:tcW w:w="20" w:type="dxa"/>
            <w:vAlign w:val="bottom"/>
            <w:shd w:val="clear" w:color="auto" w:fill="003595"/>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840" w:type="dxa"/>
            <w:vAlign w:val="bottom"/>
            <w:shd w:val="clear" w:color="auto" w:fill="003595"/>
          </w:tcPr>
          <w:p>
            <w:pPr>
              <w:spacing w:after="0"/>
              <w:rPr>
                <w:sz w:val="4"/>
                <w:szCs w:val="4"/>
                <w:color w:val="auto"/>
              </w:rPr>
            </w:pPr>
          </w:p>
        </w:tc>
        <w:tc>
          <w:tcPr>
            <w:tcW w:w="960" w:type="dxa"/>
            <w:vAlign w:val="bottom"/>
            <w:vMerge w:val="continue"/>
            <w:shd w:val="clear" w:color="auto" w:fill="003595"/>
          </w:tcPr>
          <w:p>
            <w:pPr>
              <w:spacing w:after="0"/>
              <w:rPr>
                <w:sz w:val="4"/>
                <w:szCs w:val="4"/>
                <w:color w:val="auto"/>
              </w:rPr>
            </w:pPr>
          </w:p>
        </w:tc>
        <w:tc>
          <w:tcPr>
            <w:tcW w:w="80" w:type="dxa"/>
            <w:vAlign w:val="bottom"/>
            <w:shd w:val="clear" w:color="auto" w:fill="003595"/>
          </w:tcPr>
          <w:p>
            <w:pPr>
              <w:spacing w:after="0"/>
              <w:rPr>
                <w:sz w:val="4"/>
                <w:szCs w:val="4"/>
                <w:color w:val="auto"/>
              </w:rPr>
            </w:pPr>
          </w:p>
        </w:tc>
        <w:tc>
          <w:tcPr>
            <w:tcW w:w="820" w:type="dxa"/>
            <w:vAlign w:val="bottom"/>
            <w:vMerge w:val="restart"/>
            <w:shd w:val="clear" w:color="auto" w:fill="003595"/>
          </w:tcPr>
          <w:p>
            <w:pPr>
              <w:ind w:left="180"/>
              <w:spacing w:after="0"/>
              <w:rPr>
                <w:sz w:val="20"/>
                <w:szCs w:val="20"/>
                <w:color w:val="auto"/>
              </w:rPr>
            </w:pPr>
            <w:r>
              <w:rPr>
                <w:rFonts w:ascii="Arial" w:cs="Arial" w:eastAsia="Arial" w:hAnsi="Arial"/>
                <w:sz w:val="11"/>
                <w:szCs w:val="11"/>
                <w:color w:val="FFFFFF"/>
                <w:w w:val="97"/>
              </w:rPr>
              <w:t>Second PEO</w:t>
            </w:r>
          </w:p>
        </w:tc>
        <w:tc>
          <w:tcPr>
            <w:tcW w:w="200" w:type="dxa"/>
            <w:vAlign w:val="bottom"/>
            <w:shd w:val="clear" w:color="auto" w:fill="003595"/>
          </w:tcPr>
          <w:p>
            <w:pPr>
              <w:jc w:val="right"/>
              <w:ind w:right="174"/>
              <w:spacing w:after="0"/>
              <w:rPr>
                <w:sz w:val="20"/>
                <w:szCs w:val="20"/>
                <w:color w:val="auto"/>
              </w:rPr>
            </w:pPr>
            <w:r>
              <w:rPr>
                <w:rFonts w:ascii="Arial" w:cs="Arial" w:eastAsia="Arial" w:hAnsi="Arial"/>
                <w:sz w:val="1"/>
                <w:szCs w:val="1"/>
                <w:color w:val="FFFFFF"/>
                <w:w w:val="4294967288"/>
              </w:rPr>
              <w:t>1</w:t>
            </w:r>
          </w:p>
        </w:tc>
        <w:tc>
          <w:tcPr>
            <w:tcW w:w="560" w:type="dxa"/>
            <w:vAlign w:val="bottom"/>
            <w:vMerge w:val="continue"/>
            <w:shd w:val="clear" w:color="auto" w:fill="003595"/>
          </w:tcPr>
          <w:p>
            <w:pPr>
              <w:spacing w:after="0"/>
              <w:rPr>
                <w:sz w:val="4"/>
                <w:szCs w:val="4"/>
                <w:color w:val="auto"/>
              </w:rPr>
            </w:pPr>
          </w:p>
        </w:tc>
        <w:tc>
          <w:tcPr>
            <w:tcW w:w="480" w:type="dxa"/>
            <w:vAlign w:val="bottom"/>
            <w:shd w:val="clear" w:color="auto" w:fill="003595"/>
          </w:tcPr>
          <w:p>
            <w:pPr>
              <w:spacing w:after="0"/>
              <w:rPr>
                <w:sz w:val="4"/>
                <w:szCs w:val="4"/>
                <w:color w:val="auto"/>
              </w:rPr>
            </w:pPr>
          </w:p>
        </w:tc>
        <w:tc>
          <w:tcPr>
            <w:tcW w:w="740" w:type="dxa"/>
            <w:vAlign w:val="bottom"/>
            <w:vMerge w:val="continue"/>
            <w:shd w:val="clear" w:color="auto" w:fill="003595"/>
          </w:tcPr>
          <w:p>
            <w:pPr>
              <w:spacing w:after="0"/>
              <w:rPr>
                <w:sz w:val="4"/>
                <w:szCs w:val="4"/>
                <w:color w:val="auto"/>
              </w:rPr>
            </w:pPr>
          </w:p>
        </w:tc>
        <w:tc>
          <w:tcPr>
            <w:tcW w:w="240" w:type="dxa"/>
            <w:vAlign w:val="bottom"/>
            <w:shd w:val="clear" w:color="auto" w:fill="003595"/>
          </w:tcPr>
          <w:p>
            <w:pPr>
              <w:spacing w:after="0"/>
              <w:rPr>
                <w:sz w:val="4"/>
                <w:szCs w:val="4"/>
                <w:color w:val="auto"/>
              </w:rPr>
            </w:pPr>
          </w:p>
        </w:tc>
        <w:tc>
          <w:tcPr>
            <w:tcW w:w="760" w:type="dxa"/>
            <w:vAlign w:val="bottom"/>
            <w:vMerge w:val="restart"/>
            <w:shd w:val="clear" w:color="auto" w:fill="003595"/>
          </w:tcPr>
          <w:p>
            <w:pPr>
              <w:ind w:left="220"/>
              <w:spacing w:after="0"/>
              <w:rPr>
                <w:sz w:val="20"/>
                <w:szCs w:val="20"/>
                <w:color w:val="auto"/>
              </w:rPr>
            </w:pPr>
            <w:r>
              <w:rPr>
                <w:rFonts w:ascii="Arial" w:cs="Arial" w:eastAsia="Arial" w:hAnsi="Arial"/>
                <w:sz w:val="11"/>
                <w:szCs w:val="11"/>
                <w:color w:val="FFFFFF"/>
                <w:w w:val="93"/>
              </w:rPr>
              <w:t>PEO NEOs</w:t>
            </w:r>
          </w:p>
        </w:tc>
        <w:tc>
          <w:tcPr>
            <w:tcW w:w="260" w:type="dxa"/>
            <w:vAlign w:val="bottom"/>
            <w:shd w:val="clear" w:color="auto" w:fill="003595"/>
          </w:tcPr>
          <w:p>
            <w:pPr>
              <w:jc w:val="right"/>
              <w:ind w:right="197"/>
              <w:spacing w:after="0" w:line="52" w:lineRule="exact"/>
              <w:rPr>
                <w:sz w:val="20"/>
                <w:szCs w:val="20"/>
                <w:color w:val="auto"/>
              </w:rPr>
            </w:pPr>
            <w:r>
              <w:rPr>
                <w:rFonts w:ascii="Arial" w:cs="Arial" w:eastAsia="Arial" w:hAnsi="Arial"/>
                <w:sz w:val="5"/>
                <w:szCs w:val="5"/>
                <w:color w:val="FFFFFF"/>
                <w:w w:val="70"/>
              </w:rPr>
              <w:t>1</w:t>
            </w:r>
          </w:p>
        </w:tc>
        <w:tc>
          <w:tcPr>
            <w:tcW w:w="920" w:type="dxa"/>
            <w:vAlign w:val="bottom"/>
            <w:vMerge w:val="continue"/>
            <w:shd w:val="clear" w:color="auto" w:fill="003595"/>
          </w:tcPr>
          <w:p>
            <w:pPr>
              <w:spacing w:after="0"/>
              <w:rPr>
                <w:sz w:val="4"/>
                <w:szCs w:val="4"/>
                <w:color w:val="auto"/>
              </w:rPr>
            </w:pPr>
          </w:p>
        </w:tc>
        <w:tc>
          <w:tcPr>
            <w:tcW w:w="860" w:type="dxa"/>
            <w:vAlign w:val="bottom"/>
            <w:shd w:val="clear" w:color="auto" w:fill="003595"/>
          </w:tcPr>
          <w:p>
            <w:pPr>
              <w:spacing w:after="0"/>
              <w:rPr>
                <w:sz w:val="4"/>
                <w:szCs w:val="4"/>
                <w:color w:val="auto"/>
              </w:rPr>
            </w:pPr>
          </w:p>
        </w:tc>
        <w:tc>
          <w:tcPr>
            <w:tcW w:w="880" w:type="dxa"/>
            <w:vAlign w:val="bottom"/>
            <w:shd w:val="clear" w:color="auto" w:fill="003595"/>
          </w:tcPr>
          <w:p>
            <w:pPr>
              <w:spacing w:after="0"/>
              <w:rPr>
                <w:sz w:val="4"/>
                <w:szCs w:val="4"/>
                <w:color w:val="auto"/>
              </w:rPr>
            </w:pPr>
          </w:p>
        </w:tc>
        <w:tc>
          <w:tcPr>
            <w:tcW w:w="860" w:type="dxa"/>
            <w:vAlign w:val="bottom"/>
            <w:vMerge w:val="restart"/>
            <w:shd w:val="clear" w:color="auto" w:fill="003595"/>
          </w:tcPr>
          <w:p>
            <w:pPr>
              <w:jc w:val="center"/>
              <w:spacing w:after="0"/>
              <w:rPr>
                <w:sz w:val="20"/>
                <w:szCs w:val="20"/>
                <w:color w:val="auto"/>
              </w:rPr>
            </w:pPr>
            <w:r>
              <w:rPr>
                <w:rFonts w:ascii="Arial" w:cs="Arial" w:eastAsia="Arial" w:hAnsi="Arial"/>
                <w:sz w:val="11"/>
                <w:szCs w:val="11"/>
                <w:color w:val="FFFFFF"/>
                <w:w w:val="95"/>
              </w:rPr>
              <w:t>(millions)</w:t>
            </w:r>
          </w:p>
        </w:tc>
        <w:tc>
          <w:tcPr>
            <w:tcW w:w="660" w:type="dxa"/>
            <w:vAlign w:val="bottom"/>
            <w:vMerge w:val="continue"/>
            <w:shd w:val="clear" w:color="auto" w:fill="003595"/>
          </w:tcPr>
          <w:p>
            <w:pPr>
              <w:spacing w:after="0"/>
              <w:rPr>
                <w:sz w:val="4"/>
                <w:szCs w:val="4"/>
                <w:color w:val="auto"/>
              </w:rPr>
            </w:pPr>
          </w:p>
        </w:tc>
        <w:tc>
          <w:tcPr>
            <w:tcW w:w="200" w:type="dxa"/>
            <w:vAlign w:val="bottom"/>
            <w:shd w:val="clear" w:color="auto" w:fill="003595"/>
          </w:tcPr>
          <w:p>
            <w:pPr>
              <w:spacing w:after="0"/>
              <w:rPr>
                <w:sz w:val="4"/>
                <w:szCs w:val="4"/>
                <w:color w:val="auto"/>
              </w:rPr>
            </w:pPr>
          </w:p>
        </w:tc>
        <w:tc>
          <w:tcPr>
            <w:tcW w:w="20" w:type="dxa"/>
            <w:vAlign w:val="bottom"/>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840" w:type="dxa"/>
            <w:vAlign w:val="bottom"/>
            <w:shd w:val="clear" w:color="auto" w:fill="003595"/>
          </w:tcPr>
          <w:p>
            <w:pPr>
              <w:spacing w:after="0"/>
              <w:rPr>
                <w:sz w:val="6"/>
                <w:szCs w:val="6"/>
                <w:color w:val="auto"/>
              </w:rPr>
            </w:pPr>
          </w:p>
        </w:tc>
        <w:tc>
          <w:tcPr>
            <w:tcW w:w="960" w:type="dxa"/>
            <w:vAlign w:val="bottom"/>
            <w:shd w:val="clear" w:color="auto" w:fill="003595"/>
          </w:tcPr>
          <w:p>
            <w:pPr>
              <w:jc w:val="center"/>
              <w:ind w:left="42"/>
              <w:spacing w:after="0" w:line="80" w:lineRule="exact"/>
              <w:rPr>
                <w:sz w:val="20"/>
                <w:szCs w:val="20"/>
                <w:color w:val="auto"/>
              </w:rPr>
            </w:pPr>
            <w:r>
              <w:rPr>
                <w:rFonts w:ascii="Arial" w:cs="Arial" w:eastAsia="Arial" w:hAnsi="Arial"/>
                <w:sz w:val="9"/>
                <w:szCs w:val="9"/>
                <w:color w:val="FFFFFF"/>
              </w:rPr>
              <w:t>$</w:t>
            </w:r>
          </w:p>
        </w:tc>
        <w:tc>
          <w:tcPr>
            <w:tcW w:w="80" w:type="dxa"/>
            <w:vAlign w:val="bottom"/>
            <w:shd w:val="clear" w:color="auto" w:fill="003595"/>
          </w:tcPr>
          <w:p>
            <w:pPr>
              <w:spacing w:after="0"/>
              <w:rPr>
                <w:sz w:val="6"/>
                <w:szCs w:val="6"/>
                <w:color w:val="auto"/>
              </w:rPr>
            </w:pPr>
          </w:p>
        </w:tc>
        <w:tc>
          <w:tcPr>
            <w:tcW w:w="820" w:type="dxa"/>
            <w:vAlign w:val="bottom"/>
            <w:vMerge w:val="continue"/>
            <w:shd w:val="clear" w:color="auto" w:fill="003595"/>
          </w:tcPr>
          <w:p>
            <w:pPr>
              <w:spacing w:after="0"/>
              <w:rPr>
                <w:sz w:val="6"/>
                <w:szCs w:val="6"/>
                <w:color w:val="auto"/>
              </w:rPr>
            </w:pPr>
          </w:p>
        </w:tc>
        <w:tc>
          <w:tcPr>
            <w:tcW w:w="200" w:type="dxa"/>
            <w:vAlign w:val="bottom"/>
            <w:shd w:val="clear" w:color="auto" w:fill="003595"/>
          </w:tcPr>
          <w:p>
            <w:pPr>
              <w:spacing w:after="0"/>
              <w:rPr>
                <w:sz w:val="6"/>
                <w:szCs w:val="6"/>
                <w:color w:val="auto"/>
              </w:rPr>
            </w:pPr>
          </w:p>
        </w:tc>
        <w:tc>
          <w:tcPr>
            <w:tcW w:w="560" w:type="dxa"/>
            <w:vAlign w:val="bottom"/>
            <w:shd w:val="clear" w:color="auto" w:fill="003595"/>
          </w:tcPr>
          <w:p>
            <w:pPr>
              <w:jc w:val="center"/>
              <w:ind w:left="442"/>
              <w:spacing w:after="0" w:line="80" w:lineRule="exact"/>
              <w:rPr>
                <w:sz w:val="20"/>
                <w:szCs w:val="20"/>
                <w:color w:val="auto"/>
              </w:rPr>
            </w:pPr>
            <w:r>
              <w:rPr>
                <w:rFonts w:ascii="Arial" w:cs="Arial" w:eastAsia="Arial" w:hAnsi="Arial"/>
                <w:sz w:val="9"/>
                <w:szCs w:val="9"/>
                <w:color w:val="FFFFFF"/>
              </w:rPr>
              <w:t>$</w:t>
            </w:r>
          </w:p>
        </w:tc>
        <w:tc>
          <w:tcPr>
            <w:tcW w:w="480" w:type="dxa"/>
            <w:vAlign w:val="bottom"/>
            <w:shd w:val="clear" w:color="auto" w:fill="003595"/>
          </w:tcPr>
          <w:p>
            <w:pPr>
              <w:spacing w:after="0"/>
              <w:rPr>
                <w:sz w:val="6"/>
                <w:szCs w:val="6"/>
                <w:color w:val="auto"/>
              </w:rPr>
            </w:pPr>
          </w:p>
        </w:tc>
        <w:tc>
          <w:tcPr>
            <w:tcW w:w="740" w:type="dxa"/>
            <w:vAlign w:val="bottom"/>
            <w:shd w:val="clear" w:color="auto" w:fill="003595"/>
          </w:tcPr>
          <w:p>
            <w:pPr>
              <w:jc w:val="center"/>
              <w:ind w:left="182"/>
              <w:spacing w:after="0" w:line="80" w:lineRule="exact"/>
              <w:rPr>
                <w:sz w:val="20"/>
                <w:szCs w:val="20"/>
                <w:color w:val="auto"/>
              </w:rPr>
            </w:pPr>
            <w:r>
              <w:rPr>
                <w:rFonts w:ascii="Arial" w:cs="Arial" w:eastAsia="Arial" w:hAnsi="Arial"/>
                <w:sz w:val="9"/>
                <w:szCs w:val="9"/>
                <w:color w:val="FFFFFF"/>
              </w:rPr>
              <w:t>$</w:t>
            </w:r>
          </w:p>
        </w:tc>
        <w:tc>
          <w:tcPr>
            <w:tcW w:w="240" w:type="dxa"/>
            <w:vAlign w:val="bottom"/>
            <w:shd w:val="clear" w:color="auto" w:fill="003595"/>
          </w:tcPr>
          <w:p>
            <w:pPr>
              <w:spacing w:after="0"/>
              <w:rPr>
                <w:sz w:val="6"/>
                <w:szCs w:val="6"/>
                <w:color w:val="auto"/>
              </w:rPr>
            </w:pPr>
          </w:p>
        </w:tc>
        <w:tc>
          <w:tcPr>
            <w:tcW w:w="760" w:type="dxa"/>
            <w:vAlign w:val="bottom"/>
            <w:vMerge w:val="continue"/>
            <w:shd w:val="clear" w:color="auto" w:fill="003595"/>
          </w:tcPr>
          <w:p>
            <w:pPr>
              <w:spacing w:after="0"/>
              <w:rPr>
                <w:sz w:val="6"/>
                <w:szCs w:val="6"/>
                <w:color w:val="auto"/>
              </w:rPr>
            </w:pPr>
          </w:p>
        </w:tc>
        <w:tc>
          <w:tcPr>
            <w:tcW w:w="260" w:type="dxa"/>
            <w:vAlign w:val="bottom"/>
            <w:shd w:val="clear" w:color="auto" w:fill="003595"/>
          </w:tcPr>
          <w:p>
            <w:pPr>
              <w:spacing w:after="0"/>
              <w:rPr>
                <w:sz w:val="6"/>
                <w:szCs w:val="6"/>
                <w:color w:val="auto"/>
              </w:rPr>
            </w:pPr>
          </w:p>
        </w:tc>
        <w:tc>
          <w:tcPr>
            <w:tcW w:w="920" w:type="dxa"/>
            <w:vAlign w:val="bottom"/>
            <w:shd w:val="clear" w:color="auto" w:fill="003595"/>
          </w:tcPr>
          <w:p>
            <w:pPr>
              <w:jc w:val="center"/>
              <w:spacing w:after="0" w:line="80" w:lineRule="exact"/>
              <w:rPr>
                <w:sz w:val="20"/>
                <w:szCs w:val="20"/>
                <w:color w:val="auto"/>
              </w:rPr>
            </w:pPr>
            <w:r>
              <w:rPr>
                <w:rFonts w:ascii="Arial" w:cs="Arial" w:eastAsia="Arial" w:hAnsi="Arial"/>
                <w:sz w:val="9"/>
                <w:szCs w:val="9"/>
                <w:color w:val="FFFFFF"/>
                <w:vertAlign w:val="subscript"/>
              </w:rPr>
              <w:t>NEOs</w:t>
            </w:r>
            <w:r>
              <w:rPr>
                <w:rFonts w:ascii="Arial" w:cs="Arial" w:eastAsia="Arial" w:hAnsi="Arial"/>
                <w:sz w:val="5"/>
                <w:szCs w:val="5"/>
                <w:color w:val="FFFFFF"/>
              </w:rPr>
              <w:t>1,2,3</w:t>
            </w:r>
          </w:p>
        </w:tc>
        <w:tc>
          <w:tcPr>
            <w:tcW w:w="860" w:type="dxa"/>
            <w:vAlign w:val="bottom"/>
            <w:shd w:val="clear" w:color="auto" w:fill="003595"/>
          </w:tcPr>
          <w:p>
            <w:pPr>
              <w:spacing w:after="0"/>
              <w:rPr>
                <w:sz w:val="6"/>
                <w:szCs w:val="6"/>
                <w:color w:val="auto"/>
              </w:rPr>
            </w:pPr>
          </w:p>
        </w:tc>
        <w:tc>
          <w:tcPr>
            <w:tcW w:w="880" w:type="dxa"/>
            <w:vAlign w:val="bottom"/>
            <w:shd w:val="clear" w:color="auto" w:fill="003595"/>
          </w:tcPr>
          <w:p>
            <w:pPr>
              <w:spacing w:after="0"/>
              <w:rPr>
                <w:sz w:val="6"/>
                <w:szCs w:val="6"/>
                <w:color w:val="auto"/>
              </w:rPr>
            </w:pPr>
          </w:p>
        </w:tc>
        <w:tc>
          <w:tcPr>
            <w:tcW w:w="860" w:type="dxa"/>
            <w:vAlign w:val="bottom"/>
            <w:vMerge w:val="continue"/>
            <w:shd w:val="clear" w:color="auto" w:fill="003595"/>
          </w:tcPr>
          <w:p>
            <w:pPr>
              <w:spacing w:after="0"/>
              <w:rPr>
                <w:sz w:val="6"/>
                <w:szCs w:val="6"/>
                <w:color w:val="auto"/>
              </w:rPr>
            </w:pPr>
          </w:p>
        </w:tc>
        <w:tc>
          <w:tcPr>
            <w:tcW w:w="660" w:type="dxa"/>
            <w:vAlign w:val="bottom"/>
            <w:shd w:val="clear" w:color="auto" w:fill="003595"/>
          </w:tcPr>
          <w:p>
            <w:pPr>
              <w:spacing w:after="0"/>
              <w:rPr>
                <w:sz w:val="6"/>
                <w:szCs w:val="6"/>
                <w:color w:val="auto"/>
              </w:rPr>
            </w:pPr>
          </w:p>
        </w:tc>
        <w:tc>
          <w:tcPr>
            <w:tcW w:w="200" w:type="dxa"/>
            <w:vAlign w:val="bottom"/>
            <w:shd w:val="clear" w:color="auto" w:fill="003595"/>
          </w:tcPr>
          <w:p>
            <w:pPr>
              <w:spacing w:after="0"/>
              <w:rPr>
                <w:sz w:val="6"/>
                <w:szCs w:val="6"/>
                <w:color w:val="auto"/>
              </w:rPr>
            </w:pPr>
          </w:p>
        </w:tc>
        <w:tc>
          <w:tcPr>
            <w:tcW w:w="20" w:type="dxa"/>
            <w:vAlign w:val="bottom"/>
            <w:shd w:val="clear" w:color="auto" w:fill="003595"/>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40" w:type="dxa"/>
            <w:vAlign w:val="bottom"/>
            <w:shd w:val="clear" w:color="auto" w:fill="003595"/>
          </w:tcPr>
          <w:p>
            <w:pPr>
              <w:spacing w:after="0"/>
              <w:rPr>
                <w:sz w:val="12"/>
                <w:szCs w:val="12"/>
                <w:color w:val="auto"/>
              </w:rPr>
            </w:pPr>
          </w:p>
        </w:tc>
        <w:tc>
          <w:tcPr>
            <w:tcW w:w="960" w:type="dxa"/>
            <w:vAlign w:val="bottom"/>
            <w:shd w:val="clear" w:color="auto" w:fill="003595"/>
          </w:tcPr>
          <w:p>
            <w:pPr>
              <w:spacing w:after="0"/>
              <w:rPr>
                <w:sz w:val="12"/>
                <w:szCs w:val="12"/>
                <w:color w:val="auto"/>
              </w:rPr>
            </w:pPr>
          </w:p>
        </w:tc>
        <w:tc>
          <w:tcPr>
            <w:tcW w:w="80" w:type="dxa"/>
            <w:vAlign w:val="bottom"/>
            <w:shd w:val="clear" w:color="auto" w:fill="003595"/>
          </w:tcPr>
          <w:p>
            <w:pPr>
              <w:spacing w:after="0"/>
              <w:rPr>
                <w:sz w:val="12"/>
                <w:szCs w:val="12"/>
                <w:color w:val="auto"/>
              </w:rPr>
            </w:pPr>
          </w:p>
        </w:tc>
        <w:tc>
          <w:tcPr>
            <w:tcW w:w="820" w:type="dxa"/>
            <w:vAlign w:val="bottom"/>
            <w:shd w:val="clear" w:color="auto" w:fill="003595"/>
          </w:tcPr>
          <w:p>
            <w:pPr>
              <w:jc w:val="center"/>
              <w:ind w:left="143"/>
              <w:spacing w:after="0"/>
              <w:rPr>
                <w:sz w:val="20"/>
                <w:szCs w:val="20"/>
                <w:color w:val="auto"/>
              </w:rPr>
            </w:pPr>
            <w:r>
              <w:rPr>
                <w:rFonts w:ascii="Arial" w:cs="Arial" w:eastAsia="Arial" w:hAnsi="Arial"/>
                <w:sz w:val="11"/>
                <w:szCs w:val="11"/>
                <w:color w:val="FFFFFF"/>
                <w:w w:val="97"/>
              </w:rPr>
              <w:t>$</w:t>
            </w:r>
          </w:p>
        </w:tc>
        <w:tc>
          <w:tcPr>
            <w:tcW w:w="200" w:type="dxa"/>
            <w:vAlign w:val="bottom"/>
            <w:shd w:val="clear" w:color="auto" w:fill="003595"/>
          </w:tcPr>
          <w:p>
            <w:pPr>
              <w:spacing w:after="0"/>
              <w:rPr>
                <w:sz w:val="12"/>
                <w:szCs w:val="12"/>
                <w:color w:val="auto"/>
              </w:rPr>
            </w:pPr>
          </w:p>
        </w:tc>
        <w:tc>
          <w:tcPr>
            <w:tcW w:w="560" w:type="dxa"/>
            <w:vAlign w:val="bottom"/>
            <w:shd w:val="clear" w:color="auto" w:fill="003595"/>
          </w:tcPr>
          <w:p>
            <w:pPr>
              <w:spacing w:after="0"/>
              <w:rPr>
                <w:sz w:val="12"/>
                <w:szCs w:val="12"/>
                <w:color w:val="auto"/>
              </w:rPr>
            </w:pPr>
          </w:p>
        </w:tc>
        <w:tc>
          <w:tcPr>
            <w:tcW w:w="480" w:type="dxa"/>
            <w:vAlign w:val="bottom"/>
            <w:shd w:val="clear" w:color="auto" w:fill="003595"/>
          </w:tcPr>
          <w:p>
            <w:pPr>
              <w:spacing w:after="0"/>
              <w:rPr>
                <w:sz w:val="12"/>
                <w:szCs w:val="12"/>
                <w:color w:val="auto"/>
              </w:rPr>
            </w:pPr>
          </w:p>
        </w:tc>
        <w:tc>
          <w:tcPr>
            <w:tcW w:w="740" w:type="dxa"/>
            <w:vAlign w:val="bottom"/>
            <w:shd w:val="clear" w:color="auto" w:fill="003595"/>
          </w:tcPr>
          <w:p>
            <w:pPr>
              <w:spacing w:after="0"/>
              <w:rPr>
                <w:sz w:val="12"/>
                <w:szCs w:val="12"/>
                <w:color w:val="auto"/>
              </w:rPr>
            </w:pPr>
          </w:p>
        </w:tc>
        <w:tc>
          <w:tcPr>
            <w:tcW w:w="240" w:type="dxa"/>
            <w:vAlign w:val="bottom"/>
            <w:shd w:val="clear" w:color="auto" w:fill="003595"/>
          </w:tcPr>
          <w:p>
            <w:pPr>
              <w:spacing w:after="0"/>
              <w:rPr>
                <w:sz w:val="12"/>
                <w:szCs w:val="12"/>
                <w:color w:val="auto"/>
              </w:rPr>
            </w:pPr>
          </w:p>
        </w:tc>
        <w:tc>
          <w:tcPr>
            <w:tcW w:w="760" w:type="dxa"/>
            <w:vAlign w:val="bottom"/>
            <w:shd w:val="clear" w:color="auto" w:fill="003595"/>
          </w:tcPr>
          <w:p>
            <w:pPr>
              <w:jc w:val="center"/>
              <w:ind w:left="203"/>
              <w:spacing w:after="0"/>
              <w:rPr>
                <w:sz w:val="20"/>
                <w:szCs w:val="20"/>
                <w:color w:val="auto"/>
              </w:rPr>
            </w:pPr>
            <w:r>
              <w:rPr>
                <w:rFonts w:ascii="Arial" w:cs="Arial" w:eastAsia="Arial" w:hAnsi="Arial"/>
                <w:sz w:val="11"/>
                <w:szCs w:val="11"/>
                <w:color w:val="FFFFFF"/>
                <w:w w:val="97"/>
              </w:rPr>
              <w:t>$</w:t>
            </w:r>
          </w:p>
        </w:tc>
        <w:tc>
          <w:tcPr>
            <w:tcW w:w="260" w:type="dxa"/>
            <w:vAlign w:val="bottom"/>
            <w:shd w:val="clear" w:color="auto" w:fill="003595"/>
          </w:tcPr>
          <w:p>
            <w:pPr>
              <w:spacing w:after="0"/>
              <w:rPr>
                <w:sz w:val="12"/>
                <w:szCs w:val="12"/>
                <w:color w:val="auto"/>
              </w:rPr>
            </w:pPr>
          </w:p>
        </w:tc>
        <w:tc>
          <w:tcPr>
            <w:tcW w:w="920" w:type="dxa"/>
            <w:vAlign w:val="bottom"/>
            <w:vMerge w:val="restart"/>
            <w:shd w:val="clear" w:color="auto" w:fill="003595"/>
          </w:tcPr>
          <w:p>
            <w:pPr>
              <w:jc w:val="center"/>
              <w:spacing w:after="0"/>
              <w:rPr>
                <w:sz w:val="20"/>
                <w:szCs w:val="20"/>
                <w:color w:val="auto"/>
              </w:rPr>
            </w:pPr>
            <w:r>
              <w:rPr>
                <w:rFonts w:ascii="Arial" w:cs="Arial" w:eastAsia="Arial" w:hAnsi="Arial"/>
                <w:sz w:val="11"/>
                <w:szCs w:val="11"/>
                <w:color w:val="FFFFFF"/>
                <w:w w:val="97"/>
              </w:rPr>
              <w:t>$</w:t>
            </w:r>
          </w:p>
        </w:tc>
        <w:tc>
          <w:tcPr>
            <w:tcW w:w="860" w:type="dxa"/>
            <w:vAlign w:val="bottom"/>
            <w:vMerge w:val="restart"/>
            <w:shd w:val="clear" w:color="auto" w:fill="003595"/>
          </w:tcPr>
          <w:p>
            <w:pPr>
              <w:jc w:val="center"/>
              <w:spacing w:after="0"/>
              <w:rPr>
                <w:sz w:val="20"/>
                <w:szCs w:val="20"/>
                <w:color w:val="auto"/>
              </w:rPr>
            </w:pPr>
            <w:r>
              <w:rPr>
                <w:rFonts w:ascii="Arial" w:cs="Arial" w:eastAsia="Arial" w:hAnsi="Arial"/>
                <w:sz w:val="11"/>
                <w:szCs w:val="11"/>
                <w:color w:val="FFFFFF"/>
                <w:w w:val="89"/>
              </w:rPr>
              <w:t>Total</w:t>
            </w:r>
          </w:p>
        </w:tc>
        <w:tc>
          <w:tcPr>
            <w:tcW w:w="880" w:type="dxa"/>
            <w:vAlign w:val="bottom"/>
            <w:vMerge w:val="restart"/>
            <w:shd w:val="clear" w:color="auto" w:fill="003595"/>
          </w:tcPr>
          <w:p>
            <w:pPr>
              <w:jc w:val="center"/>
              <w:spacing w:after="0"/>
              <w:rPr>
                <w:sz w:val="20"/>
                <w:szCs w:val="20"/>
                <w:color w:val="auto"/>
              </w:rPr>
            </w:pPr>
            <w:r>
              <w:rPr>
                <w:rFonts w:ascii="Arial" w:cs="Arial" w:eastAsia="Arial" w:hAnsi="Arial"/>
                <w:sz w:val="11"/>
                <w:szCs w:val="11"/>
                <w:color w:val="FFFFFF"/>
                <w:w w:val="98"/>
              </w:rPr>
              <w:t>Peer Group</w:t>
            </w:r>
          </w:p>
        </w:tc>
        <w:tc>
          <w:tcPr>
            <w:tcW w:w="860" w:type="dxa"/>
            <w:vAlign w:val="bottom"/>
            <w:shd w:val="clear" w:color="auto" w:fill="003595"/>
          </w:tcPr>
          <w:p>
            <w:pPr>
              <w:spacing w:after="0"/>
              <w:rPr>
                <w:sz w:val="12"/>
                <w:szCs w:val="12"/>
                <w:color w:val="auto"/>
              </w:rPr>
            </w:pPr>
          </w:p>
        </w:tc>
        <w:tc>
          <w:tcPr>
            <w:tcW w:w="660" w:type="dxa"/>
            <w:vAlign w:val="bottom"/>
            <w:shd w:val="clear" w:color="auto" w:fill="003595"/>
          </w:tcPr>
          <w:p>
            <w:pPr>
              <w:spacing w:after="0"/>
              <w:rPr>
                <w:sz w:val="12"/>
                <w:szCs w:val="12"/>
                <w:color w:val="auto"/>
              </w:rPr>
            </w:pPr>
          </w:p>
        </w:tc>
        <w:tc>
          <w:tcPr>
            <w:tcW w:w="200" w:type="dxa"/>
            <w:vAlign w:val="bottom"/>
            <w:shd w:val="clear" w:color="auto" w:fill="003595"/>
          </w:tcPr>
          <w:p>
            <w:pPr>
              <w:spacing w:after="0"/>
              <w:rPr>
                <w:sz w:val="12"/>
                <w:szCs w:val="12"/>
                <w:color w:val="auto"/>
              </w:rPr>
            </w:pPr>
          </w:p>
        </w:tc>
        <w:tc>
          <w:tcPr>
            <w:tcW w:w="20" w:type="dxa"/>
            <w:vAlign w:val="bottom"/>
            <w:shd w:val="clear" w:color="auto" w:fill="003595"/>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840" w:type="dxa"/>
            <w:vAlign w:val="bottom"/>
            <w:shd w:val="clear" w:color="auto" w:fill="003595"/>
          </w:tcPr>
          <w:p>
            <w:pPr>
              <w:spacing w:after="0"/>
              <w:rPr>
                <w:sz w:val="3"/>
                <w:szCs w:val="3"/>
                <w:color w:val="auto"/>
              </w:rPr>
            </w:pPr>
          </w:p>
        </w:tc>
        <w:tc>
          <w:tcPr>
            <w:tcW w:w="960" w:type="dxa"/>
            <w:vAlign w:val="bottom"/>
            <w:shd w:val="clear" w:color="auto" w:fill="003595"/>
          </w:tcPr>
          <w:p>
            <w:pPr>
              <w:spacing w:after="0"/>
              <w:rPr>
                <w:sz w:val="3"/>
                <w:szCs w:val="3"/>
                <w:color w:val="auto"/>
              </w:rPr>
            </w:pPr>
          </w:p>
        </w:tc>
        <w:tc>
          <w:tcPr>
            <w:tcW w:w="80" w:type="dxa"/>
            <w:vAlign w:val="bottom"/>
            <w:shd w:val="clear" w:color="auto" w:fill="003595"/>
          </w:tcPr>
          <w:p>
            <w:pPr>
              <w:spacing w:after="0"/>
              <w:rPr>
                <w:sz w:val="3"/>
                <w:szCs w:val="3"/>
                <w:color w:val="auto"/>
              </w:rPr>
            </w:pPr>
          </w:p>
        </w:tc>
        <w:tc>
          <w:tcPr>
            <w:tcW w:w="820" w:type="dxa"/>
            <w:vAlign w:val="bottom"/>
            <w:shd w:val="clear" w:color="auto" w:fill="003595"/>
          </w:tcPr>
          <w:p>
            <w:pPr>
              <w:spacing w:after="0"/>
              <w:rPr>
                <w:sz w:val="3"/>
                <w:szCs w:val="3"/>
                <w:color w:val="auto"/>
              </w:rPr>
            </w:pPr>
          </w:p>
        </w:tc>
        <w:tc>
          <w:tcPr>
            <w:tcW w:w="200" w:type="dxa"/>
            <w:vAlign w:val="bottom"/>
            <w:shd w:val="clear" w:color="auto" w:fill="003595"/>
          </w:tcPr>
          <w:p>
            <w:pPr>
              <w:spacing w:after="0"/>
              <w:rPr>
                <w:sz w:val="3"/>
                <w:szCs w:val="3"/>
                <w:color w:val="auto"/>
              </w:rPr>
            </w:pPr>
          </w:p>
        </w:tc>
        <w:tc>
          <w:tcPr>
            <w:tcW w:w="560" w:type="dxa"/>
            <w:vAlign w:val="bottom"/>
            <w:shd w:val="clear" w:color="auto" w:fill="003595"/>
          </w:tcPr>
          <w:p>
            <w:pPr>
              <w:spacing w:after="0"/>
              <w:rPr>
                <w:sz w:val="3"/>
                <w:szCs w:val="3"/>
                <w:color w:val="auto"/>
              </w:rPr>
            </w:pPr>
          </w:p>
        </w:tc>
        <w:tc>
          <w:tcPr>
            <w:tcW w:w="480" w:type="dxa"/>
            <w:vAlign w:val="bottom"/>
            <w:shd w:val="clear" w:color="auto" w:fill="003595"/>
          </w:tcPr>
          <w:p>
            <w:pPr>
              <w:spacing w:after="0"/>
              <w:rPr>
                <w:sz w:val="3"/>
                <w:szCs w:val="3"/>
                <w:color w:val="auto"/>
              </w:rPr>
            </w:pPr>
          </w:p>
        </w:tc>
        <w:tc>
          <w:tcPr>
            <w:tcW w:w="740" w:type="dxa"/>
            <w:vAlign w:val="bottom"/>
            <w:shd w:val="clear" w:color="auto" w:fill="003595"/>
          </w:tcPr>
          <w:p>
            <w:pPr>
              <w:spacing w:after="0"/>
              <w:rPr>
                <w:sz w:val="3"/>
                <w:szCs w:val="3"/>
                <w:color w:val="auto"/>
              </w:rPr>
            </w:pPr>
          </w:p>
        </w:tc>
        <w:tc>
          <w:tcPr>
            <w:tcW w:w="240" w:type="dxa"/>
            <w:vAlign w:val="bottom"/>
            <w:shd w:val="clear" w:color="auto" w:fill="003595"/>
          </w:tcPr>
          <w:p>
            <w:pPr>
              <w:spacing w:after="0"/>
              <w:rPr>
                <w:sz w:val="3"/>
                <w:szCs w:val="3"/>
                <w:color w:val="auto"/>
              </w:rPr>
            </w:pPr>
          </w:p>
        </w:tc>
        <w:tc>
          <w:tcPr>
            <w:tcW w:w="760" w:type="dxa"/>
            <w:vAlign w:val="bottom"/>
            <w:shd w:val="clear" w:color="auto" w:fill="003595"/>
          </w:tcPr>
          <w:p>
            <w:pPr>
              <w:spacing w:after="0"/>
              <w:rPr>
                <w:sz w:val="3"/>
                <w:szCs w:val="3"/>
                <w:color w:val="auto"/>
              </w:rPr>
            </w:pPr>
          </w:p>
        </w:tc>
        <w:tc>
          <w:tcPr>
            <w:tcW w:w="260" w:type="dxa"/>
            <w:vAlign w:val="bottom"/>
            <w:shd w:val="clear" w:color="auto" w:fill="003595"/>
          </w:tcPr>
          <w:p>
            <w:pPr>
              <w:spacing w:after="0"/>
              <w:rPr>
                <w:sz w:val="3"/>
                <w:szCs w:val="3"/>
                <w:color w:val="auto"/>
              </w:rPr>
            </w:pPr>
          </w:p>
        </w:tc>
        <w:tc>
          <w:tcPr>
            <w:tcW w:w="920" w:type="dxa"/>
            <w:vAlign w:val="bottom"/>
            <w:vMerge w:val="continue"/>
            <w:shd w:val="clear" w:color="auto" w:fill="003595"/>
          </w:tcPr>
          <w:p>
            <w:pPr>
              <w:spacing w:after="0"/>
              <w:rPr>
                <w:sz w:val="3"/>
                <w:szCs w:val="3"/>
                <w:color w:val="auto"/>
              </w:rPr>
            </w:pPr>
          </w:p>
        </w:tc>
        <w:tc>
          <w:tcPr>
            <w:tcW w:w="860" w:type="dxa"/>
            <w:vAlign w:val="bottom"/>
            <w:vMerge w:val="continue"/>
            <w:shd w:val="clear" w:color="auto" w:fill="003595"/>
          </w:tcPr>
          <w:p>
            <w:pPr>
              <w:spacing w:after="0"/>
              <w:rPr>
                <w:sz w:val="3"/>
                <w:szCs w:val="3"/>
                <w:color w:val="auto"/>
              </w:rPr>
            </w:pPr>
          </w:p>
        </w:tc>
        <w:tc>
          <w:tcPr>
            <w:tcW w:w="880" w:type="dxa"/>
            <w:vAlign w:val="bottom"/>
            <w:vMerge w:val="continue"/>
            <w:shd w:val="clear" w:color="auto" w:fill="003595"/>
          </w:tcPr>
          <w:p>
            <w:pPr>
              <w:spacing w:after="0"/>
              <w:rPr>
                <w:sz w:val="3"/>
                <w:szCs w:val="3"/>
                <w:color w:val="auto"/>
              </w:rPr>
            </w:pPr>
          </w:p>
        </w:tc>
        <w:tc>
          <w:tcPr>
            <w:tcW w:w="860" w:type="dxa"/>
            <w:vAlign w:val="bottom"/>
            <w:shd w:val="clear" w:color="auto" w:fill="003595"/>
          </w:tcPr>
          <w:p>
            <w:pPr>
              <w:spacing w:after="0"/>
              <w:rPr>
                <w:sz w:val="3"/>
                <w:szCs w:val="3"/>
                <w:color w:val="auto"/>
              </w:rPr>
            </w:pPr>
          </w:p>
        </w:tc>
        <w:tc>
          <w:tcPr>
            <w:tcW w:w="660" w:type="dxa"/>
            <w:vAlign w:val="bottom"/>
            <w:shd w:val="clear" w:color="auto" w:fill="003595"/>
          </w:tcPr>
          <w:p>
            <w:pPr>
              <w:spacing w:after="0"/>
              <w:rPr>
                <w:sz w:val="3"/>
                <w:szCs w:val="3"/>
                <w:color w:val="auto"/>
              </w:rPr>
            </w:pPr>
          </w:p>
        </w:tc>
        <w:tc>
          <w:tcPr>
            <w:tcW w:w="200" w:type="dxa"/>
            <w:vAlign w:val="bottom"/>
            <w:shd w:val="clear" w:color="auto" w:fill="003595"/>
          </w:tcPr>
          <w:p>
            <w:pPr>
              <w:spacing w:after="0"/>
              <w:rPr>
                <w:sz w:val="3"/>
                <w:szCs w:val="3"/>
                <w:color w:val="auto"/>
              </w:rPr>
            </w:pPr>
          </w:p>
        </w:tc>
        <w:tc>
          <w:tcPr>
            <w:tcW w:w="20" w:type="dxa"/>
            <w:vAlign w:val="bottom"/>
            <w:shd w:val="clear" w:color="auto" w:fill="003595"/>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40" w:type="dxa"/>
            <w:vAlign w:val="bottom"/>
            <w:shd w:val="clear" w:color="auto" w:fill="003595"/>
          </w:tcPr>
          <w:p>
            <w:pPr>
              <w:spacing w:after="0"/>
              <w:rPr>
                <w:sz w:val="2"/>
                <w:szCs w:val="2"/>
                <w:color w:val="auto"/>
              </w:rPr>
            </w:pPr>
          </w:p>
        </w:tc>
        <w:tc>
          <w:tcPr>
            <w:tcW w:w="960" w:type="dxa"/>
            <w:vAlign w:val="bottom"/>
            <w:shd w:val="clear" w:color="auto" w:fill="003595"/>
          </w:tcPr>
          <w:p>
            <w:pPr>
              <w:spacing w:after="0"/>
              <w:rPr>
                <w:sz w:val="2"/>
                <w:szCs w:val="2"/>
                <w:color w:val="auto"/>
              </w:rPr>
            </w:pPr>
          </w:p>
        </w:tc>
        <w:tc>
          <w:tcPr>
            <w:tcW w:w="80" w:type="dxa"/>
            <w:vAlign w:val="bottom"/>
            <w:shd w:val="clear" w:color="auto" w:fill="003595"/>
          </w:tcPr>
          <w:p>
            <w:pPr>
              <w:spacing w:after="0"/>
              <w:rPr>
                <w:sz w:val="2"/>
                <w:szCs w:val="2"/>
                <w:color w:val="auto"/>
              </w:rPr>
            </w:pPr>
          </w:p>
        </w:tc>
        <w:tc>
          <w:tcPr>
            <w:tcW w:w="820" w:type="dxa"/>
            <w:vAlign w:val="bottom"/>
            <w:shd w:val="clear" w:color="auto" w:fill="003595"/>
          </w:tcPr>
          <w:p>
            <w:pPr>
              <w:spacing w:after="0"/>
              <w:rPr>
                <w:sz w:val="2"/>
                <w:szCs w:val="2"/>
                <w:color w:val="auto"/>
              </w:rPr>
            </w:pPr>
          </w:p>
        </w:tc>
        <w:tc>
          <w:tcPr>
            <w:tcW w:w="200" w:type="dxa"/>
            <w:vAlign w:val="bottom"/>
            <w:shd w:val="clear" w:color="auto" w:fill="003595"/>
          </w:tcPr>
          <w:p>
            <w:pPr>
              <w:spacing w:after="0"/>
              <w:rPr>
                <w:sz w:val="2"/>
                <w:szCs w:val="2"/>
                <w:color w:val="auto"/>
              </w:rPr>
            </w:pPr>
          </w:p>
        </w:tc>
        <w:tc>
          <w:tcPr>
            <w:tcW w:w="560" w:type="dxa"/>
            <w:vAlign w:val="bottom"/>
            <w:shd w:val="clear" w:color="auto" w:fill="003595"/>
          </w:tcPr>
          <w:p>
            <w:pPr>
              <w:spacing w:after="0"/>
              <w:rPr>
                <w:sz w:val="2"/>
                <w:szCs w:val="2"/>
                <w:color w:val="auto"/>
              </w:rPr>
            </w:pPr>
          </w:p>
        </w:tc>
        <w:tc>
          <w:tcPr>
            <w:tcW w:w="480" w:type="dxa"/>
            <w:vAlign w:val="bottom"/>
            <w:shd w:val="clear" w:color="auto" w:fill="003595"/>
          </w:tcPr>
          <w:p>
            <w:pPr>
              <w:spacing w:after="0"/>
              <w:rPr>
                <w:sz w:val="2"/>
                <w:szCs w:val="2"/>
                <w:color w:val="auto"/>
              </w:rPr>
            </w:pPr>
          </w:p>
        </w:tc>
        <w:tc>
          <w:tcPr>
            <w:tcW w:w="740" w:type="dxa"/>
            <w:vAlign w:val="bottom"/>
            <w:shd w:val="clear" w:color="auto" w:fill="003595"/>
          </w:tcPr>
          <w:p>
            <w:pPr>
              <w:spacing w:after="0"/>
              <w:rPr>
                <w:sz w:val="2"/>
                <w:szCs w:val="2"/>
                <w:color w:val="auto"/>
              </w:rPr>
            </w:pPr>
          </w:p>
        </w:tc>
        <w:tc>
          <w:tcPr>
            <w:tcW w:w="240" w:type="dxa"/>
            <w:vAlign w:val="bottom"/>
            <w:shd w:val="clear" w:color="auto" w:fill="003595"/>
          </w:tcPr>
          <w:p>
            <w:pPr>
              <w:spacing w:after="0"/>
              <w:rPr>
                <w:sz w:val="2"/>
                <w:szCs w:val="2"/>
                <w:color w:val="auto"/>
              </w:rPr>
            </w:pPr>
          </w:p>
        </w:tc>
        <w:tc>
          <w:tcPr>
            <w:tcW w:w="760" w:type="dxa"/>
            <w:vAlign w:val="bottom"/>
            <w:shd w:val="clear" w:color="auto" w:fill="003595"/>
          </w:tcPr>
          <w:p>
            <w:pPr>
              <w:spacing w:after="0"/>
              <w:rPr>
                <w:sz w:val="2"/>
                <w:szCs w:val="2"/>
                <w:color w:val="auto"/>
              </w:rPr>
            </w:pPr>
          </w:p>
        </w:tc>
        <w:tc>
          <w:tcPr>
            <w:tcW w:w="260" w:type="dxa"/>
            <w:vAlign w:val="bottom"/>
            <w:shd w:val="clear" w:color="auto" w:fill="003595"/>
          </w:tcPr>
          <w:p>
            <w:pPr>
              <w:spacing w:after="0"/>
              <w:rPr>
                <w:sz w:val="2"/>
                <w:szCs w:val="2"/>
                <w:color w:val="auto"/>
              </w:rPr>
            </w:pPr>
          </w:p>
        </w:tc>
        <w:tc>
          <w:tcPr>
            <w:tcW w:w="920" w:type="dxa"/>
            <w:vAlign w:val="bottom"/>
            <w:shd w:val="clear" w:color="auto" w:fill="003595"/>
          </w:tcPr>
          <w:p>
            <w:pPr>
              <w:spacing w:after="0"/>
              <w:rPr>
                <w:sz w:val="2"/>
                <w:szCs w:val="2"/>
                <w:color w:val="auto"/>
              </w:rPr>
            </w:pPr>
          </w:p>
        </w:tc>
        <w:tc>
          <w:tcPr>
            <w:tcW w:w="860" w:type="dxa"/>
            <w:vAlign w:val="bottom"/>
            <w:vMerge w:val="continue"/>
            <w:shd w:val="clear" w:color="auto" w:fill="003595"/>
          </w:tcPr>
          <w:p>
            <w:pPr>
              <w:spacing w:after="0"/>
              <w:rPr>
                <w:sz w:val="2"/>
                <w:szCs w:val="2"/>
                <w:color w:val="auto"/>
              </w:rPr>
            </w:pPr>
          </w:p>
        </w:tc>
        <w:tc>
          <w:tcPr>
            <w:tcW w:w="880" w:type="dxa"/>
            <w:vAlign w:val="bottom"/>
            <w:vMerge w:val="continue"/>
            <w:shd w:val="clear" w:color="auto" w:fill="003595"/>
          </w:tcPr>
          <w:p>
            <w:pPr>
              <w:spacing w:after="0"/>
              <w:rPr>
                <w:sz w:val="2"/>
                <w:szCs w:val="2"/>
                <w:color w:val="auto"/>
              </w:rPr>
            </w:pPr>
          </w:p>
        </w:tc>
        <w:tc>
          <w:tcPr>
            <w:tcW w:w="860" w:type="dxa"/>
            <w:vAlign w:val="bottom"/>
            <w:shd w:val="clear" w:color="auto" w:fill="003595"/>
          </w:tcPr>
          <w:p>
            <w:pPr>
              <w:spacing w:after="0"/>
              <w:rPr>
                <w:sz w:val="2"/>
                <w:szCs w:val="2"/>
                <w:color w:val="auto"/>
              </w:rPr>
            </w:pPr>
          </w:p>
        </w:tc>
        <w:tc>
          <w:tcPr>
            <w:tcW w:w="660" w:type="dxa"/>
            <w:vAlign w:val="bottom"/>
            <w:shd w:val="clear" w:color="auto" w:fill="003595"/>
          </w:tcPr>
          <w:p>
            <w:pPr>
              <w:spacing w:after="0"/>
              <w:rPr>
                <w:sz w:val="2"/>
                <w:szCs w:val="2"/>
                <w:color w:val="auto"/>
              </w:rPr>
            </w:pPr>
          </w:p>
        </w:tc>
        <w:tc>
          <w:tcPr>
            <w:tcW w:w="200" w:type="dxa"/>
            <w:vAlign w:val="bottom"/>
            <w:shd w:val="clear" w:color="auto" w:fill="003595"/>
          </w:tcPr>
          <w:p>
            <w:pPr>
              <w:spacing w:after="0"/>
              <w:rPr>
                <w:sz w:val="2"/>
                <w:szCs w:val="2"/>
                <w:color w:val="auto"/>
              </w:rPr>
            </w:pPr>
          </w:p>
        </w:tc>
        <w:tc>
          <w:tcPr>
            <w:tcW w:w="20" w:type="dxa"/>
            <w:vAlign w:val="bottom"/>
            <w:shd w:val="clear" w:color="auto" w:fill="00359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840" w:type="dxa"/>
            <w:vAlign w:val="bottom"/>
            <w:shd w:val="clear" w:color="auto" w:fill="003595"/>
          </w:tcPr>
          <w:p>
            <w:pPr>
              <w:spacing w:after="0"/>
              <w:rPr>
                <w:sz w:val="4"/>
                <w:szCs w:val="4"/>
                <w:color w:val="auto"/>
              </w:rPr>
            </w:pPr>
          </w:p>
        </w:tc>
        <w:tc>
          <w:tcPr>
            <w:tcW w:w="960" w:type="dxa"/>
            <w:vAlign w:val="bottom"/>
            <w:shd w:val="clear" w:color="auto" w:fill="003595"/>
          </w:tcPr>
          <w:p>
            <w:pPr>
              <w:spacing w:after="0"/>
              <w:rPr>
                <w:sz w:val="4"/>
                <w:szCs w:val="4"/>
                <w:color w:val="auto"/>
              </w:rPr>
            </w:pPr>
          </w:p>
        </w:tc>
        <w:tc>
          <w:tcPr>
            <w:tcW w:w="80" w:type="dxa"/>
            <w:vAlign w:val="bottom"/>
            <w:shd w:val="clear" w:color="auto" w:fill="003595"/>
          </w:tcPr>
          <w:p>
            <w:pPr>
              <w:spacing w:after="0"/>
              <w:rPr>
                <w:sz w:val="4"/>
                <w:szCs w:val="4"/>
                <w:color w:val="auto"/>
              </w:rPr>
            </w:pPr>
          </w:p>
        </w:tc>
        <w:tc>
          <w:tcPr>
            <w:tcW w:w="820" w:type="dxa"/>
            <w:vAlign w:val="bottom"/>
            <w:shd w:val="clear" w:color="auto" w:fill="003595"/>
          </w:tcPr>
          <w:p>
            <w:pPr>
              <w:spacing w:after="0"/>
              <w:rPr>
                <w:sz w:val="4"/>
                <w:szCs w:val="4"/>
                <w:color w:val="auto"/>
              </w:rPr>
            </w:pPr>
          </w:p>
        </w:tc>
        <w:tc>
          <w:tcPr>
            <w:tcW w:w="200" w:type="dxa"/>
            <w:vAlign w:val="bottom"/>
            <w:shd w:val="clear" w:color="auto" w:fill="003595"/>
          </w:tcPr>
          <w:p>
            <w:pPr>
              <w:spacing w:after="0"/>
              <w:rPr>
                <w:sz w:val="4"/>
                <w:szCs w:val="4"/>
                <w:color w:val="auto"/>
              </w:rPr>
            </w:pPr>
          </w:p>
        </w:tc>
        <w:tc>
          <w:tcPr>
            <w:tcW w:w="560" w:type="dxa"/>
            <w:vAlign w:val="bottom"/>
            <w:shd w:val="clear" w:color="auto" w:fill="003595"/>
          </w:tcPr>
          <w:p>
            <w:pPr>
              <w:spacing w:after="0"/>
              <w:rPr>
                <w:sz w:val="4"/>
                <w:szCs w:val="4"/>
                <w:color w:val="auto"/>
              </w:rPr>
            </w:pPr>
          </w:p>
        </w:tc>
        <w:tc>
          <w:tcPr>
            <w:tcW w:w="480" w:type="dxa"/>
            <w:vAlign w:val="bottom"/>
            <w:shd w:val="clear" w:color="auto" w:fill="003595"/>
          </w:tcPr>
          <w:p>
            <w:pPr>
              <w:spacing w:after="0"/>
              <w:rPr>
                <w:sz w:val="4"/>
                <w:szCs w:val="4"/>
                <w:color w:val="auto"/>
              </w:rPr>
            </w:pPr>
          </w:p>
        </w:tc>
        <w:tc>
          <w:tcPr>
            <w:tcW w:w="740" w:type="dxa"/>
            <w:vAlign w:val="bottom"/>
            <w:shd w:val="clear" w:color="auto" w:fill="003595"/>
          </w:tcPr>
          <w:p>
            <w:pPr>
              <w:spacing w:after="0"/>
              <w:rPr>
                <w:sz w:val="4"/>
                <w:szCs w:val="4"/>
                <w:color w:val="auto"/>
              </w:rPr>
            </w:pPr>
          </w:p>
        </w:tc>
        <w:tc>
          <w:tcPr>
            <w:tcW w:w="240" w:type="dxa"/>
            <w:vAlign w:val="bottom"/>
            <w:shd w:val="clear" w:color="auto" w:fill="003595"/>
          </w:tcPr>
          <w:p>
            <w:pPr>
              <w:spacing w:after="0"/>
              <w:rPr>
                <w:sz w:val="4"/>
                <w:szCs w:val="4"/>
                <w:color w:val="auto"/>
              </w:rPr>
            </w:pPr>
          </w:p>
        </w:tc>
        <w:tc>
          <w:tcPr>
            <w:tcW w:w="760" w:type="dxa"/>
            <w:vAlign w:val="bottom"/>
            <w:shd w:val="clear" w:color="auto" w:fill="003595"/>
          </w:tcPr>
          <w:p>
            <w:pPr>
              <w:spacing w:after="0"/>
              <w:rPr>
                <w:sz w:val="4"/>
                <w:szCs w:val="4"/>
                <w:color w:val="auto"/>
              </w:rPr>
            </w:pPr>
          </w:p>
        </w:tc>
        <w:tc>
          <w:tcPr>
            <w:tcW w:w="260" w:type="dxa"/>
            <w:vAlign w:val="bottom"/>
            <w:shd w:val="clear" w:color="auto" w:fill="003595"/>
          </w:tcPr>
          <w:p>
            <w:pPr>
              <w:spacing w:after="0"/>
              <w:rPr>
                <w:sz w:val="4"/>
                <w:szCs w:val="4"/>
                <w:color w:val="auto"/>
              </w:rPr>
            </w:pPr>
          </w:p>
        </w:tc>
        <w:tc>
          <w:tcPr>
            <w:tcW w:w="920" w:type="dxa"/>
            <w:vAlign w:val="bottom"/>
            <w:shd w:val="clear" w:color="auto" w:fill="003595"/>
          </w:tcPr>
          <w:p>
            <w:pPr>
              <w:spacing w:after="0"/>
              <w:rPr>
                <w:sz w:val="4"/>
                <w:szCs w:val="4"/>
                <w:color w:val="auto"/>
              </w:rPr>
            </w:pPr>
          </w:p>
        </w:tc>
        <w:tc>
          <w:tcPr>
            <w:tcW w:w="860" w:type="dxa"/>
            <w:vAlign w:val="bottom"/>
            <w:vMerge w:val="continue"/>
            <w:shd w:val="clear" w:color="auto" w:fill="003595"/>
          </w:tcPr>
          <w:p>
            <w:pPr>
              <w:spacing w:after="0"/>
              <w:rPr>
                <w:sz w:val="4"/>
                <w:szCs w:val="4"/>
                <w:color w:val="auto"/>
              </w:rPr>
            </w:pPr>
          </w:p>
        </w:tc>
        <w:tc>
          <w:tcPr>
            <w:tcW w:w="880" w:type="dxa"/>
            <w:vAlign w:val="bottom"/>
            <w:vMerge w:val="restart"/>
            <w:shd w:val="clear" w:color="auto" w:fill="003595"/>
          </w:tcPr>
          <w:p>
            <w:pPr>
              <w:jc w:val="center"/>
              <w:spacing w:after="0" w:line="122" w:lineRule="exact"/>
              <w:rPr>
                <w:sz w:val="20"/>
                <w:szCs w:val="20"/>
                <w:color w:val="auto"/>
              </w:rPr>
            </w:pPr>
            <w:r>
              <w:rPr>
                <w:rFonts w:ascii="Arial" w:cs="Arial" w:eastAsia="Arial" w:hAnsi="Arial"/>
                <w:sz w:val="11"/>
                <w:szCs w:val="11"/>
                <w:color w:val="FFFFFF"/>
                <w:w w:val="89"/>
              </w:rPr>
              <w:t>Total</w:t>
            </w:r>
          </w:p>
        </w:tc>
        <w:tc>
          <w:tcPr>
            <w:tcW w:w="860" w:type="dxa"/>
            <w:vAlign w:val="bottom"/>
            <w:shd w:val="clear" w:color="auto" w:fill="003595"/>
          </w:tcPr>
          <w:p>
            <w:pPr>
              <w:spacing w:after="0"/>
              <w:rPr>
                <w:sz w:val="4"/>
                <w:szCs w:val="4"/>
                <w:color w:val="auto"/>
              </w:rPr>
            </w:pPr>
          </w:p>
        </w:tc>
        <w:tc>
          <w:tcPr>
            <w:tcW w:w="660" w:type="dxa"/>
            <w:vAlign w:val="bottom"/>
            <w:shd w:val="clear" w:color="auto" w:fill="003595"/>
          </w:tcPr>
          <w:p>
            <w:pPr>
              <w:spacing w:after="0"/>
              <w:rPr>
                <w:sz w:val="4"/>
                <w:szCs w:val="4"/>
                <w:color w:val="auto"/>
              </w:rPr>
            </w:pPr>
          </w:p>
        </w:tc>
        <w:tc>
          <w:tcPr>
            <w:tcW w:w="200" w:type="dxa"/>
            <w:vAlign w:val="bottom"/>
            <w:shd w:val="clear" w:color="auto" w:fill="003595"/>
          </w:tcPr>
          <w:p>
            <w:pPr>
              <w:spacing w:after="0"/>
              <w:rPr>
                <w:sz w:val="4"/>
                <w:szCs w:val="4"/>
                <w:color w:val="auto"/>
              </w:rPr>
            </w:pPr>
          </w:p>
        </w:tc>
        <w:tc>
          <w:tcPr>
            <w:tcW w:w="20" w:type="dxa"/>
            <w:vAlign w:val="bottom"/>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840" w:type="dxa"/>
            <w:vAlign w:val="bottom"/>
            <w:shd w:val="clear" w:color="auto" w:fill="003595"/>
          </w:tcPr>
          <w:p>
            <w:pPr>
              <w:spacing w:after="0"/>
              <w:rPr>
                <w:sz w:val="5"/>
                <w:szCs w:val="5"/>
                <w:color w:val="auto"/>
              </w:rPr>
            </w:pPr>
          </w:p>
        </w:tc>
        <w:tc>
          <w:tcPr>
            <w:tcW w:w="960" w:type="dxa"/>
            <w:vAlign w:val="bottom"/>
            <w:shd w:val="clear" w:color="auto" w:fill="003595"/>
          </w:tcPr>
          <w:p>
            <w:pPr>
              <w:spacing w:after="0"/>
              <w:rPr>
                <w:sz w:val="5"/>
                <w:szCs w:val="5"/>
                <w:color w:val="auto"/>
              </w:rPr>
            </w:pPr>
          </w:p>
        </w:tc>
        <w:tc>
          <w:tcPr>
            <w:tcW w:w="80" w:type="dxa"/>
            <w:vAlign w:val="bottom"/>
            <w:shd w:val="clear" w:color="auto" w:fill="003595"/>
          </w:tcPr>
          <w:p>
            <w:pPr>
              <w:spacing w:after="0"/>
              <w:rPr>
                <w:sz w:val="5"/>
                <w:szCs w:val="5"/>
                <w:color w:val="auto"/>
              </w:rPr>
            </w:pPr>
          </w:p>
        </w:tc>
        <w:tc>
          <w:tcPr>
            <w:tcW w:w="820" w:type="dxa"/>
            <w:vAlign w:val="bottom"/>
            <w:shd w:val="clear" w:color="auto" w:fill="003595"/>
          </w:tcPr>
          <w:p>
            <w:pPr>
              <w:spacing w:after="0"/>
              <w:rPr>
                <w:sz w:val="5"/>
                <w:szCs w:val="5"/>
                <w:color w:val="auto"/>
              </w:rPr>
            </w:pPr>
          </w:p>
        </w:tc>
        <w:tc>
          <w:tcPr>
            <w:tcW w:w="200" w:type="dxa"/>
            <w:vAlign w:val="bottom"/>
            <w:shd w:val="clear" w:color="auto" w:fill="003595"/>
          </w:tcPr>
          <w:p>
            <w:pPr>
              <w:spacing w:after="0"/>
              <w:rPr>
                <w:sz w:val="5"/>
                <w:szCs w:val="5"/>
                <w:color w:val="auto"/>
              </w:rPr>
            </w:pPr>
          </w:p>
        </w:tc>
        <w:tc>
          <w:tcPr>
            <w:tcW w:w="560" w:type="dxa"/>
            <w:vAlign w:val="bottom"/>
            <w:shd w:val="clear" w:color="auto" w:fill="003595"/>
          </w:tcPr>
          <w:p>
            <w:pPr>
              <w:spacing w:after="0"/>
              <w:rPr>
                <w:sz w:val="5"/>
                <w:szCs w:val="5"/>
                <w:color w:val="auto"/>
              </w:rPr>
            </w:pPr>
          </w:p>
        </w:tc>
        <w:tc>
          <w:tcPr>
            <w:tcW w:w="480" w:type="dxa"/>
            <w:vAlign w:val="bottom"/>
            <w:shd w:val="clear" w:color="auto" w:fill="003595"/>
          </w:tcPr>
          <w:p>
            <w:pPr>
              <w:spacing w:after="0"/>
              <w:rPr>
                <w:sz w:val="5"/>
                <w:szCs w:val="5"/>
                <w:color w:val="auto"/>
              </w:rPr>
            </w:pPr>
          </w:p>
        </w:tc>
        <w:tc>
          <w:tcPr>
            <w:tcW w:w="740" w:type="dxa"/>
            <w:vAlign w:val="bottom"/>
            <w:shd w:val="clear" w:color="auto" w:fill="003595"/>
          </w:tcPr>
          <w:p>
            <w:pPr>
              <w:spacing w:after="0"/>
              <w:rPr>
                <w:sz w:val="5"/>
                <w:szCs w:val="5"/>
                <w:color w:val="auto"/>
              </w:rPr>
            </w:pPr>
          </w:p>
        </w:tc>
        <w:tc>
          <w:tcPr>
            <w:tcW w:w="240" w:type="dxa"/>
            <w:vAlign w:val="bottom"/>
            <w:shd w:val="clear" w:color="auto" w:fill="003595"/>
          </w:tcPr>
          <w:p>
            <w:pPr>
              <w:spacing w:after="0"/>
              <w:rPr>
                <w:sz w:val="5"/>
                <w:szCs w:val="5"/>
                <w:color w:val="auto"/>
              </w:rPr>
            </w:pPr>
          </w:p>
        </w:tc>
        <w:tc>
          <w:tcPr>
            <w:tcW w:w="760" w:type="dxa"/>
            <w:vAlign w:val="bottom"/>
            <w:shd w:val="clear" w:color="auto" w:fill="003595"/>
          </w:tcPr>
          <w:p>
            <w:pPr>
              <w:spacing w:after="0"/>
              <w:rPr>
                <w:sz w:val="5"/>
                <w:szCs w:val="5"/>
                <w:color w:val="auto"/>
              </w:rPr>
            </w:pPr>
          </w:p>
        </w:tc>
        <w:tc>
          <w:tcPr>
            <w:tcW w:w="260" w:type="dxa"/>
            <w:vAlign w:val="bottom"/>
            <w:shd w:val="clear" w:color="auto" w:fill="003595"/>
          </w:tcPr>
          <w:p>
            <w:pPr>
              <w:spacing w:after="0"/>
              <w:rPr>
                <w:sz w:val="5"/>
                <w:szCs w:val="5"/>
                <w:color w:val="auto"/>
              </w:rPr>
            </w:pPr>
          </w:p>
        </w:tc>
        <w:tc>
          <w:tcPr>
            <w:tcW w:w="920" w:type="dxa"/>
            <w:vAlign w:val="bottom"/>
            <w:shd w:val="clear" w:color="auto" w:fill="003595"/>
          </w:tcPr>
          <w:p>
            <w:pPr>
              <w:spacing w:after="0"/>
              <w:rPr>
                <w:sz w:val="5"/>
                <w:szCs w:val="5"/>
                <w:color w:val="auto"/>
              </w:rPr>
            </w:pPr>
          </w:p>
        </w:tc>
        <w:tc>
          <w:tcPr>
            <w:tcW w:w="860" w:type="dxa"/>
            <w:vAlign w:val="bottom"/>
            <w:vMerge w:val="restart"/>
            <w:shd w:val="clear" w:color="auto" w:fill="003595"/>
          </w:tcPr>
          <w:p>
            <w:pPr>
              <w:jc w:val="center"/>
              <w:spacing w:after="0" w:line="120" w:lineRule="exact"/>
              <w:rPr>
                <w:sz w:val="20"/>
                <w:szCs w:val="20"/>
                <w:color w:val="auto"/>
              </w:rPr>
            </w:pPr>
            <w:r>
              <w:rPr>
                <w:rFonts w:ascii="Arial" w:cs="Arial" w:eastAsia="Arial" w:hAnsi="Arial"/>
                <w:sz w:val="11"/>
                <w:szCs w:val="11"/>
                <w:color w:val="FFFFFF"/>
                <w:w w:val="96"/>
              </w:rPr>
              <w:t>Shareholder</w:t>
            </w:r>
          </w:p>
        </w:tc>
        <w:tc>
          <w:tcPr>
            <w:tcW w:w="880" w:type="dxa"/>
            <w:vAlign w:val="bottom"/>
            <w:vMerge w:val="continue"/>
            <w:shd w:val="clear" w:color="auto" w:fill="003595"/>
          </w:tcPr>
          <w:p>
            <w:pPr>
              <w:spacing w:after="0"/>
              <w:rPr>
                <w:sz w:val="5"/>
                <w:szCs w:val="5"/>
                <w:color w:val="auto"/>
              </w:rPr>
            </w:pPr>
          </w:p>
        </w:tc>
        <w:tc>
          <w:tcPr>
            <w:tcW w:w="860" w:type="dxa"/>
            <w:vAlign w:val="bottom"/>
            <w:shd w:val="clear" w:color="auto" w:fill="003595"/>
          </w:tcPr>
          <w:p>
            <w:pPr>
              <w:spacing w:after="0"/>
              <w:rPr>
                <w:sz w:val="5"/>
                <w:szCs w:val="5"/>
                <w:color w:val="auto"/>
              </w:rPr>
            </w:pPr>
          </w:p>
        </w:tc>
        <w:tc>
          <w:tcPr>
            <w:tcW w:w="660" w:type="dxa"/>
            <w:vAlign w:val="bottom"/>
            <w:shd w:val="clear" w:color="auto" w:fill="003595"/>
          </w:tcPr>
          <w:p>
            <w:pPr>
              <w:spacing w:after="0"/>
              <w:rPr>
                <w:sz w:val="5"/>
                <w:szCs w:val="5"/>
                <w:color w:val="auto"/>
              </w:rPr>
            </w:pPr>
          </w:p>
        </w:tc>
        <w:tc>
          <w:tcPr>
            <w:tcW w:w="200" w:type="dxa"/>
            <w:vAlign w:val="bottom"/>
            <w:shd w:val="clear" w:color="auto" w:fill="003595"/>
          </w:tcPr>
          <w:p>
            <w:pPr>
              <w:spacing w:after="0"/>
              <w:rPr>
                <w:sz w:val="5"/>
                <w:szCs w:val="5"/>
                <w:color w:val="auto"/>
              </w:rPr>
            </w:pPr>
          </w:p>
        </w:tc>
        <w:tc>
          <w:tcPr>
            <w:tcW w:w="20" w:type="dxa"/>
            <w:vAlign w:val="bottom"/>
            <w:shd w:val="clear" w:color="auto" w:fill="003595"/>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840" w:type="dxa"/>
            <w:vAlign w:val="bottom"/>
            <w:shd w:val="clear" w:color="auto" w:fill="003595"/>
          </w:tcPr>
          <w:p>
            <w:pPr>
              <w:spacing w:after="0"/>
              <w:rPr>
                <w:sz w:val="4"/>
                <w:szCs w:val="4"/>
                <w:color w:val="auto"/>
              </w:rPr>
            </w:pPr>
          </w:p>
        </w:tc>
        <w:tc>
          <w:tcPr>
            <w:tcW w:w="960" w:type="dxa"/>
            <w:vAlign w:val="bottom"/>
            <w:shd w:val="clear" w:color="auto" w:fill="003595"/>
          </w:tcPr>
          <w:p>
            <w:pPr>
              <w:spacing w:after="0"/>
              <w:rPr>
                <w:sz w:val="4"/>
                <w:szCs w:val="4"/>
                <w:color w:val="auto"/>
              </w:rPr>
            </w:pPr>
          </w:p>
        </w:tc>
        <w:tc>
          <w:tcPr>
            <w:tcW w:w="80" w:type="dxa"/>
            <w:vAlign w:val="bottom"/>
            <w:shd w:val="clear" w:color="auto" w:fill="003595"/>
          </w:tcPr>
          <w:p>
            <w:pPr>
              <w:spacing w:after="0"/>
              <w:rPr>
                <w:sz w:val="4"/>
                <w:szCs w:val="4"/>
                <w:color w:val="auto"/>
              </w:rPr>
            </w:pPr>
          </w:p>
        </w:tc>
        <w:tc>
          <w:tcPr>
            <w:tcW w:w="820" w:type="dxa"/>
            <w:vAlign w:val="bottom"/>
            <w:shd w:val="clear" w:color="auto" w:fill="003595"/>
          </w:tcPr>
          <w:p>
            <w:pPr>
              <w:spacing w:after="0"/>
              <w:rPr>
                <w:sz w:val="4"/>
                <w:szCs w:val="4"/>
                <w:color w:val="auto"/>
              </w:rPr>
            </w:pPr>
          </w:p>
        </w:tc>
        <w:tc>
          <w:tcPr>
            <w:tcW w:w="200" w:type="dxa"/>
            <w:vAlign w:val="bottom"/>
            <w:shd w:val="clear" w:color="auto" w:fill="003595"/>
          </w:tcPr>
          <w:p>
            <w:pPr>
              <w:spacing w:after="0"/>
              <w:rPr>
                <w:sz w:val="4"/>
                <w:szCs w:val="4"/>
                <w:color w:val="auto"/>
              </w:rPr>
            </w:pPr>
          </w:p>
        </w:tc>
        <w:tc>
          <w:tcPr>
            <w:tcW w:w="560" w:type="dxa"/>
            <w:vAlign w:val="bottom"/>
            <w:shd w:val="clear" w:color="auto" w:fill="003595"/>
          </w:tcPr>
          <w:p>
            <w:pPr>
              <w:spacing w:after="0"/>
              <w:rPr>
                <w:sz w:val="4"/>
                <w:szCs w:val="4"/>
                <w:color w:val="auto"/>
              </w:rPr>
            </w:pPr>
          </w:p>
        </w:tc>
        <w:tc>
          <w:tcPr>
            <w:tcW w:w="480" w:type="dxa"/>
            <w:vAlign w:val="bottom"/>
            <w:shd w:val="clear" w:color="auto" w:fill="003595"/>
          </w:tcPr>
          <w:p>
            <w:pPr>
              <w:spacing w:after="0"/>
              <w:rPr>
                <w:sz w:val="4"/>
                <w:szCs w:val="4"/>
                <w:color w:val="auto"/>
              </w:rPr>
            </w:pPr>
          </w:p>
        </w:tc>
        <w:tc>
          <w:tcPr>
            <w:tcW w:w="740" w:type="dxa"/>
            <w:vAlign w:val="bottom"/>
            <w:shd w:val="clear" w:color="auto" w:fill="003595"/>
          </w:tcPr>
          <w:p>
            <w:pPr>
              <w:spacing w:after="0"/>
              <w:rPr>
                <w:sz w:val="4"/>
                <w:szCs w:val="4"/>
                <w:color w:val="auto"/>
              </w:rPr>
            </w:pPr>
          </w:p>
        </w:tc>
        <w:tc>
          <w:tcPr>
            <w:tcW w:w="240" w:type="dxa"/>
            <w:vAlign w:val="bottom"/>
            <w:shd w:val="clear" w:color="auto" w:fill="003595"/>
          </w:tcPr>
          <w:p>
            <w:pPr>
              <w:spacing w:after="0"/>
              <w:rPr>
                <w:sz w:val="4"/>
                <w:szCs w:val="4"/>
                <w:color w:val="auto"/>
              </w:rPr>
            </w:pPr>
          </w:p>
        </w:tc>
        <w:tc>
          <w:tcPr>
            <w:tcW w:w="760" w:type="dxa"/>
            <w:vAlign w:val="bottom"/>
            <w:shd w:val="clear" w:color="auto" w:fill="003595"/>
          </w:tcPr>
          <w:p>
            <w:pPr>
              <w:spacing w:after="0"/>
              <w:rPr>
                <w:sz w:val="4"/>
                <w:szCs w:val="4"/>
                <w:color w:val="auto"/>
              </w:rPr>
            </w:pPr>
          </w:p>
        </w:tc>
        <w:tc>
          <w:tcPr>
            <w:tcW w:w="260" w:type="dxa"/>
            <w:vAlign w:val="bottom"/>
            <w:shd w:val="clear" w:color="auto" w:fill="003595"/>
          </w:tcPr>
          <w:p>
            <w:pPr>
              <w:spacing w:after="0"/>
              <w:rPr>
                <w:sz w:val="4"/>
                <w:szCs w:val="4"/>
                <w:color w:val="auto"/>
              </w:rPr>
            </w:pPr>
          </w:p>
        </w:tc>
        <w:tc>
          <w:tcPr>
            <w:tcW w:w="920" w:type="dxa"/>
            <w:vAlign w:val="bottom"/>
            <w:shd w:val="clear" w:color="auto" w:fill="003595"/>
          </w:tcPr>
          <w:p>
            <w:pPr>
              <w:spacing w:after="0"/>
              <w:rPr>
                <w:sz w:val="4"/>
                <w:szCs w:val="4"/>
                <w:color w:val="auto"/>
              </w:rPr>
            </w:pPr>
          </w:p>
        </w:tc>
        <w:tc>
          <w:tcPr>
            <w:tcW w:w="860" w:type="dxa"/>
            <w:vAlign w:val="bottom"/>
            <w:vMerge w:val="continue"/>
            <w:shd w:val="clear" w:color="auto" w:fill="003595"/>
          </w:tcPr>
          <w:p>
            <w:pPr>
              <w:spacing w:after="0"/>
              <w:rPr>
                <w:sz w:val="4"/>
                <w:szCs w:val="4"/>
                <w:color w:val="auto"/>
              </w:rPr>
            </w:pPr>
          </w:p>
        </w:tc>
        <w:tc>
          <w:tcPr>
            <w:tcW w:w="880" w:type="dxa"/>
            <w:vAlign w:val="bottom"/>
            <w:vMerge w:val="restart"/>
            <w:shd w:val="clear" w:color="auto" w:fill="003595"/>
          </w:tcPr>
          <w:p>
            <w:pPr>
              <w:jc w:val="center"/>
              <w:spacing w:after="0" w:line="108" w:lineRule="exact"/>
              <w:rPr>
                <w:sz w:val="20"/>
                <w:szCs w:val="20"/>
                <w:color w:val="auto"/>
              </w:rPr>
            </w:pPr>
            <w:r>
              <w:rPr>
                <w:rFonts w:ascii="Arial" w:cs="Arial" w:eastAsia="Arial" w:hAnsi="Arial"/>
                <w:sz w:val="11"/>
                <w:szCs w:val="11"/>
                <w:color w:val="FFFFFF"/>
                <w:w w:val="96"/>
              </w:rPr>
              <w:t>Shareholder</w:t>
            </w:r>
          </w:p>
        </w:tc>
        <w:tc>
          <w:tcPr>
            <w:tcW w:w="860" w:type="dxa"/>
            <w:vAlign w:val="bottom"/>
            <w:shd w:val="clear" w:color="auto" w:fill="003595"/>
          </w:tcPr>
          <w:p>
            <w:pPr>
              <w:spacing w:after="0"/>
              <w:rPr>
                <w:sz w:val="4"/>
                <w:szCs w:val="4"/>
                <w:color w:val="auto"/>
              </w:rPr>
            </w:pPr>
          </w:p>
        </w:tc>
        <w:tc>
          <w:tcPr>
            <w:tcW w:w="660" w:type="dxa"/>
            <w:vAlign w:val="bottom"/>
            <w:shd w:val="clear" w:color="auto" w:fill="003595"/>
          </w:tcPr>
          <w:p>
            <w:pPr>
              <w:spacing w:after="0"/>
              <w:rPr>
                <w:sz w:val="4"/>
                <w:szCs w:val="4"/>
                <w:color w:val="auto"/>
              </w:rPr>
            </w:pPr>
          </w:p>
        </w:tc>
        <w:tc>
          <w:tcPr>
            <w:tcW w:w="200" w:type="dxa"/>
            <w:vAlign w:val="bottom"/>
            <w:shd w:val="clear" w:color="auto" w:fill="003595"/>
          </w:tcPr>
          <w:p>
            <w:pPr>
              <w:spacing w:after="0"/>
              <w:rPr>
                <w:sz w:val="4"/>
                <w:szCs w:val="4"/>
                <w:color w:val="auto"/>
              </w:rPr>
            </w:pPr>
          </w:p>
        </w:tc>
        <w:tc>
          <w:tcPr>
            <w:tcW w:w="20" w:type="dxa"/>
            <w:vAlign w:val="bottom"/>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840" w:type="dxa"/>
            <w:vAlign w:val="bottom"/>
            <w:shd w:val="clear" w:color="auto" w:fill="003595"/>
          </w:tcPr>
          <w:p>
            <w:pPr>
              <w:spacing w:after="0"/>
              <w:rPr>
                <w:sz w:val="4"/>
                <w:szCs w:val="4"/>
                <w:color w:val="auto"/>
              </w:rPr>
            </w:pPr>
          </w:p>
        </w:tc>
        <w:tc>
          <w:tcPr>
            <w:tcW w:w="960" w:type="dxa"/>
            <w:vAlign w:val="bottom"/>
            <w:shd w:val="clear" w:color="auto" w:fill="003595"/>
          </w:tcPr>
          <w:p>
            <w:pPr>
              <w:spacing w:after="0"/>
              <w:rPr>
                <w:sz w:val="4"/>
                <w:szCs w:val="4"/>
                <w:color w:val="auto"/>
              </w:rPr>
            </w:pPr>
          </w:p>
        </w:tc>
        <w:tc>
          <w:tcPr>
            <w:tcW w:w="80" w:type="dxa"/>
            <w:vAlign w:val="bottom"/>
            <w:shd w:val="clear" w:color="auto" w:fill="003595"/>
          </w:tcPr>
          <w:p>
            <w:pPr>
              <w:spacing w:after="0"/>
              <w:rPr>
                <w:sz w:val="4"/>
                <w:szCs w:val="4"/>
                <w:color w:val="auto"/>
              </w:rPr>
            </w:pPr>
          </w:p>
        </w:tc>
        <w:tc>
          <w:tcPr>
            <w:tcW w:w="820" w:type="dxa"/>
            <w:vAlign w:val="bottom"/>
            <w:shd w:val="clear" w:color="auto" w:fill="003595"/>
          </w:tcPr>
          <w:p>
            <w:pPr>
              <w:spacing w:after="0"/>
              <w:rPr>
                <w:sz w:val="4"/>
                <w:szCs w:val="4"/>
                <w:color w:val="auto"/>
              </w:rPr>
            </w:pPr>
          </w:p>
        </w:tc>
        <w:tc>
          <w:tcPr>
            <w:tcW w:w="200" w:type="dxa"/>
            <w:vAlign w:val="bottom"/>
            <w:shd w:val="clear" w:color="auto" w:fill="003595"/>
          </w:tcPr>
          <w:p>
            <w:pPr>
              <w:spacing w:after="0"/>
              <w:rPr>
                <w:sz w:val="4"/>
                <w:szCs w:val="4"/>
                <w:color w:val="auto"/>
              </w:rPr>
            </w:pPr>
          </w:p>
        </w:tc>
        <w:tc>
          <w:tcPr>
            <w:tcW w:w="560" w:type="dxa"/>
            <w:vAlign w:val="bottom"/>
            <w:shd w:val="clear" w:color="auto" w:fill="003595"/>
          </w:tcPr>
          <w:p>
            <w:pPr>
              <w:spacing w:after="0"/>
              <w:rPr>
                <w:sz w:val="4"/>
                <w:szCs w:val="4"/>
                <w:color w:val="auto"/>
              </w:rPr>
            </w:pPr>
          </w:p>
        </w:tc>
        <w:tc>
          <w:tcPr>
            <w:tcW w:w="480" w:type="dxa"/>
            <w:vAlign w:val="bottom"/>
            <w:shd w:val="clear" w:color="auto" w:fill="003595"/>
          </w:tcPr>
          <w:p>
            <w:pPr>
              <w:spacing w:after="0"/>
              <w:rPr>
                <w:sz w:val="4"/>
                <w:szCs w:val="4"/>
                <w:color w:val="auto"/>
              </w:rPr>
            </w:pPr>
          </w:p>
        </w:tc>
        <w:tc>
          <w:tcPr>
            <w:tcW w:w="740" w:type="dxa"/>
            <w:vAlign w:val="bottom"/>
            <w:shd w:val="clear" w:color="auto" w:fill="003595"/>
          </w:tcPr>
          <w:p>
            <w:pPr>
              <w:spacing w:after="0"/>
              <w:rPr>
                <w:sz w:val="4"/>
                <w:szCs w:val="4"/>
                <w:color w:val="auto"/>
              </w:rPr>
            </w:pPr>
          </w:p>
        </w:tc>
        <w:tc>
          <w:tcPr>
            <w:tcW w:w="240" w:type="dxa"/>
            <w:vAlign w:val="bottom"/>
            <w:shd w:val="clear" w:color="auto" w:fill="003595"/>
          </w:tcPr>
          <w:p>
            <w:pPr>
              <w:spacing w:after="0"/>
              <w:rPr>
                <w:sz w:val="4"/>
                <w:szCs w:val="4"/>
                <w:color w:val="auto"/>
              </w:rPr>
            </w:pPr>
          </w:p>
        </w:tc>
        <w:tc>
          <w:tcPr>
            <w:tcW w:w="760" w:type="dxa"/>
            <w:vAlign w:val="bottom"/>
            <w:shd w:val="clear" w:color="auto" w:fill="003595"/>
          </w:tcPr>
          <w:p>
            <w:pPr>
              <w:spacing w:after="0"/>
              <w:rPr>
                <w:sz w:val="4"/>
                <w:szCs w:val="4"/>
                <w:color w:val="auto"/>
              </w:rPr>
            </w:pPr>
          </w:p>
        </w:tc>
        <w:tc>
          <w:tcPr>
            <w:tcW w:w="260" w:type="dxa"/>
            <w:vAlign w:val="bottom"/>
            <w:shd w:val="clear" w:color="auto" w:fill="003595"/>
          </w:tcPr>
          <w:p>
            <w:pPr>
              <w:spacing w:after="0"/>
              <w:rPr>
                <w:sz w:val="4"/>
                <w:szCs w:val="4"/>
                <w:color w:val="auto"/>
              </w:rPr>
            </w:pPr>
          </w:p>
        </w:tc>
        <w:tc>
          <w:tcPr>
            <w:tcW w:w="920" w:type="dxa"/>
            <w:vAlign w:val="bottom"/>
            <w:shd w:val="clear" w:color="auto" w:fill="003595"/>
          </w:tcPr>
          <w:p>
            <w:pPr>
              <w:spacing w:after="0"/>
              <w:rPr>
                <w:sz w:val="4"/>
                <w:szCs w:val="4"/>
                <w:color w:val="auto"/>
              </w:rPr>
            </w:pPr>
          </w:p>
        </w:tc>
        <w:tc>
          <w:tcPr>
            <w:tcW w:w="860" w:type="dxa"/>
            <w:vAlign w:val="bottom"/>
            <w:shd w:val="clear" w:color="auto" w:fill="003595"/>
          </w:tcPr>
          <w:p>
            <w:pPr>
              <w:jc w:val="right"/>
              <w:ind w:right="204"/>
              <w:spacing w:after="0" w:line="56" w:lineRule="exact"/>
              <w:rPr>
                <w:sz w:val="20"/>
                <w:szCs w:val="20"/>
                <w:color w:val="auto"/>
              </w:rPr>
            </w:pPr>
            <w:r>
              <w:rPr>
                <w:rFonts w:ascii="Arial" w:cs="Arial" w:eastAsia="Arial" w:hAnsi="Arial"/>
                <w:sz w:val="6"/>
                <w:szCs w:val="6"/>
                <w:color w:val="FFFFFF"/>
              </w:rPr>
              <w:t>4</w:t>
            </w:r>
          </w:p>
        </w:tc>
        <w:tc>
          <w:tcPr>
            <w:tcW w:w="880" w:type="dxa"/>
            <w:vAlign w:val="bottom"/>
            <w:vMerge w:val="continue"/>
            <w:shd w:val="clear" w:color="auto" w:fill="003595"/>
          </w:tcPr>
          <w:p>
            <w:pPr>
              <w:spacing w:after="0"/>
              <w:rPr>
                <w:sz w:val="4"/>
                <w:szCs w:val="4"/>
                <w:color w:val="auto"/>
              </w:rPr>
            </w:pPr>
          </w:p>
        </w:tc>
        <w:tc>
          <w:tcPr>
            <w:tcW w:w="860" w:type="dxa"/>
            <w:vAlign w:val="bottom"/>
            <w:shd w:val="clear" w:color="auto" w:fill="003595"/>
          </w:tcPr>
          <w:p>
            <w:pPr>
              <w:spacing w:after="0"/>
              <w:rPr>
                <w:sz w:val="4"/>
                <w:szCs w:val="4"/>
                <w:color w:val="auto"/>
              </w:rPr>
            </w:pPr>
          </w:p>
        </w:tc>
        <w:tc>
          <w:tcPr>
            <w:tcW w:w="660" w:type="dxa"/>
            <w:vAlign w:val="bottom"/>
            <w:shd w:val="clear" w:color="auto" w:fill="003595"/>
          </w:tcPr>
          <w:p>
            <w:pPr>
              <w:spacing w:after="0"/>
              <w:rPr>
                <w:sz w:val="4"/>
                <w:szCs w:val="4"/>
                <w:color w:val="auto"/>
              </w:rPr>
            </w:pPr>
          </w:p>
        </w:tc>
        <w:tc>
          <w:tcPr>
            <w:tcW w:w="200" w:type="dxa"/>
            <w:vAlign w:val="bottom"/>
            <w:shd w:val="clear" w:color="auto" w:fill="003595"/>
          </w:tcPr>
          <w:p>
            <w:pPr>
              <w:spacing w:after="0"/>
              <w:rPr>
                <w:sz w:val="4"/>
                <w:szCs w:val="4"/>
                <w:color w:val="auto"/>
              </w:rPr>
            </w:pPr>
          </w:p>
        </w:tc>
        <w:tc>
          <w:tcPr>
            <w:tcW w:w="20" w:type="dxa"/>
            <w:vAlign w:val="bottom"/>
            <w:shd w:val="clear" w:color="auto" w:fill="003595"/>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 w:type="dxa"/>
            <w:vAlign w:val="bottom"/>
            <w:shd w:val="clear" w:color="auto" w:fill="003595"/>
          </w:tcPr>
          <w:p>
            <w:pPr>
              <w:spacing w:after="0"/>
              <w:rPr>
                <w:sz w:val="17"/>
                <w:szCs w:val="17"/>
                <w:color w:val="auto"/>
              </w:rPr>
            </w:pPr>
          </w:p>
        </w:tc>
        <w:tc>
          <w:tcPr>
            <w:tcW w:w="960" w:type="dxa"/>
            <w:vAlign w:val="bottom"/>
            <w:shd w:val="clear" w:color="auto" w:fill="003595"/>
          </w:tcPr>
          <w:p>
            <w:pPr>
              <w:spacing w:after="0"/>
              <w:rPr>
                <w:sz w:val="17"/>
                <w:szCs w:val="17"/>
                <w:color w:val="auto"/>
              </w:rPr>
            </w:pPr>
          </w:p>
        </w:tc>
        <w:tc>
          <w:tcPr>
            <w:tcW w:w="80" w:type="dxa"/>
            <w:vAlign w:val="bottom"/>
            <w:shd w:val="clear" w:color="auto" w:fill="003595"/>
          </w:tcPr>
          <w:p>
            <w:pPr>
              <w:spacing w:after="0"/>
              <w:rPr>
                <w:sz w:val="17"/>
                <w:szCs w:val="17"/>
                <w:color w:val="auto"/>
              </w:rPr>
            </w:pPr>
          </w:p>
        </w:tc>
        <w:tc>
          <w:tcPr>
            <w:tcW w:w="820" w:type="dxa"/>
            <w:vAlign w:val="bottom"/>
            <w:shd w:val="clear" w:color="auto" w:fill="003595"/>
          </w:tcPr>
          <w:p>
            <w:pPr>
              <w:spacing w:after="0"/>
              <w:rPr>
                <w:sz w:val="17"/>
                <w:szCs w:val="17"/>
                <w:color w:val="auto"/>
              </w:rPr>
            </w:pPr>
          </w:p>
        </w:tc>
        <w:tc>
          <w:tcPr>
            <w:tcW w:w="200" w:type="dxa"/>
            <w:vAlign w:val="bottom"/>
            <w:shd w:val="clear" w:color="auto" w:fill="003595"/>
          </w:tcPr>
          <w:p>
            <w:pPr>
              <w:spacing w:after="0"/>
              <w:rPr>
                <w:sz w:val="17"/>
                <w:szCs w:val="17"/>
                <w:color w:val="auto"/>
              </w:rPr>
            </w:pPr>
          </w:p>
        </w:tc>
        <w:tc>
          <w:tcPr>
            <w:tcW w:w="560" w:type="dxa"/>
            <w:vAlign w:val="bottom"/>
            <w:shd w:val="clear" w:color="auto" w:fill="003595"/>
          </w:tcPr>
          <w:p>
            <w:pPr>
              <w:spacing w:after="0"/>
              <w:rPr>
                <w:sz w:val="17"/>
                <w:szCs w:val="17"/>
                <w:color w:val="auto"/>
              </w:rPr>
            </w:pPr>
          </w:p>
        </w:tc>
        <w:tc>
          <w:tcPr>
            <w:tcW w:w="480" w:type="dxa"/>
            <w:vAlign w:val="bottom"/>
            <w:shd w:val="clear" w:color="auto" w:fill="003595"/>
          </w:tcPr>
          <w:p>
            <w:pPr>
              <w:spacing w:after="0"/>
              <w:rPr>
                <w:sz w:val="17"/>
                <w:szCs w:val="17"/>
                <w:color w:val="auto"/>
              </w:rPr>
            </w:pPr>
          </w:p>
        </w:tc>
        <w:tc>
          <w:tcPr>
            <w:tcW w:w="740" w:type="dxa"/>
            <w:vAlign w:val="bottom"/>
            <w:shd w:val="clear" w:color="auto" w:fill="003595"/>
          </w:tcPr>
          <w:p>
            <w:pPr>
              <w:spacing w:after="0"/>
              <w:rPr>
                <w:sz w:val="17"/>
                <w:szCs w:val="17"/>
                <w:color w:val="auto"/>
              </w:rPr>
            </w:pPr>
          </w:p>
        </w:tc>
        <w:tc>
          <w:tcPr>
            <w:tcW w:w="240" w:type="dxa"/>
            <w:vAlign w:val="bottom"/>
            <w:shd w:val="clear" w:color="auto" w:fill="003595"/>
          </w:tcPr>
          <w:p>
            <w:pPr>
              <w:spacing w:after="0"/>
              <w:rPr>
                <w:sz w:val="17"/>
                <w:szCs w:val="17"/>
                <w:color w:val="auto"/>
              </w:rPr>
            </w:pPr>
          </w:p>
        </w:tc>
        <w:tc>
          <w:tcPr>
            <w:tcW w:w="760" w:type="dxa"/>
            <w:vAlign w:val="bottom"/>
            <w:shd w:val="clear" w:color="auto" w:fill="003595"/>
          </w:tcPr>
          <w:p>
            <w:pPr>
              <w:spacing w:after="0"/>
              <w:rPr>
                <w:sz w:val="17"/>
                <w:szCs w:val="17"/>
                <w:color w:val="auto"/>
              </w:rPr>
            </w:pPr>
          </w:p>
        </w:tc>
        <w:tc>
          <w:tcPr>
            <w:tcW w:w="260" w:type="dxa"/>
            <w:vAlign w:val="bottom"/>
            <w:shd w:val="clear" w:color="auto" w:fill="003595"/>
          </w:tcPr>
          <w:p>
            <w:pPr>
              <w:spacing w:after="0"/>
              <w:rPr>
                <w:sz w:val="17"/>
                <w:szCs w:val="17"/>
                <w:color w:val="auto"/>
              </w:rPr>
            </w:pPr>
          </w:p>
        </w:tc>
        <w:tc>
          <w:tcPr>
            <w:tcW w:w="920" w:type="dxa"/>
            <w:vAlign w:val="bottom"/>
            <w:shd w:val="clear" w:color="auto" w:fill="003595"/>
          </w:tcPr>
          <w:p>
            <w:pPr>
              <w:spacing w:after="0"/>
              <w:rPr>
                <w:sz w:val="17"/>
                <w:szCs w:val="17"/>
                <w:color w:val="auto"/>
              </w:rPr>
            </w:pPr>
          </w:p>
        </w:tc>
        <w:tc>
          <w:tcPr>
            <w:tcW w:w="860" w:type="dxa"/>
            <w:vAlign w:val="bottom"/>
            <w:shd w:val="clear" w:color="auto" w:fill="003595"/>
          </w:tcPr>
          <w:p>
            <w:pPr>
              <w:jc w:val="center"/>
              <w:spacing w:after="0"/>
              <w:rPr>
                <w:sz w:val="20"/>
                <w:szCs w:val="20"/>
                <w:color w:val="auto"/>
              </w:rPr>
            </w:pPr>
            <w:r>
              <w:rPr>
                <w:rFonts w:ascii="Arial" w:cs="Arial" w:eastAsia="Arial" w:hAnsi="Arial"/>
                <w:sz w:val="11"/>
                <w:szCs w:val="11"/>
                <w:color w:val="FFFFFF"/>
                <w:w w:val="99"/>
              </w:rPr>
              <w:t>Return $</w:t>
            </w:r>
          </w:p>
        </w:tc>
        <w:tc>
          <w:tcPr>
            <w:tcW w:w="880" w:type="dxa"/>
            <w:vAlign w:val="bottom"/>
            <w:shd w:val="clear" w:color="auto" w:fill="003595"/>
          </w:tcPr>
          <w:p>
            <w:pPr>
              <w:jc w:val="center"/>
              <w:spacing w:after="0"/>
              <w:rPr>
                <w:sz w:val="20"/>
                <w:szCs w:val="20"/>
                <w:color w:val="auto"/>
              </w:rPr>
            </w:pPr>
            <w:r>
              <w:rPr>
                <w:rFonts w:ascii="Arial" w:cs="Arial" w:eastAsia="Arial" w:hAnsi="Arial"/>
                <w:sz w:val="11"/>
                <w:szCs w:val="11"/>
                <w:color w:val="FFFFFF"/>
                <w:w w:val="94"/>
              </w:rPr>
              <w:t>Return</w:t>
            </w:r>
            <w:r>
              <w:rPr>
                <w:rFonts w:ascii="Arial" w:cs="Arial" w:eastAsia="Arial" w:hAnsi="Arial"/>
                <w:sz w:val="14"/>
                <w:szCs w:val="14"/>
                <w:color w:val="FFFFFF"/>
                <w:w w:val="94"/>
                <w:vertAlign w:val="superscript"/>
              </w:rPr>
              <w:t>5</w:t>
            </w:r>
            <w:r>
              <w:rPr>
                <w:rFonts w:ascii="Arial" w:cs="Arial" w:eastAsia="Arial" w:hAnsi="Arial"/>
                <w:sz w:val="11"/>
                <w:szCs w:val="11"/>
                <w:color w:val="FFFFFF"/>
                <w:w w:val="94"/>
              </w:rPr>
              <w:t>$</w:t>
            </w:r>
          </w:p>
        </w:tc>
        <w:tc>
          <w:tcPr>
            <w:tcW w:w="860" w:type="dxa"/>
            <w:vAlign w:val="bottom"/>
            <w:shd w:val="clear" w:color="auto" w:fill="003595"/>
          </w:tcPr>
          <w:p>
            <w:pPr>
              <w:spacing w:after="0"/>
              <w:rPr>
                <w:sz w:val="17"/>
                <w:szCs w:val="17"/>
                <w:color w:val="auto"/>
              </w:rPr>
            </w:pPr>
          </w:p>
        </w:tc>
        <w:tc>
          <w:tcPr>
            <w:tcW w:w="660" w:type="dxa"/>
            <w:vAlign w:val="bottom"/>
            <w:shd w:val="clear" w:color="auto" w:fill="003595"/>
          </w:tcPr>
          <w:p>
            <w:pPr>
              <w:spacing w:after="0"/>
              <w:rPr>
                <w:sz w:val="17"/>
                <w:szCs w:val="17"/>
                <w:color w:val="auto"/>
              </w:rPr>
            </w:pPr>
          </w:p>
        </w:tc>
        <w:tc>
          <w:tcPr>
            <w:tcW w:w="200" w:type="dxa"/>
            <w:vAlign w:val="bottom"/>
            <w:shd w:val="clear" w:color="auto" w:fill="003595"/>
          </w:tcPr>
          <w:p>
            <w:pPr>
              <w:spacing w:after="0"/>
              <w:rPr>
                <w:sz w:val="17"/>
                <w:szCs w:val="17"/>
                <w:color w:val="auto"/>
              </w:rPr>
            </w:pPr>
          </w:p>
        </w:tc>
        <w:tc>
          <w:tcPr>
            <w:tcW w:w="20" w:type="dxa"/>
            <w:vAlign w:val="bottom"/>
            <w:shd w:val="clear" w:color="auto" w:fill="00359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960" w:type="dxa"/>
            <w:vAlign w:val="bottom"/>
          </w:tcPr>
          <w:p>
            <w:pPr>
              <w:jc w:val="center"/>
              <w:ind w:left="22"/>
              <w:spacing w:after="0"/>
              <w:rPr>
                <w:sz w:val="20"/>
                <w:szCs w:val="20"/>
                <w:color w:val="auto"/>
              </w:rPr>
            </w:pPr>
            <w:r>
              <w:rPr>
                <w:rFonts w:ascii="Arial" w:cs="Arial" w:eastAsia="Arial" w:hAnsi="Arial"/>
                <w:sz w:val="13"/>
                <w:szCs w:val="13"/>
                <w:color w:val="auto"/>
                <w:w w:val="96"/>
              </w:rPr>
              <w:t>5,686,740</w:t>
            </w:r>
          </w:p>
        </w:tc>
        <w:tc>
          <w:tcPr>
            <w:tcW w:w="80" w:type="dxa"/>
            <w:vAlign w:val="bottom"/>
          </w:tcPr>
          <w:p>
            <w:pPr>
              <w:spacing w:after="0"/>
              <w:rPr>
                <w:sz w:val="16"/>
                <w:szCs w:val="16"/>
                <w:color w:val="auto"/>
              </w:rPr>
            </w:pPr>
          </w:p>
        </w:tc>
        <w:tc>
          <w:tcPr>
            <w:tcW w:w="820" w:type="dxa"/>
            <w:vAlign w:val="bottom"/>
          </w:tcPr>
          <w:p>
            <w:pPr>
              <w:jc w:val="center"/>
              <w:ind w:left="143"/>
              <w:spacing w:after="0"/>
              <w:rPr>
                <w:sz w:val="20"/>
                <w:szCs w:val="20"/>
                <w:color w:val="auto"/>
              </w:rPr>
            </w:pPr>
            <w:r>
              <w:rPr>
                <w:rFonts w:ascii="Arial" w:cs="Arial" w:eastAsia="Arial" w:hAnsi="Arial"/>
                <w:sz w:val="13"/>
                <w:szCs w:val="13"/>
                <w:color w:val="auto"/>
                <w:w w:val="97"/>
              </w:rPr>
              <w:t>688,637</w:t>
            </w:r>
          </w:p>
        </w:tc>
        <w:tc>
          <w:tcPr>
            <w:tcW w:w="2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color w:val="auto"/>
                <w:w w:val="96"/>
              </w:rPr>
              <w:t>2,518,175</w:t>
            </w:r>
          </w:p>
        </w:tc>
        <w:tc>
          <w:tcPr>
            <w:tcW w:w="980" w:type="dxa"/>
            <w:vAlign w:val="bottom"/>
            <w:gridSpan w:val="2"/>
          </w:tcPr>
          <w:p>
            <w:pPr>
              <w:jc w:val="center"/>
              <w:spacing w:after="0"/>
              <w:rPr>
                <w:sz w:val="20"/>
                <w:szCs w:val="20"/>
                <w:color w:val="auto"/>
              </w:rPr>
            </w:pPr>
            <w:r>
              <w:rPr>
                <w:rFonts w:ascii="Arial" w:cs="Arial" w:eastAsia="Arial" w:hAnsi="Arial"/>
                <w:sz w:val="13"/>
                <w:szCs w:val="13"/>
                <w:color w:val="auto"/>
                <w:w w:val="99"/>
              </w:rPr>
              <w:t>(7,779,734)</w:t>
            </w:r>
          </w:p>
        </w:tc>
        <w:tc>
          <w:tcPr>
            <w:tcW w:w="1020" w:type="dxa"/>
            <w:vAlign w:val="bottom"/>
            <w:gridSpan w:val="2"/>
          </w:tcPr>
          <w:p>
            <w:pPr>
              <w:jc w:val="center"/>
              <w:spacing w:after="0"/>
              <w:rPr>
                <w:sz w:val="20"/>
                <w:szCs w:val="20"/>
                <w:color w:val="auto"/>
              </w:rPr>
            </w:pPr>
            <w:r>
              <w:rPr>
                <w:rFonts w:ascii="Arial" w:cs="Arial" w:eastAsia="Arial" w:hAnsi="Arial"/>
                <w:sz w:val="13"/>
                <w:szCs w:val="13"/>
                <w:color w:val="auto"/>
                <w:w w:val="96"/>
              </w:rPr>
              <w:t>2,857,977</w:t>
            </w:r>
          </w:p>
        </w:tc>
        <w:tc>
          <w:tcPr>
            <w:tcW w:w="920" w:type="dxa"/>
            <w:vAlign w:val="bottom"/>
          </w:tcPr>
          <w:p>
            <w:pPr>
              <w:jc w:val="right"/>
              <w:ind w:right="125"/>
              <w:spacing w:after="0"/>
              <w:rPr>
                <w:sz w:val="20"/>
                <w:szCs w:val="20"/>
                <w:color w:val="auto"/>
              </w:rPr>
            </w:pPr>
            <w:r>
              <w:rPr>
                <w:rFonts w:ascii="Arial" w:cs="Arial" w:eastAsia="Arial" w:hAnsi="Arial"/>
                <w:sz w:val="13"/>
                <w:szCs w:val="13"/>
                <w:color w:val="auto"/>
              </w:rPr>
              <w:t>1,524,556</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31</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125</w:t>
            </w:r>
          </w:p>
        </w:tc>
        <w:tc>
          <w:tcPr>
            <w:tcW w:w="860" w:type="dxa"/>
            <w:vAlign w:val="bottom"/>
          </w:tcPr>
          <w:p>
            <w:pPr>
              <w:jc w:val="right"/>
              <w:ind w:right="222"/>
              <w:spacing w:after="0"/>
              <w:rPr>
                <w:sz w:val="20"/>
                <w:szCs w:val="20"/>
                <w:color w:val="auto"/>
              </w:rPr>
            </w:pPr>
            <w:r>
              <w:rPr>
                <w:rFonts w:ascii="Arial" w:cs="Arial" w:eastAsia="Arial" w:hAnsi="Arial"/>
                <w:sz w:val="13"/>
                <w:szCs w:val="13"/>
                <w:color w:val="auto"/>
              </w:rPr>
              <w:t>(366)</w:t>
            </w:r>
          </w:p>
        </w:tc>
        <w:tc>
          <w:tcPr>
            <w:tcW w:w="660" w:type="dxa"/>
            <w:vAlign w:val="bottom"/>
          </w:tcPr>
          <w:p>
            <w:pPr>
              <w:jc w:val="center"/>
              <w:ind w:left="140"/>
              <w:spacing w:after="0"/>
              <w:rPr>
                <w:sz w:val="20"/>
                <w:szCs w:val="20"/>
                <w:color w:val="auto"/>
              </w:rPr>
            </w:pPr>
            <w:r>
              <w:rPr>
                <w:rFonts w:ascii="Arial" w:cs="Arial" w:eastAsia="Arial" w:hAnsi="Arial"/>
                <w:sz w:val="13"/>
                <w:szCs w:val="13"/>
                <w:color w:val="auto"/>
              </w:rPr>
              <w:t>824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840" w:type="dxa"/>
            <w:vAlign w:val="bottom"/>
            <w:tcBorders>
              <w:bottom w:val="single" w:sz="8" w:color="003595"/>
            </w:tcBorders>
          </w:tcPr>
          <w:p>
            <w:pPr>
              <w:spacing w:after="0"/>
              <w:rPr>
                <w:sz w:val="3"/>
                <w:szCs w:val="3"/>
                <w:color w:val="auto"/>
              </w:rPr>
            </w:pPr>
          </w:p>
        </w:tc>
        <w:tc>
          <w:tcPr>
            <w:tcW w:w="960" w:type="dxa"/>
            <w:vAlign w:val="bottom"/>
            <w:tcBorders>
              <w:bottom w:val="single" w:sz="8" w:color="003595"/>
            </w:tcBorders>
          </w:tcPr>
          <w:p>
            <w:pPr>
              <w:spacing w:after="0"/>
              <w:rPr>
                <w:sz w:val="3"/>
                <w:szCs w:val="3"/>
                <w:color w:val="auto"/>
              </w:rPr>
            </w:pPr>
          </w:p>
        </w:tc>
        <w:tc>
          <w:tcPr>
            <w:tcW w:w="80" w:type="dxa"/>
            <w:vAlign w:val="bottom"/>
            <w:tcBorders>
              <w:bottom w:val="single" w:sz="8" w:color="003595"/>
            </w:tcBorders>
          </w:tcPr>
          <w:p>
            <w:pPr>
              <w:spacing w:after="0"/>
              <w:rPr>
                <w:sz w:val="3"/>
                <w:szCs w:val="3"/>
                <w:color w:val="auto"/>
              </w:rPr>
            </w:pPr>
          </w:p>
        </w:tc>
        <w:tc>
          <w:tcPr>
            <w:tcW w:w="820" w:type="dxa"/>
            <w:vAlign w:val="bottom"/>
            <w:tcBorders>
              <w:bottom w:val="single" w:sz="8" w:color="003595"/>
            </w:tcBorders>
          </w:tcPr>
          <w:p>
            <w:pPr>
              <w:spacing w:after="0"/>
              <w:rPr>
                <w:sz w:val="3"/>
                <w:szCs w:val="3"/>
                <w:color w:val="auto"/>
              </w:rPr>
            </w:pPr>
          </w:p>
        </w:tc>
        <w:tc>
          <w:tcPr>
            <w:tcW w:w="200" w:type="dxa"/>
            <w:vAlign w:val="bottom"/>
            <w:tcBorders>
              <w:bottom w:val="single" w:sz="8" w:color="003595"/>
            </w:tcBorders>
          </w:tcPr>
          <w:p>
            <w:pPr>
              <w:spacing w:after="0"/>
              <w:rPr>
                <w:sz w:val="3"/>
                <w:szCs w:val="3"/>
                <w:color w:val="auto"/>
              </w:rPr>
            </w:pPr>
          </w:p>
        </w:tc>
        <w:tc>
          <w:tcPr>
            <w:tcW w:w="1040" w:type="dxa"/>
            <w:vAlign w:val="bottom"/>
            <w:tcBorders>
              <w:bottom w:val="single" w:sz="8" w:color="003595"/>
            </w:tcBorders>
            <w:gridSpan w:val="2"/>
          </w:tcPr>
          <w:p>
            <w:pPr>
              <w:spacing w:after="0"/>
              <w:rPr>
                <w:sz w:val="3"/>
                <w:szCs w:val="3"/>
                <w:color w:val="auto"/>
              </w:rPr>
            </w:pPr>
          </w:p>
        </w:tc>
        <w:tc>
          <w:tcPr>
            <w:tcW w:w="74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1020" w:type="dxa"/>
            <w:vAlign w:val="bottom"/>
            <w:tcBorders>
              <w:bottom w:val="single" w:sz="8" w:color="003595"/>
            </w:tcBorders>
            <w:gridSpan w:val="2"/>
          </w:tcPr>
          <w:p>
            <w:pPr>
              <w:spacing w:after="0"/>
              <w:rPr>
                <w:sz w:val="3"/>
                <w:szCs w:val="3"/>
                <w:color w:val="auto"/>
              </w:rPr>
            </w:pPr>
          </w:p>
        </w:tc>
        <w:tc>
          <w:tcPr>
            <w:tcW w:w="920" w:type="dxa"/>
            <w:vAlign w:val="bottom"/>
            <w:tcBorders>
              <w:bottom w:val="single" w:sz="8" w:color="003595"/>
            </w:tcBorders>
          </w:tcPr>
          <w:p>
            <w:pPr>
              <w:spacing w:after="0"/>
              <w:rPr>
                <w:sz w:val="3"/>
                <w:szCs w:val="3"/>
                <w:color w:val="auto"/>
              </w:rPr>
            </w:pPr>
          </w:p>
        </w:tc>
        <w:tc>
          <w:tcPr>
            <w:tcW w:w="860" w:type="dxa"/>
            <w:vAlign w:val="bottom"/>
            <w:tcBorders>
              <w:bottom w:val="single" w:sz="8" w:color="003595"/>
            </w:tcBorders>
          </w:tcPr>
          <w:p>
            <w:pPr>
              <w:spacing w:after="0"/>
              <w:rPr>
                <w:sz w:val="3"/>
                <w:szCs w:val="3"/>
                <w:color w:val="auto"/>
              </w:rPr>
            </w:pPr>
          </w:p>
        </w:tc>
        <w:tc>
          <w:tcPr>
            <w:tcW w:w="880" w:type="dxa"/>
            <w:vAlign w:val="bottom"/>
            <w:tcBorders>
              <w:bottom w:val="single" w:sz="8" w:color="003595"/>
            </w:tcBorders>
          </w:tcPr>
          <w:p>
            <w:pPr>
              <w:spacing w:after="0"/>
              <w:rPr>
                <w:sz w:val="3"/>
                <w:szCs w:val="3"/>
                <w:color w:val="auto"/>
              </w:rPr>
            </w:pPr>
          </w:p>
        </w:tc>
        <w:tc>
          <w:tcPr>
            <w:tcW w:w="860" w:type="dxa"/>
            <w:vAlign w:val="bottom"/>
            <w:tcBorders>
              <w:bottom w:val="single" w:sz="8" w:color="003595"/>
            </w:tcBorders>
          </w:tcPr>
          <w:p>
            <w:pPr>
              <w:spacing w:after="0"/>
              <w:rPr>
                <w:sz w:val="3"/>
                <w:szCs w:val="3"/>
                <w:color w:val="auto"/>
              </w:rPr>
            </w:pPr>
          </w:p>
        </w:tc>
        <w:tc>
          <w:tcPr>
            <w:tcW w:w="660" w:type="dxa"/>
            <w:vAlign w:val="bottom"/>
            <w:tcBorders>
              <w:bottom w:val="single" w:sz="8" w:color="003595"/>
            </w:tcBorders>
          </w:tcPr>
          <w:p>
            <w:pPr>
              <w:spacing w:after="0"/>
              <w:rPr>
                <w:sz w:val="3"/>
                <w:szCs w:val="3"/>
                <w:color w:val="auto"/>
              </w:rPr>
            </w:pPr>
          </w:p>
        </w:tc>
        <w:tc>
          <w:tcPr>
            <w:tcW w:w="200" w:type="dxa"/>
            <w:vAlign w:val="bottom"/>
            <w:tcBorders>
              <w:bottom w:val="single" w:sz="8" w:color="003595"/>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960" w:type="dxa"/>
            <w:vAlign w:val="bottom"/>
          </w:tcPr>
          <w:p>
            <w:pPr>
              <w:jc w:val="right"/>
              <w:ind w:right="62"/>
              <w:spacing w:after="0"/>
              <w:rPr>
                <w:sz w:val="20"/>
                <w:szCs w:val="20"/>
                <w:color w:val="auto"/>
              </w:rPr>
            </w:pPr>
            <w:r>
              <w:rPr>
                <w:rFonts w:ascii="Arial" w:cs="Arial" w:eastAsia="Arial" w:hAnsi="Arial"/>
                <w:sz w:val="13"/>
                <w:szCs w:val="13"/>
                <w:color w:val="auto"/>
              </w:rPr>
              <w:t>13,630,599</w:t>
            </w:r>
          </w:p>
        </w:tc>
        <w:tc>
          <w:tcPr>
            <w:tcW w:w="80" w:type="dxa"/>
            <w:vAlign w:val="bottom"/>
          </w:tcPr>
          <w:p>
            <w:pPr>
              <w:spacing w:after="0"/>
              <w:rPr>
                <w:sz w:val="15"/>
                <w:szCs w:val="15"/>
                <w:color w:val="auto"/>
              </w:rPr>
            </w:pPr>
          </w:p>
        </w:tc>
        <w:tc>
          <w:tcPr>
            <w:tcW w:w="820" w:type="dxa"/>
            <w:vAlign w:val="bottom"/>
          </w:tcPr>
          <w:p>
            <w:pPr>
              <w:jc w:val="center"/>
              <w:ind w:left="143"/>
              <w:spacing w:after="0"/>
              <w:rPr>
                <w:sz w:val="20"/>
                <w:szCs w:val="20"/>
                <w:color w:val="auto"/>
              </w:rPr>
            </w:pPr>
            <w:r>
              <w:rPr>
                <w:rFonts w:ascii="Arial" w:cs="Arial" w:eastAsia="Arial" w:hAnsi="Arial"/>
                <w:sz w:val="13"/>
                <w:szCs w:val="13"/>
                <w:color w:val="808080"/>
              </w:rPr>
              <w:t>—</w:t>
            </w:r>
          </w:p>
        </w:tc>
        <w:tc>
          <w:tcPr>
            <w:tcW w:w="2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color w:val="auto"/>
                <w:w w:val="96"/>
              </w:rPr>
              <w:t>7,211,120</w:t>
            </w:r>
          </w:p>
        </w:tc>
        <w:tc>
          <w:tcPr>
            <w:tcW w:w="740" w:type="dxa"/>
            <w:vAlign w:val="bottom"/>
          </w:tcPr>
          <w:p>
            <w:pPr>
              <w:jc w:val="center"/>
              <w:ind w:left="182"/>
              <w:spacing w:after="0"/>
              <w:rPr>
                <w:sz w:val="20"/>
                <w:szCs w:val="20"/>
                <w:color w:val="auto"/>
              </w:rPr>
            </w:pPr>
            <w:r>
              <w:rPr>
                <w:rFonts w:ascii="Arial" w:cs="Arial" w:eastAsia="Arial" w:hAnsi="Arial"/>
                <w:sz w:val="13"/>
                <w:szCs w:val="13"/>
                <w:color w:val="808080"/>
              </w:rPr>
              <w:t>—</w:t>
            </w:r>
          </w:p>
        </w:tc>
        <w:tc>
          <w:tcPr>
            <w:tcW w:w="2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color w:val="auto"/>
                <w:w w:val="96"/>
              </w:rPr>
              <w:t>3,476,089</w:t>
            </w:r>
          </w:p>
        </w:tc>
        <w:tc>
          <w:tcPr>
            <w:tcW w:w="920" w:type="dxa"/>
            <w:vAlign w:val="bottom"/>
          </w:tcPr>
          <w:p>
            <w:pPr>
              <w:jc w:val="right"/>
              <w:ind w:right="125"/>
              <w:spacing w:after="0"/>
              <w:rPr>
                <w:sz w:val="20"/>
                <w:szCs w:val="20"/>
                <w:color w:val="auto"/>
              </w:rPr>
            </w:pPr>
            <w:r>
              <w:rPr>
                <w:rFonts w:ascii="Arial" w:cs="Arial" w:eastAsia="Arial" w:hAnsi="Arial"/>
                <w:sz w:val="13"/>
                <w:szCs w:val="13"/>
                <w:color w:val="auto"/>
              </w:rPr>
              <w:t>2,138,230</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69</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93</w:t>
            </w:r>
          </w:p>
        </w:tc>
        <w:tc>
          <w:tcPr>
            <w:tcW w:w="860" w:type="dxa"/>
            <w:vAlign w:val="bottom"/>
          </w:tcPr>
          <w:p>
            <w:pPr>
              <w:jc w:val="right"/>
              <w:ind w:right="222"/>
              <w:spacing w:after="0"/>
              <w:rPr>
                <w:sz w:val="20"/>
                <w:szCs w:val="20"/>
                <w:color w:val="auto"/>
              </w:rPr>
            </w:pPr>
            <w:r>
              <w:rPr>
                <w:rFonts w:ascii="Arial" w:cs="Arial" w:eastAsia="Arial" w:hAnsi="Arial"/>
                <w:sz w:val="13"/>
                <w:szCs w:val="13"/>
                <w:color w:val="auto"/>
              </w:rPr>
              <w:t>(127)</w:t>
            </w:r>
          </w:p>
        </w:tc>
        <w:tc>
          <w:tcPr>
            <w:tcW w:w="660" w:type="dxa"/>
            <w:vAlign w:val="bottom"/>
          </w:tcPr>
          <w:p>
            <w:pPr>
              <w:jc w:val="center"/>
              <w:ind w:left="140"/>
              <w:spacing w:after="0"/>
              <w:rPr>
                <w:sz w:val="20"/>
                <w:szCs w:val="20"/>
                <w:color w:val="auto"/>
              </w:rPr>
            </w:pPr>
            <w:r>
              <w:rPr>
                <w:rFonts w:ascii="Arial" w:cs="Arial" w:eastAsia="Arial" w:hAnsi="Arial"/>
                <w:sz w:val="13"/>
                <w:szCs w:val="13"/>
                <w:color w:val="auto"/>
              </w:rPr>
              <w:t>838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840" w:type="dxa"/>
            <w:vAlign w:val="bottom"/>
            <w:tcBorders>
              <w:bottom w:val="single" w:sz="8" w:color="003595"/>
            </w:tcBorders>
          </w:tcPr>
          <w:p>
            <w:pPr>
              <w:spacing w:after="0"/>
              <w:rPr>
                <w:sz w:val="3"/>
                <w:szCs w:val="3"/>
                <w:color w:val="auto"/>
              </w:rPr>
            </w:pPr>
          </w:p>
        </w:tc>
        <w:tc>
          <w:tcPr>
            <w:tcW w:w="960" w:type="dxa"/>
            <w:vAlign w:val="bottom"/>
            <w:tcBorders>
              <w:bottom w:val="single" w:sz="8" w:color="003595"/>
            </w:tcBorders>
          </w:tcPr>
          <w:p>
            <w:pPr>
              <w:spacing w:after="0"/>
              <w:rPr>
                <w:sz w:val="3"/>
                <w:szCs w:val="3"/>
                <w:color w:val="auto"/>
              </w:rPr>
            </w:pPr>
          </w:p>
        </w:tc>
        <w:tc>
          <w:tcPr>
            <w:tcW w:w="80" w:type="dxa"/>
            <w:vAlign w:val="bottom"/>
            <w:tcBorders>
              <w:bottom w:val="single" w:sz="8" w:color="003595"/>
            </w:tcBorders>
          </w:tcPr>
          <w:p>
            <w:pPr>
              <w:spacing w:after="0"/>
              <w:rPr>
                <w:sz w:val="3"/>
                <w:szCs w:val="3"/>
                <w:color w:val="auto"/>
              </w:rPr>
            </w:pPr>
          </w:p>
        </w:tc>
        <w:tc>
          <w:tcPr>
            <w:tcW w:w="820" w:type="dxa"/>
            <w:vAlign w:val="bottom"/>
            <w:tcBorders>
              <w:bottom w:val="single" w:sz="8" w:color="003595"/>
            </w:tcBorders>
          </w:tcPr>
          <w:p>
            <w:pPr>
              <w:spacing w:after="0"/>
              <w:rPr>
                <w:sz w:val="3"/>
                <w:szCs w:val="3"/>
                <w:color w:val="auto"/>
              </w:rPr>
            </w:pPr>
          </w:p>
        </w:tc>
        <w:tc>
          <w:tcPr>
            <w:tcW w:w="200" w:type="dxa"/>
            <w:vAlign w:val="bottom"/>
            <w:tcBorders>
              <w:bottom w:val="single" w:sz="8" w:color="003595"/>
            </w:tcBorders>
          </w:tcPr>
          <w:p>
            <w:pPr>
              <w:spacing w:after="0"/>
              <w:rPr>
                <w:sz w:val="3"/>
                <w:szCs w:val="3"/>
                <w:color w:val="auto"/>
              </w:rPr>
            </w:pPr>
          </w:p>
        </w:tc>
        <w:tc>
          <w:tcPr>
            <w:tcW w:w="1040" w:type="dxa"/>
            <w:vAlign w:val="bottom"/>
            <w:tcBorders>
              <w:bottom w:val="single" w:sz="8" w:color="003595"/>
            </w:tcBorders>
            <w:gridSpan w:val="2"/>
          </w:tcPr>
          <w:p>
            <w:pPr>
              <w:spacing w:after="0"/>
              <w:rPr>
                <w:sz w:val="3"/>
                <w:szCs w:val="3"/>
                <w:color w:val="auto"/>
              </w:rPr>
            </w:pPr>
          </w:p>
        </w:tc>
        <w:tc>
          <w:tcPr>
            <w:tcW w:w="74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1020" w:type="dxa"/>
            <w:vAlign w:val="bottom"/>
            <w:tcBorders>
              <w:bottom w:val="single" w:sz="8" w:color="003595"/>
            </w:tcBorders>
            <w:gridSpan w:val="2"/>
          </w:tcPr>
          <w:p>
            <w:pPr>
              <w:spacing w:after="0"/>
              <w:rPr>
                <w:sz w:val="3"/>
                <w:szCs w:val="3"/>
                <w:color w:val="auto"/>
              </w:rPr>
            </w:pPr>
          </w:p>
        </w:tc>
        <w:tc>
          <w:tcPr>
            <w:tcW w:w="920" w:type="dxa"/>
            <w:vAlign w:val="bottom"/>
            <w:tcBorders>
              <w:bottom w:val="single" w:sz="8" w:color="003595"/>
            </w:tcBorders>
          </w:tcPr>
          <w:p>
            <w:pPr>
              <w:spacing w:after="0"/>
              <w:rPr>
                <w:sz w:val="3"/>
                <w:szCs w:val="3"/>
                <w:color w:val="auto"/>
              </w:rPr>
            </w:pPr>
          </w:p>
        </w:tc>
        <w:tc>
          <w:tcPr>
            <w:tcW w:w="860" w:type="dxa"/>
            <w:vAlign w:val="bottom"/>
            <w:tcBorders>
              <w:bottom w:val="single" w:sz="8" w:color="003595"/>
            </w:tcBorders>
          </w:tcPr>
          <w:p>
            <w:pPr>
              <w:spacing w:after="0"/>
              <w:rPr>
                <w:sz w:val="3"/>
                <w:szCs w:val="3"/>
                <w:color w:val="auto"/>
              </w:rPr>
            </w:pPr>
          </w:p>
        </w:tc>
        <w:tc>
          <w:tcPr>
            <w:tcW w:w="880" w:type="dxa"/>
            <w:vAlign w:val="bottom"/>
            <w:tcBorders>
              <w:bottom w:val="single" w:sz="8" w:color="003595"/>
            </w:tcBorders>
          </w:tcPr>
          <w:p>
            <w:pPr>
              <w:spacing w:after="0"/>
              <w:rPr>
                <w:sz w:val="3"/>
                <w:szCs w:val="3"/>
                <w:color w:val="auto"/>
              </w:rPr>
            </w:pPr>
          </w:p>
        </w:tc>
        <w:tc>
          <w:tcPr>
            <w:tcW w:w="860" w:type="dxa"/>
            <w:vAlign w:val="bottom"/>
            <w:tcBorders>
              <w:bottom w:val="single" w:sz="8" w:color="003595"/>
            </w:tcBorders>
          </w:tcPr>
          <w:p>
            <w:pPr>
              <w:spacing w:after="0"/>
              <w:rPr>
                <w:sz w:val="3"/>
                <w:szCs w:val="3"/>
                <w:color w:val="auto"/>
              </w:rPr>
            </w:pPr>
          </w:p>
        </w:tc>
        <w:tc>
          <w:tcPr>
            <w:tcW w:w="660" w:type="dxa"/>
            <w:vAlign w:val="bottom"/>
            <w:tcBorders>
              <w:bottom w:val="single" w:sz="8" w:color="003595"/>
            </w:tcBorders>
          </w:tcPr>
          <w:p>
            <w:pPr>
              <w:spacing w:after="0"/>
              <w:rPr>
                <w:sz w:val="3"/>
                <w:szCs w:val="3"/>
                <w:color w:val="auto"/>
              </w:rPr>
            </w:pPr>
          </w:p>
        </w:tc>
        <w:tc>
          <w:tcPr>
            <w:tcW w:w="200" w:type="dxa"/>
            <w:vAlign w:val="bottom"/>
            <w:tcBorders>
              <w:bottom w:val="single" w:sz="8" w:color="003595"/>
            </w:tcBorders>
          </w:tcPr>
          <w:p>
            <w:pPr>
              <w:spacing w:after="0"/>
              <w:rPr>
                <w:sz w:val="3"/>
                <w:szCs w:val="3"/>
                <w:color w:val="auto"/>
              </w:rPr>
            </w:pPr>
          </w:p>
        </w:tc>
        <w:tc>
          <w:tcPr>
            <w:tcW w:w="20" w:type="dxa"/>
            <w:vAlign w:val="bottom"/>
            <w:tcBorders>
              <w:bottom w:val="single" w:sz="8" w:color="003595"/>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960" w:type="dxa"/>
            <w:vAlign w:val="bottom"/>
          </w:tcPr>
          <w:p>
            <w:pPr>
              <w:jc w:val="right"/>
              <w:ind w:right="62"/>
              <w:spacing w:after="0"/>
              <w:rPr>
                <w:sz w:val="20"/>
                <w:szCs w:val="20"/>
                <w:color w:val="auto"/>
              </w:rPr>
            </w:pPr>
            <w:r>
              <w:rPr>
                <w:rFonts w:ascii="Arial" w:cs="Arial" w:eastAsia="Arial" w:hAnsi="Arial"/>
                <w:sz w:val="13"/>
                <w:szCs w:val="13"/>
                <w:color w:val="auto"/>
              </w:rPr>
              <w:t>12,108,359</w:t>
            </w:r>
          </w:p>
        </w:tc>
        <w:tc>
          <w:tcPr>
            <w:tcW w:w="80" w:type="dxa"/>
            <w:vAlign w:val="bottom"/>
          </w:tcPr>
          <w:p>
            <w:pPr>
              <w:spacing w:after="0"/>
              <w:rPr>
                <w:sz w:val="15"/>
                <w:szCs w:val="15"/>
                <w:color w:val="auto"/>
              </w:rPr>
            </w:pPr>
          </w:p>
        </w:tc>
        <w:tc>
          <w:tcPr>
            <w:tcW w:w="820" w:type="dxa"/>
            <w:vAlign w:val="bottom"/>
          </w:tcPr>
          <w:p>
            <w:pPr>
              <w:jc w:val="center"/>
              <w:ind w:left="163"/>
              <w:spacing w:after="0"/>
              <w:rPr>
                <w:sz w:val="20"/>
                <w:szCs w:val="20"/>
                <w:color w:val="auto"/>
              </w:rPr>
            </w:pPr>
            <w:r>
              <w:rPr>
                <w:rFonts w:ascii="Arial" w:cs="Arial" w:eastAsia="Arial" w:hAnsi="Arial"/>
                <w:sz w:val="13"/>
                <w:szCs w:val="13"/>
                <w:color w:val="808080"/>
                <w:w w:val="91"/>
              </w:rPr>
              <w:t>—</w:t>
            </w:r>
          </w:p>
        </w:tc>
        <w:tc>
          <w:tcPr>
            <w:tcW w:w="2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color w:val="auto"/>
                <w:w w:val="98"/>
              </w:rPr>
              <w:t>14,201,749</w:t>
            </w:r>
          </w:p>
        </w:tc>
        <w:tc>
          <w:tcPr>
            <w:tcW w:w="740" w:type="dxa"/>
            <w:vAlign w:val="bottom"/>
          </w:tcPr>
          <w:p>
            <w:pPr>
              <w:jc w:val="center"/>
              <w:ind w:left="202"/>
              <w:spacing w:after="0"/>
              <w:rPr>
                <w:sz w:val="20"/>
                <w:szCs w:val="20"/>
                <w:color w:val="auto"/>
              </w:rPr>
            </w:pPr>
            <w:r>
              <w:rPr>
                <w:rFonts w:ascii="Arial" w:cs="Arial" w:eastAsia="Arial" w:hAnsi="Arial"/>
                <w:sz w:val="13"/>
                <w:szCs w:val="13"/>
                <w:color w:val="808080"/>
                <w:w w:val="91"/>
              </w:rPr>
              <w:t>—</w:t>
            </w:r>
          </w:p>
        </w:tc>
        <w:tc>
          <w:tcPr>
            <w:tcW w:w="2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color w:val="auto"/>
                <w:w w:val="96"/>
              </w:rPr>
              <w:t>4,135,846</w:t>
            </w:r>
          </w:p>
        </w:tc>
        <w:tc>
          <w:tcPr>
            <w:tcW w:w="920" w:type="dxa"/>
            <w:vAlign w:val="bottom"/>
          </w:tcPr>
          <w:p>
            <w:pPr>
              <w:jc w:val="right"/>
              <w:ind w:right="125"/>
              <w:spacing w:after="0"/>
              <w:rPr>
                <w:sz w:val="20"/>
                <w:szCs w:val="20"/>
                <w:color w:val="auto"/>
              </w:rPr>
            </w:pPr>
            <w:r>
              <w:rPr>
                <w:rFonts w:ascii="Arial" w:cs="Arial" w:eastAsia="Arial" w:hAnsi="Arial"/>
                <w:sz w:val="13"/>
                <w:szCs w:val="13"/>
                <w:color w:val="auto"/>
              </w:rPr>
              <w:t>3,194,672</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97</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94</w:t>
            </w:r>
          </w:p>
        </w:tc>
        <w:tc>
          <w:tcPr>
            <w:tcW w:w="860" w:type="dxa"/>
            <w:vAlign w:val="bottom"/>
          </w:tcPr>
          <w:p>
            <w:pPr>
              <w:jc w:val="right"/>
              <w:ind w:right="222"/>
              <w:spacing w:after="0"/>
              <w:rPr>
                <w:sz w:val="20"/>
                <w:szCs w:val="20"/>
                <w:color w:val="auto"/>
              </w:rPr>
            </w:pPr>
            <w:r>
              <w:rPr>
                <w:rFonts w:ascii="Arial" w:cs="Arial" w:eastAsia="Arial" w:hAnsi="Arial"/>
                <w:sz w:val="13"/>
                <w:szCs w:val="13"/>
                <w:color w:val="auto"/>
              </w:rPr>
              <w:t>(263)</w:t>
            </w:r>
          </w:p>
        </w:tc>
        <w:tc>
          <w:tcPr>
            <w:tcW w:w="660" w:type="dxa"/>
            <w:vAlign w:val="bottom"/>
          </w:tcPr>
          <w:p>
            <w:pPr>
              <w:jc w:val="center"/>
              <w:ind w:left="160"/>
              <w:spacing w:after="0"/>
              <w:rPr>
                <w:sz w:val="20"/>
                <w:szCs w:val="20"/>
                <w:color w:val="auto"/>
              </w:rPr>
            </w:pPr>
            <w:r>
              <w:rPr>
                <w:rFonts w:ascii="Arial" w:cs="Arial" w:eastAsia="Arial" w:hAnsi="Arial"/>
                <w:sz w:val="13"/>
                <w:szCs w:val="13"/>
                <w:color w:val="auto"/>
                <w:w w:val="92"/>
              </w:rPr>
              <w:t>753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840" w:type="dxa"/>
            <w:vAlign w:val="bottom"/>
            <w:tcBorders>
              <w:bottom w:val="single" w:sz="8" w:color="003595"/>
            </w:tcBorders>
          </w:tcPr>
          <w:p>
            <w:pPr>
              <w:spacing w:after="0"/>
              <w:rPr>
                <w:sz w:val="3"/>
                <w:szCs w:val="3"/>
                <w:color w:val="auto"/>
              </w:rPr>
            </w:pPr>
          </w:p>
        </w:tc>
        <w:tc>
          <w:tcPr>
            <w:tcW w:w="960" w:type="dxa"/>
            <w:vAlign w:val="bottom"/>
            <w:tcBorders>
              <w:bottom w:val="single" w:sz="8" w:color="003595"/>
            </w:tcBorders>
          </w:tcPr>
          <w:p>
            <w:pPr>
              <w:spacing w:after="0"/>
              <w:rPr>
                <w:sz w:val="3"/>
                <w:szCs w:val="3"/>
                <w:color w:val="auto"/>
              </w:rPr>
            </w:pPr>
          </w:p>
        </w:tc>
        <w:tc>
          <w:tcPr>
            <w:tcW w:w="80" w:type="dxa"/>
            <w:vAlign w:val="bottom"/>
            <w:tcBorders>
              <w:bottom w:val="single" w:sz="8" w:color="003595"/>
            </w:tcBorders>
          </w:tcPr>
          <w:p>
            <w:pPr>
              <w:spacing w:after="0"/>
              <w:rPr>
                <w:sz w:val="3"/>
                <w:szCs w:val="3"/>
                <w:color w:val="auto"/>
              </w:rPr>
            </w:pPr>
          </w:p>
        </w:tc>
        <w:tc>
          <w:tcPr>
            <w:tcW w:w="820" w:type="dxa"/>
            <w:vAlign w:val="bottom"/>
            <w:tcBorders>
              <w:bottom w:val="single" w:sz="8" w:color="003595"/>
            </w:tcBorders>
          </w:tcPr>
          <w:p>
            <w:pPr>
              <w:spacing w:after="0"/>
              <w:rPr>
                <w:sz w:val="3"/>
                <w:szCs w:val="3"/>
                <w:color w:val="auto"/>
              </w:rPr>
            </w:pPr>
          </w:p>
        </w:tc>
        <w:tc>
          <w:tcPr>
            <w:tcW w:w="200" w:type="dxa"/>
            <w:vAlign w:val="bottom"/>
            <w:tcBorders>
              <w:bottom w:val="single" w:sz="8" w:color="003595"/>
            </w:tcBorders>
          </w:tcPr>
          <w:p>
            <w:pPr>
              <w:spacing w:after="0"/>
              <w:rPr>
                <w:sz w:val="3"/>
                <w:szCs w:val="3"/>
                <w:color w:val="auto"/>
              </w:rPr>
            </w:pPr>
          </w:p>
        </w:tc>
        <w:tc>
          <w:tcPr>
            <w:tcW w:w="1040" w:type="dxa"/>
            <w:vAlign w:val="bottom"/>
            <w:tcBorders>
              <w:bottom w:val="single" w:sz="8" w:color="003595"/>
            </w:tcBorders>
            <w:gridSpan w:val="2"/>
          </w:tcPr>
          <w:p>
            <w:pPr>
              <w:spacing w:after="0"/>
              <w:rPr>
                <w:sz w:val="3"/>
                <w:szCs w:val="3"/>
                <w:color w:val="auto"/>
              </w:rPr>
            </w:pPr>
          </w:p>
        </w:tc>
        <w:tc>
          <w:tcPr>
            <w:tcW w:w="74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1020" w:type="dxa"/>
            <w:vAlign w:val="bottom"/>
            <w:tcBorders>
              <w:bottom w:val="single" w:sz="8" w:color="003595"/>
            </w:tcBorders>
            <w:gridSpan w:val="2"/>
          </w:tcPr>
          <w:p>
            <w:pPr>
              <w:spacing w:after="0"/>
              <w:rPr>
                <w:sz w:val="3"/>
                <w:szCs w:val="3"/>
                <w:color w:val="auto"/>
              </w:rPr>
            </w:pPr>
          </w:p>
        </w:tc>
        <w:tc>
          <w:tcPr>
            <w:tcW w:w="920" w:type="dxa"/>
            <w:vAlign w:val="bottom"/>
            <w:tcBorders>
              <w:bottom w:val="single" w:sz="8" w:color="003595"/>
            </w:tcBorders>
          </w:tcPr>
          <w:p>
            <w:pPr>
              <w:spacing w:after="0"/>
              <w:rPr>
                <w:sz w:val="3"/>
                <w:szCs w:val="3"/>
                <w:color w:val="auto"/>
              </w:rPr>
            </w:pPr>
          </w:p>
        </w:tc>
        <w:tc>
          <w:tcPr>
            <w:tcW w:w="860" w:type="dxa"/>
            <w:vAlign w:val="bottom"/>
            <w:tcBorders>
              <w:bottom w:val="single" w:sz="8" w:color="003595"/>
            </w:tcBorders>
          </w:tcPr>
          <w:p>
            <w:pPr>
              <w:spacing w:after="0"/>
              <w:rPr>
                <w:sz w:val="3"/>
                <w:szCs w:val="3"/>
                <w:color w:val="auto"/>
              </w:rPr>
            </w:pPr>
          </w:p>
        </w:tc>
        <w:tc>
          <w:tcPr>
            <w:tcW w:w="880" w:type="dxa"/>
            <w:vAlign w:val="bottom"/>
            <w:tcBorders>
              <w:bottom w:val="single" w:sz="8" w:color="003595"/>
            </w:tcBorders>
          </w:tcPr>
          <w:p>
            <w:pPr>
              <w:spacing w:after="0"/>
              <w:rPr>
                <w:sz w:val="3"/>
                <w:szCs w:val="3"/>
                <w:color w:val="auto"/>
              </w:rPr>
            </w:pPr>
          </w:p>
        </w:tc>
        <w:tc>
          <w:tcPr>
            <w:tcW w:w="860" w:type="dxa"/>
            <w:vAlign w:val="bottom"/>
            <w:tcBorders>
              <w:bottom w:val="single" w:sz="8" w:color="003595"/>
            </w:tcBorders>
          </w:tcPr>
          <w:p>
            <w:pPr>
              <w:spacing w:after="0"/>
              <w:rPr>
                <w:sz w:val="3"/>
                <w:szCs w:val="3"/>
                <w:color w:val="auto"/>
              </w:rPr>
            </w:pPr>
          </w:p>
        </w:tc>
        <w:tc>
          <w:tcPr>
            <w:tcW w:w="660" w:type="dxa"/>
            <w:vAlign w:val="bottom"/>
            <w:tcBorders>
              <w:bottom w:val="single" w:sz="8" w:color="003595"/>
            </w:tcBorders>
          </w:tcPr>
          <w:p>
            <w:pPr>
              <w:spacing w:after="0"/>
              <w:rPr>
                <w:sz w:val="3"/>
                <w:szCs w:val="3"/>
                <w:color w:val="auto"/>
              </w:rPr>
            </w:pPr>
          </w:p>
        </w:tc>
        <w:tc>
          <w:tcPr>
            <w:tcW w:w="200" w:type="dxa"/>
            <w:vAlign w:val="bottom"/>
            <w:tcBorders>
              <w:bottom w:val="single" w:sz="8" w:color="003595"/>
            </w:tcBorders>
          </w:tcPr>
          <w:p>
            <w:pPr>
              <w:spacing w:after="0"/>
              <w:rPr>
                <w:sz w:val="3"/>
                <w:szCs w:val="3"/>
                <w:color w:val="auto"/>
              </w:rPr>
            </w:pPr>
          </w:p>
        </w:tc>
        <w:tc>
          <w:tcPr>
            <w:tcW w:w="20" w:type="dxa"/>
            <w:vAlign w:val="bottom"/>
            <w:tcBorders>
              <w:bottom w:val="single" w:sz="8" w:color="003595"/>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960" w:type="dxa"/>
            <w:vAlign w:val="bottom"/>
          </w:tcPr>
          <w:p>
            <w:pPr>
              <w:jc w:val="right"/>
              <w:ind w:right="62"/>
              <w:spacing w:after="0"/>
              <w:rPr>
                <w:sz w:val="20"/>
                <w:szCs w:val="20"/>
                <w:color w:val="auto"/>
              </w:rPr>
            </w:pPr>
            <w:r>
              <w:rPr>
                <w:rFonts w:ascii="Arial" w:cs="Arial" w:eastAsia="Arial" w:hAnsi="Arial"/>
                <w:sz w:val="13"/>
                <w:szCs w:val="13"/>
                <w:color w:val="auto"/>
              </w:rPr>
              <w:t>11,391,188</w:t>
            </w:r>
          </w:p>
        </w:tc>
        <w:tc>
          <w:tcPr>
            <w:tcW w:w="80" w:type="dxa"/>
            <w:vAlign w:val="bottom"/>
          </w:tcPr>
          <w:p>
            <w:pPr>
              <w:spacing w:after="0"/>
              <w:rPr>
                <w:sz w:val="15"/>
                <w:szCs w:val="15"/>
                <w:color w:val="auto"/>
              </w:rPr>
            </w:pPr>
          </w:p>
        </w:tc>
        <w:tc>
          <w:tcPr>
            <w:tcW w:w="820" w:type="dxa"/>
            <w:vAlign w:val="bottom"/>
          </w:tcPr>
          <w:p>
            <w:pPr>
              <w:jc w:val="center"/>
              <w:ind w:left="163"/>
              <w:spacing w:after="0"/>
              <w:rPr>
                <w:sz w:val="20"/>
                <w:szCs w:val="20"/>
                <w:color w:val="auto"/>
              </w:rPr>
            </w:pPr>
            <w:r>
              <w:rPr>
                <w:rFonts w:ascii="Arial" w:cs="Arial" w:eastAsia="Arial" w:hAnsi="Arial"/>
                <w:sz w:val="13"/>
                <w:szCs w:val="13"/>
                <w:color w:val="808080"/>
                <w:w w:val="91"/>
              </w:rPr>
              <w:t>—</w:t>
            </w:r>
          </w:p>
        </w:tc>
        <w:tc>
          <w:tcPr>
            <w:tcW w:w="2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color w:val="auto"/>
                <w:w w:val="96"/>
              </w:rPr>
              <w:t>(4,479,782)</w:t>
            </w:r>
          </w:p>
        </w:tc>
        <w:tc>
          <w:tcPr>
            <w:tcW w:w="740" w:type="dxa"/>
            <w:vAlign w:val="bottom"/>
          </w:tcPr>
          <w:p>
            <w:pPr>
              <w:jc w:val="center"/>
              <w:ind w:left="202"/>
              <w:spacing w:after="0"/>
              <w:rPr>
                <w:sz w:val="20"/>
                <w:szCs w:val="20"/>
                <w:color w:val="auto"/>
              </w:rPr>
            </w:pPr>
            <w:r>
              <w:rPr>
                <w:rFonts w:ascii="Arial" w:cs="Arial" w:eastAsia="Arial" w:hAnsi="Arial"/>
                <w:sz w:val="13"/>
                <w:szCs w:val="13"/>
                <w:color w:val="808080"/>
                <w:w w:val="91"/>
              </w:rPr>
              <w:t>—</w:t>
            </w:r>
          </w:p>
        </w:tc>
        <w:tc>
          <w:tcPr>
            <w:tcW w:w="2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color w:val="auto"/>
                <w:w w:val="96"/>
              </w:rPr>
              <w:t>2,665,450</w:t>
            </w:r>
          </w:p>
        </w:tc>
        <w:tc>
          <w:tcPr>
            <w:tcW w:w="920" w:type="dxa"/>
            <w:vAlign w:val="bottom"/>
          </w:tcPr>
          <w:p>
            <w:pPr>
              <w:jc w:val="right"/>
              <w:ind w:right="125"/>
              <w:spacing w:after="0"/>
              <w:rPr>
                <w:sz w:val="20"/>
                <w:szCs w:val="20"/>
                <w:color w:val="auto"/>
              </w:rPr>
            </w:pPr>
            <w:r>
              <w:rPr>
                <w:rFonts w:ascii="Arial" w:cs="Arial" w:eastAsia="Arial" w:hAnsi="Arial"/>
                <w:sz w:val="13"/>
                <w:szCs w:val="13"/>
                <w:color w:val="auto"/>
              </w:rPr>
              <w:t>(161,281)</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73</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90</w:t>
            </w:r>
          </w:p>
        </w:tc>
        <w:tc>
          <w:tcPr>
            <w:tcW w:w="860" w:type="dxa"/>
            <w:vAlign w:val="bottom"/>
          </w:tcPr>
          <w:p>
            <w:pPr>
              <w:jc w:val="right"/>
              <w:ind w:right="222"/>
              <w:spacing w:after="0"/>
              <w:rPr>
                <w:sz w:val="20"/>
                <w:szCs w:val="20"/>
                <w:color w:val="auto"/>
              </w:rPr>
            </w:pPr>
            <w:r>
              <w:rPr>
                <w:rFonts w:ascii="Arial" w:cs="Arial" w:eastAsia="Arial" w:hAnsi="Arial"/>
                <w:sz w:val="13"/>
                <w:szCs w:val="13"/>
                <w:color w:val="auto"/>
              </w:rPr>
              <w:t>(112)</w:t>
            </w:r>
          </w:p>
        </w:tc>
        <w:tc>
          <w:tcPr>
            <w:tcW w:w="660" w:type="dxa"/>
            <w:vAlign w:val="bottom"/>
          </w:tcPr>
          <w:p>
            <w:pPr>
              <w:jc w:val="center"/>
              <w:ind w:left="160"/>
              <w:spacing w:after="0"/>
              <w:rPr>
                <w:sz w:val="20"/>
                <w:szCs w:val="20"/>
                <w:color w:val="auto"/>
              </w:rPr>
            </w:pPr>
            <w:r>
              <w:rPr>
                <w:rFonts w:ascii="Arial" w:cs="Arial" w:eastAsia="Arial" w:hAnsi="Arial"/>
                <w:sz w:val="13"/>
                <w:szCs w:val="13"/>
                <w:color w:val="auto"/>
                <w:w w:val="92"/>
              </w:rPr>
              <w:t>678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840" w:type="dxa"/>
            <w:vAlign w:val="bottom"/>
            <w:tcBorders>
              <w:bottom w:val="single" w:sz="8" w:color="003595"/>
            </w:tcBorders>
          </w:tcPr>
          <w:p>
            <w:pPr>
              <w:spacing w:after="0"/>
              <w:rPr>
                <w:sz w:val="3"/>
                <w:szCs w:val="3"/>
                <w:color w:val="auto"/>
              </w:rPr>
            </w:pPr>
          </w:p>
        </w:tc>
        <w:tc>
          <w:tcPr>
            <w:tcW w:w="960" w:type="dxa"/>
            <w:vAlign w:val="bottom"/>
            <w:tcBorders>
              <w:bottom w:val="single" w:sz="8" w:color="003595"/>
            </w:tcBorders>
          </w:tcPr>
          <w:p>
            <w:pPr>
              <w:spacing w:after="0"/>
              <w:rPr>
                <w:sz w:val="3"/>
                <w:szCs w:val="3"/>
                <w:color w:val="auto"/>
              </w:rPr>
            </w:pPr>
          </w:p>
        </w:tc>
        <w:tc>
          <w:tcPr>
            <w:tcW w:w="80" w:type="dxa"/>
            <w:vAlign w:val="bottom"/>
            <w:tcBorders>
              <w:bottom w:val="single" w:sz="8" w:color="003595"/>
            </w:tcBorders>
          </w:tcPr>
          <w:p>
            <w:pPr>
              <w:spacing w:after="0"/>
              <w:rPr>
                <w:sz w:val="3"/>
                <w:szCs w:val="3"/>
                <w:color w:val="auto"/>
              </w:rPr>
            </w:pPr>
          </w:p>
        </w:tc>
        <w:tc>
          <w:tcPr>
            <w:tcW w:w="820" w:type="dxa"/>
            <w:vAlign w:val="bottom"/>
            <w:tcBorders>
              <w:bottom w:val="single" w:sz="8" w:color="003595"/>
            </w:tcBorders>
          </w:tcPr>
          <w:p>
            <w:pPr>
              <w:spacing w:after="0"/>
              <w:rPr>
                <w:sz w:val="3"/>
                <w:szCs w:val="3"/>
                <w:color w:val="auto"/>
              </w:rPr>
            </w:pPr>
          </w:p>
        </w:tc>
        <w:tc>
          <w:tcPr>
            <w:tcW w:w="200" w:type="dxa"/>
            <w:vAlign w:val="bottom"/>
            <w:tcBorders>
              <w:bottom w:val="single" w:sz="8" w:color="003595"/>
            </w:tcBorders>
          </w:tcPr>
          <w:p>
            <w:pPr>
              <w:spacing w:after="0"/>
              <w:rPr>
                <w:sz w:val="3"/>
                <w:szCs w:val="3"/>
                <w:color w:val="auto"/>
              </w:rPr>
            </w:pPr>
          </w:p>
        </w:tc>
        <w:tc>
          <w:tcPr>
            <w:tcW w:w="1040" w:type="dxa"/>
            <w:vAlign w:val="bottom"/>
            <w:tcBorders>
              <w:bottom w:val="single" w:sz="8" w:color="003595"/>
            </w:tcBorders>
            <w:gridSpan w:val="2"/>
          </w:tcPr>
          <w:p>
            <w:pPr>
              <w:spacing w:after="0"/>
              <w:rPr>
                <w:sz w:val="3"/>
                <w:szCs w:val="3"/>
                <w:color w:val="auto"/>
              </w:rPr>
            </w:pPr>
          </w:p>
        </w:tc>
        <w:tc>
          <w:tcPr>
            <w:tcW w:w="74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1020" w:type="dxa"/>
            <w:vAlign w:val="bottom"/>
            <w:tcBorders>
              <w:bottom w:val="single" w:sz="8" w:color="003595"/>
            </w:tcBorders>
            <w:gridSpan w:val="2"/>
          </w:tcPr>
          <w:p>
            <w:pPr>
              <w:spacing w:after="0"/>
              <w:rPr>
                <w:sz w:val="3"/>
                <w:szCs w:val="3"/>
                <w:color w:val="auto"/>
              </w:rPr>
            </w:pPr>
          </w:p>
        </w:tc>
        <w:tc>
          <w:tcPr>
            <w:tcW w:w="920" w:type="dxa"/>
            <w:vAlign w:val="bottom"/>
            <w:tcBorders>
              <w:bottom w:val="single" w:sz="8" w:color="003595"/>
            </w:tcBorders>
          </w:tcPr>
          <w:p>
            <w:pPr>
              <w:spacing w:after="0"/>
              <w:rPr>
                <w:sz w:val="3"/>
                <w:szCs w:val="3"/>
                <w:color w:val="auto"/>
              </w:rPr>
            </w:pPr>
          </w:p>
        </w:tc>
        <w:tc>
          <w:tcPr>
            <w:tcW w:w="860" w:type="dxa"/>
            <w:vAlign w:val="bottom"/>
            <w:tcBorders>
              <w:bottom w:val="single" w:sz="8" w:color="003595"/>
            </w:tcBorders>
          </w:tcPr>
          <w:p>
            <w:pPr>
              <w:spacing w:after="0"/>
              <w:rPr>
                <w:sz w:val="3"/>
                <w:szCs w:val="3"/>
                <w:color w:val="auto"/>
              </w:rPr>
            </w:pPr>
          </w:p>
        </w:tc>
        <w:tc>
          <w:tcPr>
            <w:tcW w:w="880" w:type="dxa"/>
            <w:vAlign w:val="bottom"/>
            <w:tcBorders>
              <w:bottom w:val="single" w:sz="8" w:color="003595"/>
            </w:tcBorders>
          </w:tcPr>
          <w:p>
            <w:pPr>
              <w:spacing w:after="0"/>
              <w:rPr>
                <w:sz w:val="3"/>
                <w:szCs w:val="3"/>
                <w:color w:val="auto"/>
              </w:rPr>
            </w:pPr>
          </w:p>
        </w:tc>
        <w:tc>
          <w:tcPr>
            <w:tcW w:w="860" w:type="dxa"/>
            <w:vAlign w:val="bottom"/>
            <w:tcBorders>
              <w:bottom w:val="single" w:sz="8" w:color="003595"/>
            </w:tcBorders>
          </w:tcPr>
          <w:p>
            <w:pPr>
              <w:spacing w:after="0"/>
              <w:rPr>
                <w:sz w:val="3"/>
                <w:szCs w:val="3"/>
                <w:color w:val="auto"/>
              </w:rPr>
            </w:pPr>
          </w:p>
        </w:tc>
        <w:tc>
          <w:tcPr>
            <w:tcW w:w="660" w:type="dxa"/>
            <w:vAlign w:val="bottom"/>
            <w:tcBorders>
              <w:bottom w:val="single" w:sz="8" w:color="003595"/>
            </w:tcBorders>
          </w:tcPr>
          <w:p>
            <w:pPr>
              <w:spacing w:after="0"/>
              <w:rPr>
                <w:sz w:val="3"/>
                <w:szCs w:val="3"/>
                <w:color w:val="auto"/>
              </w:rPr>
            </w:pPr>
          </w:p>
        </w:tc>
        <w:tc>
          <w:tcPr>
            <w:tcW w:w="200" w:type="dxa"/>
            <w:vAlign w:val="bottom"/>
            <w:tcBorders>
              <w:bottom w:val="single" w:sz="8" w:color="003595"/>
            </w:tcBorders>
          </w:tcPr>
          <w:p>
            <w:pPr>
              <w:spacing w:after="0"/>
              <w:rPr>
                <w:sz w:val="3"/>
                <w:szCs w:val="3"/>
                <w:color w:val="auto"/>
              </w:rPr>
            </w:pPr>
          </w:p>
        </w:tc>
        <w:tc>
          <w:tcPr>
            <w:tcW w:w="20" w:type="dxa"/>
            <w:vAlign w:val="bottom"/>
            <w:tcBorders>
              <w:bottom w:val="single" w:sz="8" w:color="003595"/>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Pr>
          <w:p>
            <w:pPr>
              <w:jc w:val="center"/>
              <w:spacing w:after="0"/>
              <w:rPr>
                <w:sz w:val="20"/>
                <w:szCs w:val="20"/>
                <w:color w:val="auto"/>
              </w:rPr>
            </w:pPr>
            <w:r>
              <w:rPr>
                <w:rFonts w:ascii="Arial" w:cs="Arial" w:eastAsia="Arial" w:hAnsi="Arial"/>
                <w:sz w:val="13"/>
                <w:szCs w:val="13"/>
                <w:color w:val="auto"/>
                <w:w w:val="96"/>
              </w:rPr>
              <w:t>2021</w:t>
            </w:r>
          </w:p>
        </w:tc>
        <w:tc>
          <w:tcPr>
            <w:tcW w:w="960" w:type="dxa"/>
            <w:vAlign w:val="bottom"/>
          </w:tcPr>
          <w:p>
            <w:pPr>
              <w:jc w:val="right"/>
              <w:ind w:right="62"/>
              <w:spacing w:after="0"/>
              <w:rPr>
                <w:sz w:val="20"/>
                <w:szCs w:val="20"/>
                <w:color w:val="auto"/>
              </w:rPr>
            </w:pPr>
            <w:r>
              <w:rPr>
                <w:rFonts w:ascii="Arial" w:cs="Arial" w:eastAsia="Arial" w:hAnsi="Arial"/>
                <w:sz w:val="13"/>
                <w:szCs w:val="13"/>
                <w:color w:val="auto"/>
              </w:rPr>
              <w:t>12,787,669</w:t>
            </w:r>
          </w:p>
        </w:tc>
        <w:tc>
          <w:tcPr>
            <w:tcW w:w="80" w:type="dxa"/>
            <w:vAlign w:val="bottom"/>
          </w:tcPr>
          <w:p>
            <w:pPr>
              <w:spacing w:after="0"/>
              <w:rPr>
                <w:sz w:val="15"/>
                <w:szCs w:val="15"/>
                <w:color w:val="auto"/>
              </w:rPr>
            </w:pPr>
          </w:p>
        </w:tc>
        <w:tc>
          <w:tcPr>
            <w:tcW w:w="820" w:type="dxa"/>
            <w:vAlign w:val="bottom"/>
          </w:tcPr>
          <w:p>
            <w:pPr>
              <w:jc w:val="center"/>
              <w:ind w:left="163"/>
              <w:spacing w:after="0"/>
              <w:rPr>
                <w:sz w:val="20"/>
                <w:szCs w:val="20"/>
                <w:color w:val="auto"/>
              </w:rPr>
            </w:pPr>
            <w:r>
              <w:rPr>
                <w:rFonts w:ascii="Arial" w:cs="Arial" w:eastAsia="Arial" w:hAnsi="Arial"/>
                <w:sz w:val="13"/>
                <w:szCs w:val="13"/>
                <w:color w:val="808080"/>
                <w:w w:val="91"/>
              </w:rPr>
              <w:t>—</w:t>
            </w:r>
          </w:p>
        </w:tc>
        <w:tc>
          <w:tcPr>
            <w:tcW w:w="2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color w:val="auto"/>
                <w:w w:val="98"/>
              </w:rPr>
              <w:t>29,789,160</w:t>
            </w:r>
          </w:p>
        </w:tc>
        <w:tc>
          <w:tcPr>
            <w:tcW w:w="740" w:type="dxa"/>
            <w:vAlign w:val="bottom"/>
          </w:tcPr>
          <w:p>
            <w:pPr>
              <w:jc w:val="center"/>
              <w:ind w:left="202"/>
              <w:spacing w:after="0"/>
              <w:rPr>
                <w:sz w:val="20"/>
                <w:szCs w:val="20"/>
                <w:color w:val="auto"/>
              </w:rPr>
            </w:pPr>
            <w:r>
              <w:rPr>
                <w:rFonts w:ascii="Arial" w:cs="Arial" w:eastAsia="Arial" w:hAnsi="Arial"/>
                <w:sz w:val="13"/>
                <w:szCs w:val="13"/>
                <w:color w:val="808080"/>
                <w:w w:val="91"/>
              </w:rPr>
              <w:t>—</w:t>
            </w:r>
          </w:p>
        </w:tc>
        <w:tc>
          <w:tcPr>
            <w:tcW w:w="2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color w:val="auto"/>
                <w:w w:val="96"/>
              </w:rPr>
              <w:t>2,483,005</w:t>
            </w:r>
          </w:p>
        </w:tc>
        <w:tc>
          <w:tcPr>
            <w:tcW w:w="920" w:type="dxa"/>
            <w:vAlign w:val="bottom"/>
          </w:tcPr>
          <w:p>
            <w:pPr>
              <w:jc w:val="right"/>
              <w:ind w:right="125"/>
              <w:spacing w:after="0"/>
              <w:rPr>
                <w:sz w:val="20"/>
                <w:szCs w:val="20"/>
                <w:color w:val="auto"/>
              </w:rPr>
            </w:pPr>
            <w:r>
              <w:rPr>
                <w:rFonts w:ascii="Arial" w:cs="Arial" w:eastAsia="Arial" w:hAnsi="Arial"/>
                <w:sz w:val="13"/>
                <w:szCs w:val="13"/>
                <w:color w:val="auto"/>
              </w:rPr>
              <w:t>4,670,387</w:t>
            </w:r>
          </w:p>
        </w:tc>
        <w:tc>
          <w:tcPr>
            <w:tcW w:w="860" w:type="dxa"/>
            <w:vAlign w:val="bottom"/>
          </w:tcPr>
          <w:p>
            <w:pPr>
              <w:jc w:val="center"/>
              <w:spacing w:after="0"/>
              <w:rPr>
                <w:sz w:val="20"/>
                <w:szCs w:val="20"/>
                <w:color w:val="auto"/>
              </w:rPr>
            </w:pPr>
            <w:r>
              <w:rPr>
                <w:rFonts w:ascii="Arial" w:cs="Arial" w:eastAsia="Arial" w:hAnsi="Arial"/>
                <w:sz w:val="13"/>
                <w:szCs w:val="13"/>
                <w:color w:val="auto"/>
                <w:w w:val="92"/>
              </w:rPr>
              <w:t>140</w:t>
            </w:r>
          </w:p>
        </w:tc>
        <w:tc>
          <w:tcPr>
            <w:tcW w:w="880" w:type="dxa"/>
            <w:vAlign w:val="bottom"/>
          </w:tcPr>
          <w:p>
            <w:pPr>
              <w:jc w:val="center"/>
              <w:spacing w:after="0"/>
              <w:rPr>
                <w:sz w:val="20"/>
                <w:szCs w:val="20"/>
                <w:color w:val="auto"/>
              </w:rPr>
            </w:pPr>
            <w:r>
              <w:rPr>
                <w:rFonts w:ascii="Arial" w:cs="Arial" w:eastAsia="Arial" w:hAnsi="Arial"/>
                <w:sz w:val="13"/>
                <w:szCs w:val="13"/>
                <w:color w:val="auto"/>
              </w:rPr>
              <w:t>100</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(27)</w:t>
            </w:r>
          </w:p>
        </w:tc>
        <w:tc>
          <w:tcPr>
            <w:tcW w:w="660" w:type="dxa"/>
            <w:vAlign w:val="bottom"/>
          </w:tcPr>
          <w:p>
            <w:pPr>
              <w:jc w:val="center"/>
              <w:ind w:left="160"/>
              <w:spacing w:after="0"/>
              <w:rPr>
                <w:sz w:val="20"/>
                <w:szCs w:val="20"/>
                <w:color w:val="auto"/>
              </w:rPr>
            </w:pPr>
            <w:r>
              <w:rPr>
                <w:rFonts w:ascii="Arial" w:cs="Arial" w:eastAsia="Arial" w:hAnsi="Arial"/>
                <w:sz w:val="13"/>
                <w:szCs w:val="13"/>
                <w:color w:val="auto"/>
                <w:w w:val="92"/>
              </w:rPr>
              <w:t>691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840" w:type="dxa"/>
            <w:vAlign w:val="bottom"/>
            <w:tcBorders>
              <w:bottom w:val="single" w:sz="8" w:color="003595"/>
            </w:tcBorders>
          </w:tcPr>
          <w:p>
            <w:pPr>
              <w:spacing w:after="0"/>
              <w:rPr>
                <w:sz w:val="3"/>
                <w:szCs w:val="3"/>
                <w:color w:val="auto"/>
              </w:rPr>
            </w:pPr>
          </w:p>
        </w:tc>
        <w:tc>
          <w:tcPr>
            <w:tcW w:w="960" w:type="dxa"/>
            <w:vAlign w:val="bottom"/>
            <w:tcBorders>
              <w:bottom w:val="single" w:sz="8" w:color="003595"/>
            </w:tcBorders>
          </w:tcPr>
          <w:p>
            <w:pPr>
              <w:spacing w:after="0"/>
              <w:rPr>
                <w:sz w:val="3"/>
                <w:szCs w:val="3"/>
                <w:color w:val="auto"/>
              </w:rPr>
            </w:pPr>
          </w:p>
        </w:tc>
        <w:tc>
          <w:tcPr>
            <w:tcW w:w="80" w:type="dxa"/>
            <w:vAlign w:val="bottom"/>
            <w:tcBorders>
              <w:bottom w:val="single" w:sz="8" w:color="003595"/>
            </w:tcBorders>
          </w:tcPr>
          <w:p>
            <w:pPr>
              <w:spacing w:after="0"/>
              <w:rPr>
                <w:sz w:val="3"/>
                <w:szCs w:val="3"/>
                <w:color w:val="auto"/>
              </w:rPr>
            </w:pPr>
          </w:p>
        </w:tc>
        <w:tc>
          <w:tcPr>
            <w:tcW w:w="820" w:type="dxa"/>
            <w:vAlign w:val="bottom"/>
            <w:tcBorders>
              <w:bottom w:val="single" w:sz="8" w:color="003595"/>
            </w:tcBorders>
          </w:tcPr>
          <w:p>
            <w:pPr>
              <w:spacing w:after="0"/>
              <w:rPr>
                <w:sz w:val="3"/>
                <w:szCs w:val="3"/>
                <w:color w:val="auto"/>
              </w:rPr>
            </w:pPr>
          </w:p>
        </w:tc>
        <w:tc>
          <w:tcPr>
            <w:tcW w:w="200" w:type="dxa"/>
            <w:vAlign w:val="bottom"/>
            <w:tcBorders>
              <w:bottom w:val="single" w:sz="8" w:color="003595"/>
            </w:tcBorders>
          </w:tcPr>
          <w:p>
            <w:pPr>
              <w:spacing w:after="0"/>
              <w:rPr>
                <w:sz w:val="3"/>
                <w:szCs w:val="3"/>
                <w:color w:val="auto"/>
              </w:rPr>
            </w:pPr>
          </w:p>
        </w:tc>
        <w:tc>
          <w:tcPr>
            <w:tcW w:w="560" w:type="dxa"/>
            <w:vAlign w:val="bottom"/>
            <w:tcBorders>
              <w:bottom w:val="single" w:sz="8" w:color="003595"/>
            </w:tcBorders>
          </w:tcPr>
          <w:p>
            <w:pPr>
              <w:spacing w:after="0"/>
              <w:rPr>
                <w:sz w:val="3"/>
                <w:szCs w:val="3"/>
                <w:color w:val="auto"/>
              </w:rPr>
            </w:pPr>
          </w:p>
        </w:tc>
        <w:tc>
          <w:tcPr>
            <w:tcW w:w="480" w:type="dxa"/>
            <w:vAlign w:val="bottom"/>
            <w:tcBorders>
              <w:bottom w:val="single" w:sz="8" w:color="003595"/>
            </w:tcBorders>
          </w:tcPr>
          <w:p>
            <w:pPr>
              <w:spacing w:after="0"/>
              <w:rPr>
                <w:sz w:val="3"/>
                <w:szCs w:val="3"/>
                <w:color w:val="auto"/>
              </w:rPr>
            </w:pPr>
          </w:p>
        </w:tc>
        <w:tc>
          <w:tcPr>
            <w:tcW w:w="740" w:type="dxa"/>
            <w:vAlign w:val="bottom"/>
            <w:tcBorders>
              <w:bottom w:val="single" w:sz="8" w:color="003595"/>
            </w:tcBorders>
          </w:tcPr>
          <w:p>
            <w:pPr>
              <w:spacing w:after="0"/>
              <w:rPr>
                <w:sz w:val="3"/>
                <w:szCs w:val="3"/>
                <w:color w:val="auto"/>
              </w:rPr>
            </w:pPr>
          </w:p>
        </w:tc>
        <w:tc>
          <w:tcPr>
            <w:tcW w:w="240" w:type="dxa"/>
            <w:vAlign w:val="bottom"/>
            <w:tcBorders>
              <w:bottom w:val="single" w:sz="8" w:color="003595"/>
            </w:tcBorders>
          </w:tcPr>
          <w:p>
            <w:pPr>
              <w:spacing w:after="0"/>
              <w:rPr>
                <w:sz w:val="3"/>
                <w:szCs w:val="3"/>
                <w:color w:val="auto"/>
              </w:rPr>
            </w:pPr>
          </w:p>
        </w:tc>
        <w:tc>
          <w:tcPr>
            <w:tcW w:w="760" w:type="dxa"/>
            <w:vAlign w:val="bottom"/>
            <w:tcBorders>
              <w:bottom w:val="single" w:sz="8" w:color="003595"/>
            </w:tcBorders>
          </w:tcPr>
          <w:p>
            <w:pPr>
              <w:spacing w:after="0"/>
              <w:rPr>
                <w:sz w:val="3"/>
                <w:szCs w:val="3"/>
                <w:color w:val="auto"/>
              </w:rPr>
            </w:pPr>
          </w:p>
        </w:tc>
        <w:tc>
          <w:tcPr>
            <w:tcW w:w="260" w:type="dxa"/>
            <w:vAlign w:val="bottom"/>
            <w:tcBorders>
              <w:bottom w:val="single" w:sz="8" w:color="003595"/>
            </w:tcBorders>
          </w:tcPr>
          <w:p>
            <w:pPr>
              <w:spacing w:after="0"/>
              <w:rPr>
                <w:sz w:val="3"/>
                <w:szCs w:val="3"/>
                <w:color w:val="auto"/>
              </w:rPr>
            </w:pPr>
          </w:p>
        </w:tc>
        <w:tc>
          <w:tcPr>
            <w:tcW w:w="920" w:type="dxa"/>
            <w:vAlign w:val="bottom"/>
            <w:tcBorders>
              <w:bottom w:val="single" w:sz="8" w:color="003595"/>
            </w:tcBorders>
          </w:tcPr>
          <w:p>
            <w:pPr>
              <w:spacing w:after="0"/>
              <w:rPr>
                <w:sz w:val="3"/>
                <w:szCs w:val="3"/>
                <w:color w:val="auto"/>
              </w:rPr>
            </w:pPr>
          </w:p>
        </w:tc>
        <w:tc>
          <w:tcPr>
            <w:tcW w:w="860" w:type="dxa"/>
            <w:vAlign w:val="bottom"/>
            <w:tcBorders>
              <w:bottom w:val="single" w:sz="8" w:color="003595"/>
            </w:tcBorders>
          </w:tcPr>
          <w:p>
            <w:pPr>
              <w:spacing w:after="0"/>
              <w:rPr>
                <w:sz w:val="3"/>
                <w:szCs w:val="3"/>
                <w:color w:val="auto"/>
              </w:rPr>
            </w:pPr>
          </w:p>
        </w:tc>
        <w:tc>
          <w:tcPr>
            <w:tcW w:w="880" w:type="dxa"/>
            <w:vAlign w:val="bottom"/>
            <w:tcBorders>
              <w:bottom w:val="single" w:sz="8" w:color="003595"/>
            </w:tcBorders>
          </w:tcPr>
          <w:p>
            <w:pPr>
              <w:spacing w:after="0"/>
              <w:rPr>
                <w:sz w:val="3"/>
                <w:szCs w:val="3"/>
                <w:color w:val="auto"/>
              </w:rPr>
            </w:pPr>
          </w:p>
        </w:tc>
        <w:tc>
          <w:tcPr>
            <w:tcW w:w="860" w:type="dxa"/>
            <w:vAlign w:val="bottom"/>
            <w:tcBorders>
              <w:bottom w:val="single" w:sz="8" w:color="003595"/>
            </w:tcBorders>
          </w:tcPr>
          <w:p>
            <w:pPr>
              <w:spacing w:after="0"/>
              <w:rPr>
                <w:sz w:val="3"/>
                <w:szCs w:val="3"/>
                <w:color w:val="auto"/>
              </w:rPr>
            </w:pPr>
          </w:p>
        </w:tc>
        <w:tc>
          <w:tcPr>
            <w:tcW w:w="660" w:type="dxa"/>
            <w:vAlign w:val="bottom"/>
            <w:tcBorders>
              <w:bottom w:val="single" w:sz="8" w:color="003595"/>
            </w:tcBorders>
          </w:tcPr>
          <w:p>
            <w:pPr>
              <w:spacing w:after="0"/>
              <w:rPr>
                <w:sz w:val="3"/>
                <w:szCs w:val="3"/>
                <w:color w:val="auto"/>
              </w:rPr>
            </w:pPr>
          </w:p>
        </w:tc>
        <w:tc>
          <w:tcPr>
            <w:tcW w:w="200" w:type="dxa"/>
            <w:vAlign w:val="bottom"/>
            <w:tcBorders>
              <w:bottom w:val="single" w:sz="8" w:color="003595"/>
            </w:tcBorders>
          </w:tcPr>
          <w:p>
            <w:pPr>
              <w:spacing w:after="0"/>
              <w:rPr>
                <w:sz w:val="3"/>
                <w:szCs w:val="3"/>
                <w:color w:val="auto"/>
              </w:rPr>
            </w:pPr>
          </w:p>
        </w:tc>
        <w:tc>
          <w:tcPr>
            <w:tcW w:w="20" w:type="dxa"/>
            <w:vAlign w:val="bottom"/>
            <w:tcBorders>
              <w:bottom w:val="single" w:sz="8" w:color="00359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-471170</wp:posOffset>
            </wp:positionV>
            <wp:extent cx="8890" cy="4718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-471170</wp:posOffset>
            </wp:positionV>
            <wp:extent cx="8890" cy="4718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-471170</wp:posOffset>
            </wp:positionV>
            <wp:extent cx="8255" cy="4718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4718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-471170</wp:posOffset>
            </wp:positionV>
            <wp:extent cx="8255" cy="4718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47180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-471170</wp:posOffset>
            </wp:positionV>
            <wp:extent cx="8255" cy="4718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4718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-471170</wp:posOffset>
            </wp:positionV>
            <wp:extent cx="8255" cy="4718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47180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-471170</wp:posOffset>
            </wp:positionV>
            <wp:extent cx="8255" cy="4718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47180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-471170</wp:posOffset>
            </wp:positionV>
            <wp:extent cx="8255" cy="4718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4718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-471170</wp:posOffset>
            </wp:positionV>
            <wp:extent cx="8255" cy="4718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471805"/>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-471170</wp:posOffset>
            </wp:positionV>
            <wp:extent cx="8255" cy="4718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8890" cy="4718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-471170</wp:posOffset>
            </wp:positionV>
            <wp:extent cx="8890" cy="4718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-1130935</wp:posOffset>
            </wp:positionV>
            <wp:extent cx="11055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(1) The NEOs in each disclosure year represent the following individuals: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 w:type="dxa"/>
            <w:vAlign w:val="bottom"/>
            <w:tcBorders>
              <w:top w:val="single" w:sz="8" w:color="auto"/>
              <w:bottom w:val="single" w:sz="8" w:color="003595"/>
              <w:right w:val="single" w:sz="8" w:color="auto"/>
            </w:tcBorders>
            <w:shd w:val="clear" w:color="auto" w:fill="003595"/>
          </w:tcPr>
          <w:p>
            <w:pPr>
              <w:ind w:left="220"/>
              <w:spacing w:after="0"/>
              <w:rPr>
                <w:sz w:val="20"/>
                <w:szCs w:val="20"/>
                <w:color w:val="auto"/>
              </w:rPr>
            </w:pPr>
            <w:r>
              <w:rPr>
                <w:rFonts w:ascii="Arial" w:cs="Arial" w:eastAsia="Arial" w:hAnsi="Arial"/>
                <w:sz w:val="13"/>
                <w:szCs w:val="13"/>
                <w:color w:val="FFFFFF"/>
              </w:rPr>
              <w:t>Year</w:t>
            </w:r>
          </w:p>
        </w:tc>
        <w:tc>
          <w:tcPr>
            <w:tcW w:w="1320" w:type="dxa"/>
            <w:vAlign w:val="bottom"/>
            <w:tcBorders>
              <w:top w:val="single" w:sz="8" w:color="auto"/>
              <w:bottom w:val="single" w:sz="8" w:color="003595"/>
              <w:right w:val="single" w:sz="8" w:color="auto"/>
            </w:tcBorders>
            <w:shd w:val="clear" w:color="auto" w:fill="003595"/>
          </w:tcPr>
          <w:p>
            <w:pPr>
              <w:ind w:left="360"/>
              <w:spacing w:after="0"/>
              <w:rPr>
                <w:sz w:val="20"/>
                <w:szCs w:val="20"/>
                <w:color w:val="auto"/>
              </w:rPr>
            </w:pPr>
            <w:r>
              <w:rPr>
                <w:rFonts w:ascii="Arial" w:cs="Arial" w:eastAsia="Arial" w:hAnsi="Arial"/>
                <w:sz w:val="13"/>
                <w:szCs w:val="13"/>
                <w:color w:val="FFFFFF"/>
              </w:rPr>
              <w:t>First PEO</w:t>
            </w:r>
          </w:p>
        </w:tc>
        <w:tc>
          <w:tcPr>
            <w:tcW w:w="1340" w:type="dxa"/>
            <w:vAlign w:val="bottom"/>
            <w:tcBorders>
              <w:top w:val="single" w:sz="8" w:color="auto"/>
              <w:bottom w:val="single" w:sz="8" w:color="003595"/>
              <w:right w:val="single" w:sz="8" w:color="auto"/>
            </w:tcBorders>
            <w:shd w:val="clear" w:color="auto" w:fill="003595"/>
          </w:tcPr>
          <w:p>
            <w:pPr>
              <w:ind w:left="280"/>
              <w:spacing w:after="0"/>
              <w:rPr>
                <w:sz w:val="20"/>
                <w:szCs w:val="20"/>
                <w:color w:val="auto"/>
              </w:rPr>
            </w:pPr>
            <w:r>
              <w:rPr>
                <w:rFonts w:ascii="Arial" w:cs="Arial" w:eastAsia="Arial" w:hAnsi="Arial"/>
                <w:sz w:val="13"/>
                <w:szCs w:val="13"/>
                <w:color w:val="FFFFFF"/>
              </w:rPr>
              <w:t>Second PEO</w:t>
            </w:r>
          </w:p>
        </w:tc>
        <w:tc>
          <w:tcPr>
            <w:tcW w:w="7400" w:type="dxa"/>
            <w:vAlign w:val="bottom"/>
            <w:tcBorders>
              <w:top w:val="single" w:sz="8" w:color="auto"/>
              <w:bottom w:val="single" w:sz="8" w:color="003595"/>
              <w:right w:val="single" w:sz="8" w:color="auto"/>
            </w:tcBorders>
            <w:shd w:val="clear" w:color="auto" w:fill="003595"/>
          </w:tcPr>
          <w:p>
            <w:pPr>
              <w:ind w:left="2900"/>
              <w:spacing w:after="0"/>
              <w:rPr>
                <w:sz w:val="20"/>
                <w:szCs w:val="20"/>
                <w:color w:val="auto"/>
              </w:rPr>
            </w:pPr>
            <w:r>
              <w:rPr>
                <w:rFonts w:ascii="Arial" w:cs="Arial" w:eastAsia="Arial" w:hAnsi="Arial"/>
                <w:sz w:val="13"/>
                <w:szCs w:val="13"/>
                <w:color w:val="FFFFFF"/>
              </w:rPr>
              <w:t>NEOs included in Average</w:t>
            </w:r>
          </w:p>
        </w:tc>
      </w:tr>
      <w:tr>
        <w:trPr>
          <w:trHeight w:val="189"/>
        </w:trPr>
        <w:tc>
          <w:tcPr>
            <w:tcW w:w="720" w:type="dxa"/>
            <w:vAlign w:val="bottom"/>
          </w:tcPr>
          <w:p>
            <w:pPr>
              <w:ind w:left="220"/>
              <w:spacing w:after="0"/>
              <w:rPr>
                <w:sz w:val="20"/>
                <w:szCs w:val="20"/>
                <w:color w:val="auto"/>
              </w:rPr>
            </w:pPr>
            <w:r>
              <w:rPr>
                <w:rFonts w:ascii="Arial" w:cs="Arial" w:eastAsia="Arial" w:hAnsi="Arial"/>
                <w:sz w:val="13"/>
                <w:szCs w:val="13"/>
                <w:color w:val="auto"/>
              </w:rPr>
              <w:t>2025</w:t>
            </w:r>
          </w:p>
        </w:tc>
        <w:tc>
          <w:tcPr>
            <w:tcW w:w="1320" w:type="dxa"/>
            <w:vAlign w:val="bottom"/>
          </w:tcPr>
          <w:p>
            <w:pPr>
              <w:spacing w:after="0"/>
              <w:rPr>
                <w:sz w:val="20"/>
                <w:szCs w:val="20"/>
                <w:color w:val="auto"/>
              </w:rPr>
            </w:pPr>
            <w:r>
              <w:rPr>
                <w:rFonts w:ascii="Arial" w:cs="Arial" w:eastAsia="Arial" w:hAnsi="Arial"/>
                <w:sz w:val="13"/>
                <w:szCs w:val="13"/>
                <w:color w:val="auto"/>
              </w:rPr>
              <w:t>Samraat S. Raha</w:t>
            </w:r>
          </w:p>
        </w:tc>
        <w:tc>
          <w:tcPr>
            <w:tcW w:w="1340" w:type="dxa"/>
            <w:vAlign w:val="bottom"/>
          </w:tcPr>
          <w:p>
            <w:pPr>
              <w:ind w:left="20"/>
              <w:spacing w:after="0"/>
              <w:rPr>
                <w:sz w:val="20"/>
                <w:szCs w:val="20"/>
                <w:color w:val="auto"/>
              </w:rPr>
            </w:pPr>
            <w:r>
              <w:rPr>
                <w:rFonts w:ascii="Arial" w:cs="Arial" w:eastAsia="Arial" w:hAnsi="Arial"/>
                <w:sz w:val="13"/>
                <w:szCs w:val="13"/>
                <w:color w:val="auto"/>
              </w:rPr>
              <w:t>Paul J. Diaz</w:t>
            </w:r>
          </w:p>
        </w:tc>
        <w:tc>
          <w:tcPr>
            <w:tcW w:w="7400" w:type="dxa"/>
            <w:vAlign w:val="bottom"/>
          </w:tcPr>
          <w:p>
            <w:pPr>
              <w:ind w:left="20"/>
              <w:spacing w:after="0"/>
              <w:rPr>
                <w:sz w:val="20"/>
                <w:szCs w:val="20"/>
                <w:color w:val="auto"/>
              </w:rPr>
            </w:pPr>
            <w:r>
              <w:rPr>
                <w:rFonts w:ascii="Arial" w:cs="Arial" w:eastAsia="Arial" w:hAnsi="Arial"/>
                <w:sz w:val="13"/>
                <w:szCs w:val="13"/>
                <w:color w:val="auto"/>
              </w:rPr>
              <w:t>Benjamin R. Wheeler, Scott J. Leffler, Mark S. Verratti, Brian J. Donnelly, Dale Muzzey, Ph.D., Margaret Ancona</w:t>
            </w:r>
          </w:p>
        </w:tc>
      </w:tr>
      <w:tr>
        <w:trPr>
          <w:trHeight w:val="41"/>
        </w:trPr>
        <w:tc>
          <w:tcPr>
            <w:tcW w:w="720" w:type="dxa"/>
            <w:vAlign w:val="bottom"/>
            <w:tcBorders>
              <w:bottom w:val="single" w:sz="8" w:color="003595"/>
            </w:tcBorders>
          </w:tcPr>
          <w:p>
            <w:pPr>
              <w:spacing w:after="0"/>
              <w:rPr>
                <w:sz w:val="3"/>
                <w:szCs w:val="3"/>
                <w:color w:val="auto"/>
              </w:rPr>
            </w:pPr>
          </w:p>
        </w:tc>
        <w:tc>
          <w:tcPr>
            <w:tcW w:w="1320" w:type="dxa"/>
            <w:vAlign w:val="bottom"/>
            <w:tcBorders>
              <w:bottom w:val="single" w:sz="8" w:color="003595"/>
            </w:tcBorders>
          </w:tcPr>
          <w:p>
            <w:pPr>
              <w:spacing w:after="0"/>
              <w:rPr>
                <w:sz w:val="3"/>
                <w:szCs w:val="3"/>
                <w:color w:val="auto"/>
              </w:rPr>
            </w:pPr>
          </w:p>
        </w:tc>
        <w:tc>
          <w:tcPr>
            <w:tcW w:w="1340" w:type="dxa"/>
            <w:vAlign w:val="bottom"/>
            <w:tcBorders>
              <w:bottom w:val="single" w:sz="8" w:color="003595"/>
            </w:tcBorders>
          </w:tcPr>
          <w:p>
            <w:pPr>
              <w:spacing w:after="0"/>
              <w:rPr>
                <w:sz w:val="3"/>
                <w:szCs w:val="3"/>
                <w:color w:val="auto"/>
              </w:rPr>
            </w:pPr>
          </w:p>
        </w:tc>
        <w:tc>
          <w:tcPr>
            <w:tcW w:w="7400" w:type="dxa"/>
            <w:vAlign w:val="bottom"/>
            <w:tcBorders>
              <w:bottom w:val="single" w:sz="8" w:color="003595"/>
            </w:tcBorders>
          </w:tcPr>
          <w:p>
            <w:pPr>
              <w:spacing w:after="0"/>
              <w:rPr>
                <w:sz w:val="3"/>
                <w:szCs w:val="3"/>
                <w:color w:val="auto"/>
              </w:rPr>
            </w:pPr>
          </w:p>
        </w:tc>
      </w:tr>
      <w:tr>
        <w:trPr>
          <w:trHeight w:val="182"/>
        </w:trPr>
        <w:tc>
          <w:tcPr>
            <w:tcW w:w="720" w:type="dxa"/>
            <w:vAlign w:val="bottom"/>
          </w:tcPr>
          <w:p>
            <w:pPr>
              <w:ind w:left="220"/>
              <w:spacing w:after="0"/>
              <w:rPr>
                <w:sz w:val="20"/>
                <w:szCs w:val="20"/>
                <w:color w:val="auto"/>
              </w:rPr>
            </w:pPr>
            <w:r>
              <w:rPr>
                <w:rFonts w:ascii="Arial" w:cs="Arial" w:eastAsia="Arial" w:hAnsi="Arial"/>
                <w:sz w:val="13"/>
                <w:szCs w:val="13"/>
                <w:color w:val="auto"/>
              </w:rPr>
              <w:t>2024</w:t>
            </w:r>
          </w:p>
        </w:tc>
        <w:tc>
          <w:tcPr>
            <w:tcW w:w="1320" w:type="dxa"/>
            <w:vAlign w:val="bottom"/>
          </w:tcPr>
          <w:p>
            <w:pPr>
              <w:spacing w:after="0"/>
              <w:rPr>
                <w:sz w:val="20"/>
                <w:szCs w:val="20"/>
                <w:color w:val="auto"/>
              </w:rPr>
            </w:pPr>
            <w:r>
              <w:rPr>
                <w:rFonts w:ascii="Arial" w:cs="Arial" w:eastAsia="Arial" w:hAnsi="Arial"/>
                <w:sz w:val="13"/>
                <w:szCs w:val="13"/>
                <w:color w:val="auto"/>
              </w:rPr>
              <w:t>Paul J. Diaz</w:t>
            </w:r>
          </w:p>
        </w:tc>
        <w:tc>
          <w:tcPr>
            <w:tcW w:w="1340" w:type="dxa"/>
            <w:vAlign w:val="bottom"/>
          </w:tcPr>
          <w:p>
            <w:pPr>
              <w:ind w:left="20"/>
              <w:spacing w:after="0"/>
              <w:rPr>
                <w:sz w:val="20"/>
                <w:szCs w:val="20"/>
                <w:color w:val="auto"/>
              </w:rPr>
            </w:pPr>
            <w:r>
              <w:rPr>
                <w:rFonts w:ascii="Arial" w:cs="Arial" w:eastAsia="Arial" w:hAnsi="Arial"/>
                <w:sz w:val="13"/>
                <w:szCs w:val="13"/>
                <w:color w:val="auto"/>
              </w:rPr>
              <w:t>—</w:t>
            </w:r>
          </w:p>
        </w:tc>
        <w:tc>
          <w:tcPr>
            <w:tcW w:w="7400" w:type="dxa"/>
            <w:vAlign w:val="bottom"/>
          </w:tcPr>
          <w:p>
            <w:pPr>
              <w:ind w:left="20"/>
              <w:spacing w:after="0"/>
              <w:rPr>
                <w:sz w:val="20"/>
                <w:szCs w:val="20"/>
                <w:color w:val="auto"/>
              </w:rPr>
            </w:pPr>
            <w:r>
              <w:rPr>
                <w:rFonts w:ascii="Arial" w:cs="Arial" w:eastAsia="Arial" w:hAnsi="Arial"/>
                <w:sz w:val="13"/>
                <w:szCs w:val="13"/>
                <w:color w:val="auto"/>
              </w:rPr>
              <w:t>R. Bryan Riggsbee, Scott J. Leffler, Dale Muzzey, Ph.D., Mark S. Verratti, Samraat S. Raha</w:t>
            </w:r>
          </w:p>
        </w:tc>
      </w:tr>
      <w:tr>
        <w:trPr>
          <w:trHeight w:val="41"/>
        </w:trPr>
        <w:tc>
          <w:tcPr>
            <w:tcW w:w="720" w:type="dxa"/>
            <w:vAlign w:val="bottom"/>
            <w:tcBorders>
              <w:bottom w:val="single" w:sz="8" w:color="003595"/>
            </w:tcBorders>
          </w:tcPr>
          <w:p>
            <w:pPr>
              <w:spacing w:after="0"/>
              <w:rPr>
                <w:sz w:val="3"/>
                <w:szCs w:val="3"/>
                <w:color w:val="auto"/>
              </w:rPr>
            </w:pPr>
          </w:p>
        </w:tc>
        <w:tc>
          <w:tcPr>
            <w:tcW w:w="1320" w:type="dxa"/>
            <w:vAlign w:val="bottom"/>
            <w:tcBorders>
              <w:bottom w:val="single" w:sz="8" w:color="003595"/>
            </w:tcBorders>
          </w:tcPr>
          <w:p>
            <w:pPr>
              <w:spacing w:after="0"/>
              <w:rPr>
                <w:sz w:val="3"/>
                <w:szCs w:val="3"/>
                <w:color w:val="auto"/>
              </w:rPr>
            </w:pPr>
          </w:p>
        </w:tc>
        <w:tc>
          <w:tcPr>
            <w:tcW w:w="1340" w:type="dxa"/>
            <w:vAlign w:val="bottom"/>
            <w:tcBorders>
              <w:bottom w:val="single" w:sz="8" w:color="003595"/>
            </w:tcBorders>
          </w:tcPr>
          <w:p>
            <w:pPr>
              <w:spacing w:after="0"/>
              <w:rPr>
                <w:sz w:val="3"/>
                <w:szCs w:val="3"/>
                <w:color w:val="auto"/>
              </w:rPr>
            </w:pPr>
          </w:p>
        </w:tc>
        <w:tc>
          <w:tcPr>
            <w:tcW w:w="7400" w:type="dxa"/>
            <w:vAlign w:val="bottom"/>
            <w:tcBorders>
              <w:bottom w:val="single" w:sz="8" w:color="003595"/>
            </w:tcBorders>
          </w:tcPr>
          <w:p>
            <w:pPr>
              <w:spacing w:after="0"/>
              <w:rPr>
                <w:sz w:val="3"/>
                <w:szCs w:val="3"/>
                <w:color w:val="auto"/>
              </w:rPr>
            </w:pPr>
          </w:p>
        </w:tc>
      </w:tr>
      <w:tr>
        <w:trPr>
          <w:trHeight w:val="182"/>
        </w:trPr>
        <w:tc>
          <w:tcPr>
            <w:tcW w:w="720" w:type="dxa"/>
            <w:vAlign w:val="bottom"/>
          </w:tcPr>
          <w:p>
            <w:pPr>
              <w:ind w:left="220"/>
              <w:spacing w:after="0"/>
              <w:rPr>
                <w:sz w:val="20"/>
                <w:szCs w:val="20"/>
                <w:color w:val="auto"/>
              </w:rPr>
            </w:pPr>
            <w:r>
              <w:rPr>
                <w:rFonts w:ascii="Arial" w:cs="Arial" w:eastAsia="Arial" w:hAnsi="Arial"/>
                <w:sz w:val="13"/>
                <w:szCs w:val="13"/>
                <w:color w:val="auto"/>
              </w:rPr>
              <w:t>2023</w:t>
            </w:r>
          </w:p>
        </w:tc>
        <w:tc>
          <w:tcPr>
            <w:tcW w:w="1320" w:type="dxa"/>
            <w:vAlign w:val="bottom"/>
          </w:tcPr>
          <w:p>
            <w:pPr>
              <w:spacing w:after="0"/>
              <w:rPr>
                <w:sz w:val="20"/>
                <w:szCs w:val="20"/>
                <w:color w:val="auto"/>
              </w:rPr>
            </w:pPr>
            <w:r>
              <w:rPr>
                <w:rFonts w:ascii="Arial" w:cs="Arial" w:eastAsia="Arial" w:hAnsi="Arial"/>
                <w:sz w:val="13"/>
                <w:szCs w:val="13"/>
                <w:color w:val="auto"/>
              </w:rPr>
              <w:t>Paul J. Diaz</w:t>
            </w:r>
          </w:p>
        </w:tc>
        <w:tc>
          <w:tcPr>
            <w:tcW w:w="1340" w:type="dxa"/>
            <w:vAlign w:val="bottom"/>
          </w:tcPr>
          <w:p>
            <w:pPr>
              <w:ind w:left="20"/>
              <w:spacing w:after="0"/>
              <w:rPr>
                <w:sz w:val="20"/>
                <w:szCs w:val="20"/>
                <w:color w:val="auto"/>
              </w:rPr>
            </w:pPr>
            <w:r>
              <w:rPr>
                <w:rFonts w:ascii="Arial" w:cs="Arial" w:eastAsia="Arial" w:hAnsi="Arial"/>
                <w:sz w:val="13"/>
                <w:szCs w:val="13"/>
                <w:color w:val="auto"/>
              </w:rPr>
              <w:t>—</w:t>
            </w:r>
          </w:p>
        </w:tc>
        <w:tc>
          <w:tcPr>
            <w:tcW w:w="7400" w:type="dxa"/>
            <w:vAlign w:val="bottom"/>
          </w:tcPr>
          <w:p>
            <w:pPr>
              <w:ind w:left="20"/>
              <w:spacing w:after="0"/>
              <w:rPr>
                <w:sz w:val="20"/>
                <w:szCs w:val="20"/>
                <w:color w:val="auto"/>
              </w:rPr>
            </w:pPr>
            <w:r>
              <w:rPr>
                <w:rFonts w:ascii="Arial" w:cs="Arial" w:eastAsia="Arial" w:hAnsi="Arial"/>
                <w:sz w:val="13"/>
                <w:szCs w:val="13"/>
                <w:color w:val="auto"/>
              </w:rPr>
              <w:t>R. Bryan Riggsbee, Dale Muzzey Ph.D., Nicole Lambert, Mark S. Verratti, Samraat S. Raha</w:t>
            </w:r>
          </w:p>
        </w:tc>
      </w:tr>
      <w:tr>
        <w:trPr>
          <w:trHeight w:val="41"/>
        </w:trPr>
        <w:tc>
          <w:tcPr>
            <w:tcW w:w="720" w:type="dxa"/>
            <w:vAlign w:val="bottom"/>
            <w:tcBorders>
              <w:bottom w:val="single" w:sz="8" w:color="003595"/>
            </w:tcBorders>
          </w:tcPr>
          <w:p>
            <w:pPr>
              <w:spacing w:after="0"/>
              <w:rPr>
                <w:sz w:val="3"/>
                <w:szCs w:val="3"/>
                <w:color w:val="auto"/>
              </w:rPr>
            </w:pPr>
          </w:p>
        </w:tc>
        <w:tc>
          <w:tcPr>
            <w:tcW w:w="1320" w:type="dxa"/>
            <w:vAlign w:val="bottom"/>
            <w:tcBorders>
              <w:bottom w:val="single" w:sz="8" w:color="003595"/>
            </w:tcBorders>
          </w:tcPr>
          <w:p>
            <w:pPr>
              <w:spacing w:after="0"/>
              <w:rPr>
                <w:sz w:val="3"/>
                <w:szCs w:val="3"/>
                <w:color w:val="auto"/>
              </w:rPr>
            </w:pPr>
          </w:p>
        </w:tc>
        <w:tc>
          <w:tcPr>
            <w:tcW w:w="1340" w:type="dxa"/>
            <w:vAlign w:val="bottom"/>
            <w:tcBorders>
              <w:bottom w:val="single" w:sz="8" w:color="003595"/>
            </w:tcBorders>
          </w:tcPr>
          <w:p>
            <w:pPr>
              <w:spacing w:after="0"/>
              <w:rPr>
                <w:sz w:val="3"/>
                <w:szCs w:val="3"/>
                <w:color w:val="auto"/>
              </w:rPr>
            </w:pPr>
          </w:p>
        </w:tc>
        <w:tc>
          <w:tcPr>
            <w:tcW w:w="7400" w:type="dxa"/>
            <w:vAlign w:val="bottom"/>
            <w:tcBorders>
              <w:bottom w:val="single" w:sz="8" w:color="003595"/>
            </w:tcBorders>
          </w:tcPr>
          <w:p>
            <w:pPr>
              <w:spacing w:after="0"/>
              <w:rPr>
                <w:sz w:val="3"/>
                <w:szCs w:val="3"/>
                <w:color w:val="auto"/>
              </w:rPr>
            </w:pPr>
          </w:p>
        </w:tc>
      </w:tr>
      <w:tr>
        <w:trPr>
          <w:trHeight w:val="182"/>
        </w:trPr>
        <w:tc>
          <w:tcPr>
            <w:tcW w:w="720" w:type="dxa"/>
            <w:vAlign w:val="bottom"/>
          </w:tcPr>
          <w:p>
            <w:pPr>
              <w:ind w:left="220"/>
              <w:spacing w:after="0"/>
              <w:rPr>
                <w:sz w:val="20"/>
                <w:szCs w:val="20"/>
                <w:color w:val="auto"/>
              </w:rPr>
            </w:pPr>
            <w:r>
              <w:rPr>
                <w:rFonts w:ascii="Arial" w:cs="Arial" w:eastAsia="Arial" w:hAnsi="Arial"/>
                <w:sz w:val="13"/>
                <w:szCs w:val="13"/>
                <w:color w:val="auto"/>
              </w:rPr>
              <w:t>2022</w:t>
            </w:r>
          </w:p>
        </w:tc>
        <w:tc>
          <w:tcPr>
            <w:tcW w:w="1320" w:type="dxa"/>
            <w:vAlign w:val="bottom"/>
          </w:tcPr>
          <w:p>
            <w:pPr>
              <w:spacing w:after="0"/>
              <w:rPr>
                <w:sz w:val="20"/>
                <w:szCs w:val="20"/>
                <w:color w:val="auto"/>
              </w:rPr>
            </w:pPr>
            <w:r>
              <w:rPr>
                <w:rFonts w:ascii="Arial" w:cs="Arial" w:eastAsia="Arial" w:hAnsi="Arial"/>
                <w:sz w:val="13"/>
                <w:szCs w:val="13"/>
                <w:color w:val="auto"/>
              </w:rPr>
              <w:t>Paul J. Diaz</w:t>
            </w:r>
          </w:p>
        </w:tc>
        <w:tc>
          <w:tcPr>
            <w:tcW w:w="1340" w:type="dxa"/>
            <w:vAlign w:val="bottom"/>
          </w:tcPr>
          <w:p>
            <w:pPr>
              <w:ind w:left="20"/>
              <w:spacing w:after="0"/>
              <w:rPr>
                <w:sz w:val="20"/>
                <w:szCs w:val="20"/>
                <w:color w:val="auto"/>
              </w:rPr>
            </w:pPr>
            <w:r>
              <w:rPr>
                <w:rFonts w:ascii="Arial" w:cs="Arial" w:eastAsia="Arial" w:hAnsi="Arial"/>
                <w:sz w:val="13"/>
                <w:szCs w:val="13"/>
                <w:color w:val="auto"/>
              </w:rPr>
              <w:t>—</w:t>
            </w:r>
          </w:p>
        </w:tc>
        <w:tc>
          <w:tcPr>
            <w:tcW w:w="7400" w:type="dxa"/>
            <w:vAlign w:val="bottom"/>
          </w:tcPr>
          <w:p>
            <w:pPr>
              <w:ind w:left="20"/>
              <w:spacing w:after="0"/>
              <w:rPr>
                <w:sz w:val="20"/>
                <w:szCs w:val="20"/>
                <w:color w:val="auto"/>
              </w:rPr>
            </w:pPr>
            <w:r>
              <w:rPr>
                <w:rFonts w:ascii="Arial" w:cs="Arial" w:eastAsia="Arial" w:hAnsi="Arial"/>
                <w:sz w:val="13"/>
                <w:szCs w:val="13"/>
                <w:color w:val="auto"/>
              </w:rPr>
              <w:t>R. Bryan Riggsbee, Jerry S. Lanchbury, Ph.D., Nicole Lambert, Mark S. Verratti, and Kevin R. Haas, Ph.D.</w:t>
            </w:r>
          </w:p>
        </w:tc>
      </w:tr>
      <w:tr>
        <w:trPr>
          <w:trHeight w:val="41"/>
        </w:trPr>
        <w:tc>
          <w:tcPr>
            <w:tcW w:w="720" w:type="dxa"/>
            <w:vAlign w:val="bottom"/>
            <w:tcBorders>
              <w:bottom w:val="single" w:sz="8" w:color="003595"/>
            </w:tcBorders>
          </w:tcPr>
          <w:p>
            <w:pPr>
              <w:spacing w:after="0"/>
              <w:rPr>
                <w:sz w:val="3"/>
                <w:szCs w:val="3"/>
                <w:color w:val="auto"/>
              </w:rPr>
            </w:pPr>
          </w:p>
        </w:tc>
        <w:tc>
          <w:tcPr>
            <w:tcW w:w="1320" w:type="dxa"/>
            <w:vAlign w:val="bottom"/>
            <w:tcBorders>
              <w:bottom w:val="single" w:sz="8" w:color="003595"/>
            </w:tcBorders>
          </w:tcPr>
          <w:p>
            <w:pPr>
              <w:spacing w:after="0"/>
              <w:rPr>
                <w:sz w:val="3"/>
                <w:szCs w:val="3"/>
                <w:color w:val="auto"/>
              </w:rPr>
            </w:pPr>
          </w:p>
        </w:tc>
        <w:tc>
          <w:tcPr>
            <w:tcW w:w="1340" w:type="dxa"/>
            <w:vAlign w:val="bottom"/>
            <w:tcBorders>
              <w:bottom w:val="single" w:sz="8" w:color="003595"/>
            </w:tcBorders>
          </w:tcPr>
          <w:p>
            <w:pPr>
              <w:spacing w:after="0"/>
              <w:rPr>
                <w:sz w:val="3"/>
                <w:szCs w:val="3"/>
                <w:color w:val="auto"/>
              </w:rPr>
            </w:pPr>
          </w:p>
        </w:tc>
        <w:tc>
          <w:tcPr>
            <w:tcW w:w="7400" w:type="dxa"/>
            <w:vAlign w:val="bottom"/>
            <w:tcBorders>
              <w:bottom w:val="single" w:sz="8" w:color="003595"/>
            </w:tcBorders>
          </w:tcPr>
          <w:p>
            <w:pPr>
              <w:spacing w:after="0"/>
              <w:rPr>
                <w:sz w:val="3"/>
                <w:szCs w:val="3"/>
                <w:color w:val="auto"/>
              </w:rPr>
            </w:pPr>
          </w:p>
        </w:tc>
      </w:tr>
      <w:tr>
        <w:trPr>
          <w:trHeight w:val="182"/>
        </w:trPr>
        <w:tc>
          <w:tcPr>
            <w:tcW w:w="720" w:type="dxa"/>
            <w:vAlign w:val="bottom"/>
          </w:tcPr>
          <w:p>
            <w:pPr>
              <w:ind w:left="220"/>
              <w:spacing w:after="0"/>
              <w:rPr>
                <w:sz w:val="20"/>
                <w:szCs w:val="20"/>
                <w:color w:val="auto"/>
              </w:rPr>
            </w:pPr>
            <w:r>
              <w:rPr>
                <w:rFonts w:ascii="Arial" w:cs="Arial" w:eastAsia="Arial" w:hAnsi="Arial"/>
                <w:sz w:val="13"/>
                <w:szCs w:val="13"/>
                <w:color w:val="auto"/>
              </w:rPr>
              <w:t>2021</w:t>
            </w:r>
          </w:p>
        </w:tc>
        <w:tc>
          <w:tcPr>
            <w:tcW w:w="1320" w:type="dxa"/>
            <w:vAlign w:val="bottom"/>
          </w:tcPr>
          <w:p>
            <w:pPr>
              <w:spacing w:after="0"/>
              <w:rPr>
                <w:sz w:val="20"/>
                <w:szCs w:val="20"/>
                <w:color w:val="auto"/>
              </w:rPr>
            </w:pPr>
            <w:r>
              <w:rPr>
                <w:rFonts w:ascii="Arial" w:cs="Arial" w:eastAsia="Arial" w:hAnsi="Arial"/>
                <w:sz w:val="13"/>
                <w:szCs w:val="13"/>
                <w:color w:val="auto"/>
              </w:rPr>
              <w:t>Paul J. Diaz</w:t>
            </w:r>
          </w:p>
        </w:tc>
        <w:tc>
          <w:tcPr>
            <w:tcW w:w="1340" w:type="dxa"/>
            <w:vAlign w:val="bottom"/>
          </w:tcPr>
          <w:p>
            <w:pPr>
              <w:ind w:left="20"/>
              <w:spacing w:after="0"/>
              <w:rPr>
                <w:sz w:val="20"/>
                <w:szCs w:val="20"/>
                <w:color w:val="auto"/>
              </w:rPr>
            </w:pPr>
            <w:r>
              <w:rPr>
                <w:rFonts w:ascii="Arial" w:cs="Arial" w:eastAsia="Arial" w:hAnsi="Arial"/>
                <w:sz w:val="13"/>
                <w:szCs w:val="13"/>
                <w:color w:val="auto"/>
              </w:rPr>
              <w:t>—</w:t>
            </w:r>
          </w:p>
        </w:tc>
        <w:tc>
          <w:tcPr>
            <w:tcW w:w="7400" w:type="dxa"/>
            <w:vAlign w:val="bottom"/>
          </w:tcPr>
          <w:p>
            <w:pPr>
              <w:ind w:left="20"/>
              <w:spacing w:after="0"/>
              <w:rPr>
                <w:sz w:val="20"/>
                <w:szCs w:val="20"/>
                <w:color w:val="auto"/>
              </w:rPr>
            </w:pPr>
            <w:r>
              <w:rPr>
                <w:rFonts w:ascii="Arial" w:cs="Arial" w:eastAsia="Arial" w:hAnsi="Arial"/>
                <w:sz w:val="13"/>
                <w:szCs w:val="13"/>
                <w:color w:val="auto"/>
              </w:rPr>
              <w:t>R. Bryan Riggsbee, Jerry S. Lanchbury, Ph.D., Nicole Lambert, Mark S. Verratti</w:t>
            </w:r>
          </w:p>
        </w:tc>
      </w:tr>
      <w:tr>
        <w:trPr>
          <w:trHeight w:val="41"/>
        </w:trPr>
        <w:tc>
          <w:tcPr>
            <w:tcW w:w="720" w:type="dxa"/>
            <w:vAlign w:val="bottom"/>
            <w:tcBorders>
              <w:bottom w:val="single" w:sz="8" w:color="003595"/>
            </w:tcBorders>
          </w:tcPr>
          <w:p>
            <w:pPr>
              <w:spacing w:after="0"/>
              <w:rPr>
                <w:sz w:val="3"/>
                <w:szCs w:val="3"/>
                <w:color w:val="auto"/>
              </w:rPr>
            </w:pPr>
          </w:p>
        </w:tc>
        <w:tc>
          <w:tcPr>
            <w:tcW w:w="1320" w:type="dxa"/>
            <w:vAlign w:val="bottom"/>
            <w:tcBorders>
              <w:bottom w:val="single" w:sz="8" w:color="003595"/>
            </w:tcBorders>
          </w:tcPr>
          <w:p>
            <w:pPr>
              <w:spacing w:after="0"/>
              <w:rPr>
                <w:sz w:val="3"/>
                <w:szCs w:val="3"/>
                <w:color w:val="auto"/>
              </w:rPr>
            </w:pPr>
          </w:p>
        </w:tc>
        <w:tc>
          <w:tcPr>
            <w:tcW w:w="1340" w:type="dxa"/>
            <w:vAlign w:val="bottom"/>
            <w:tcBorders>
              <w:bottom w:val="single" w:sz="8" w:color="003595"/>
            </w:tcBorders>
          </w:tcPr>
          <w:p>
            <w:pPr>
              <w:spacing w:after="0"/>
              <w:rPr>
                <w:sz w:val="3"/>
                <w:szCs w:val="3"/>
                <w:color w:val="auto"/>
              </w:rPr>
            </w:pPr>
          </w:p>
        </w:tc>
        <w:tc>
          <w:tcPr>
            <w:tcW w:w="7400" w:type="dxa"/>
            <w:vAlign w:val="bottom"/>
            <w:tcBorders>
              <w:bottom w:val="single" w:sz="8" w:color="003595"/>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6837045</wp:posOffset>
            </wp:positionH>
            <wp:positionV relativeFrom="paragraph">
              <wp:posOffset>-779145</wp:posOffset>
            </wp:positionV>
            <wp:extent cx="8890" cy="7797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77978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-779145</wp:posOffset>
            </wp:positionV>
            <wp:extent cx="8255" cy="7797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779780"/>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-779145</wp:posOffset>
            </wp:positionV>
            <wp:extent cx="8255" cy="7797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779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8890" cy="7797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77978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-779145</wp:posOffset>
            </wp:positionV>
            <wp:extent cx="8890" cy="7797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779780"/>
                    </a:xfrm>
                    <a:prstGeom prst="rect">
                      <a:avLst/>
                    </a:prstGeom>
                    <a:noFill/>
                  </pic:spPr>
                </pic:pic>
              </a:graphicData>
            </a:graphic>
          </wp:anchor>
        </w:drawing>
      </w:r>
    </w:p>
    <w:p>
      <w:pPr>
        <w:spacing w:after="0" w:line="313" w:lineRule="exact"/>
        <w:rPr>
          <w:sz w:val="20"/>
          <w:szCs w:val="20"/>
          <w:color w:val="auto"/>
        </w:rPr>
      </w:pPr>
    </w:p>
    <w:p>
      <w:pPr>
        <w:ind w:firstLine="8"/>
        <w:spacing w:after="0" w:line="286" w:lineRule="auto"/>
        <w:tabs>
          <w:tab w:leader="none" w:pos="213"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table below shows the additions and deductions to calculate "compensation actually paid" for the NEOs in each year as compared to the total compensation reported in the Summary Compensation Table ("SCT").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56"/>
        </w:trPr>
        <w:tc>
          <w:tcPr>
            <w:tcW w:w="920" w:type="dxa"/>
            <w:vAlign w:val="bottom"/>
          </w:tcPr>
          <w:p>
            <w:pPr>
              <w:spacing w:after="0"/>
              <w:rPr>
                <w:sz w:val="13"/>
                <w:szCs w:val="13"/>
                <w:color w:val="auto"/>
              </w:rPr>
            </w:pPr>
          </w:p>
        </w:tc>
        <w:tc>
          <w:tcPr>
            <w:tcW w:w="940" w:type="dxa"/>
            <w:vAlign w:val="bottom"/>
            <w:tcBorders>
              <w:top w:val="single" w:sz="8" w:color="0A2299"/>
              <w:left w:val="single" w:sz="8" w:color="0A2299"/>
            </w:tcBorders>
            <w:shd w:val="clear" w:color="auto" w:fill="003595"/>
          </w:tcPr>
          <w:p>
            <w:pPr>
              <w:spacing w:after="0"/>
              <w:rPr>
                <w:sz w:val="13"/>
                <w:szCs w:val="13"/>
                <w:color w:val="auto"/>
              </w:rPr>
            </w:pPr>
          </w:p>
        </w:tc>
        <w:tc>
          <w:tcPr>
            <w:tcW w:w="920" w:type="dxa"/>
            <w:vAlign w:val="bottom"/>
            <w:tcBorders>
              <w:top w:val="single" w:sz="8" w:color="0A2299"/>
            </w:tcBorders>
            <w:gridSpan w:val="2"/>
            <w:shd w:val="clear" w:color="auto" w:fill="003595"/>
          </w:tcPr>
          <w:p>
            <w:pPr>
              <w:jc w:val="center"/>
              <w:spacing w:after="0"/>
              <w:rPr>
                <w:sz w:val="20"/>
                <w:szCs w:val="20"/>
                <w:color w:val="auto"/>
              </w:rPr>
            </w:pPr>
            <w:r>
              <w:rPr>
                <w:rFonts w:ascii="Arial" w:cs="Arial" w:eastAsia="Arial" w:hAnsi="Arial"/>
                <w:sz w:val="11"/>
                <w:szCs w:val="11"/>
                <w:color w:val="FFFFFF"/>
              </w:rPr>
              <w:t>2025</w:t>
            </w:r>
          </w:p>
        </w:tc>
        <w:tc>
          <w:tcPr>
            <w:tcW w:w="20" w:type="dxa"/>
            <w:vAlign w:val="bottom"/>
            <w:tcBorders>
              <w:top w:val="single" w:sz="8" w:color="0A2299"/>
            </w:tcBorders>
            <w:shd w:val="clear" w:color="auto" w:fill="003595"/>
          </w:tcPr>
          <w:p>
            <w:pPr>
              <w:spacing w:after="0"/>
              <w:rPr>
                <w:sz w:val="13"/>
                <w:szCs w:val="13"/>
                <w:color w:val="auto"/>
              </w:rPr>
            </w:pPr>
          </w:p>
        </w:tc>
        <w:tc>
          <w:tcPr>
            <w:tcW w:w="960" w:type="dxa"/>
            <w:vAlign w:val="bottom"/>
            <w:tcBorders>
              <w:top w:val="single" w:sz="8" w:color="0A2299"/>
            </w:tcBorders>
            <w:shd w:val="clear" w:color="auto" w:fill="003595"/>
          </w:tcPr>
          <w:p>
            <w:pPr>
              <w:spacing w:after="0"/>
              <w:rPr>
                <w:sz w:val="13"/>
                <w:szCs w:val="13"/>
                <w:color w:val="auto"/>
              </w:rPr>
            </w:pPr>
          </w:p>
        </w:tc>
        <w:tc>
          <w:tcPr>
            <w:tcW w:w="740" w:type="dxa"/>
            <w:vAlign w:val="bottom"/>
            <w:tcBorders>
              <w:top w:val="single" w:sz="8" w:color="0A2299"/>
            </w:tcBorders>
            <w:shd w:val="clear" w:color="auto" w:fill="003595"/>
          </w:tcPr>
          <w:p>
            <w:pPr>
              <w:spacing w:after="0"/>
              <w:rPr>
                <w:sz w:val="13"/>
                <w:szCs w:val="13"/>
                <w:color w:val="auto"/>
              </w:rPr>
            </w:pPr>
          </w:p>
        </w:tc>
        <w:tc>
          <w:tcPr>
            <w:tcW w:w="1120" w:type="dxa"/>
            <w:vAlign w:val="bottom"/>
            <w:tcBorders>
              <w:top w:val="single" w:sz="8" w:color="0A2299"/>
            </w:tcBorders>
            <w:gridSpan w:val="2"/>
            <w:shd w:val="clear" w:color="auto" w:fill="003595"/>
          </w:tcPr>
          <w:p>
            <w:pPr>
              <w:jc w:val="right"/>
              <w:ind w:right="786"/>
              <w:spacing w:after="0"/>
              <w:rPr>
                <w:sz w:val="20"/>
                <w:szCs w:val="20"/>
                <w:color w:val="auto"/>
              </w:rPr>
            </w:pPr>
            <w:r>
              <w:rPr>
                <w:rFonts w:ascii="Arial" w:cs="Arial" w:eastAsia="Arial" w:hAnsi="Arial"/>
                <w:sz w:val="11"/>
                <w:szCs w:val="11"/>
                <w:color w:val="FFFFFF"/>
              </w:rPr>
              <w:t>2024</w:t>
            </w:r>
          </w:p>
        </w:tc>
        <w:tc>
          <w:tcPr>
            <w:tcW w:w="760" w:type="dxa"/>
            <w:vAlign w:val="bottom"/>
            <w:tcBorders>
              <w:top w:val="single" w:sz="8" w:color="0A2299"/>
            </w:tcBorders>
            <w:shd w:val="clear" w:color="auto" w:fill="003595"/>
          </w:tcPr>
          <w:p>
            <w:pPr>
              <w:spacing w:after="0"/>
              <w:rPr>
                <w:sz w:val="13"/>
                <w:szCs w:val="13"/>
                <w:color w:val="auto"/>
              </w:rPr>
            </w:pPr>
          </w:p>
        </w:tc>
        <w:tc>
          <w:tcPr>
            <w:tcW w:w="1100" w:type="dxa"/>
            <w:vAlign w:val="bottom"/>
            <w:tcBorders>
              <w:top w:val="single" w:sz="8" w:color="0A2299"/>
            </w:tcBorders>
            <w:gridSpan w:val="3"/>
            <w:shd w:val="clear" w:color="auto" w:fill="003595"/>
          </w:tcPr>
          <w:p>
            <w:pPr>
              <w:jc w:val="right"/>
              <w:ind w:right="786"/>
              <w:spacing w:after="0"/>
              <w:rPr>
                <w:sz w:val="20"/>
                <w:szCs w:val="20"/>
                <w:color w:val="auto"/>
              </w:rPr>
            </w:pPr>
            <w:r>
              <w:rPr>
                <w:rFonts w:ascii="Arial" w:cs="Arial" w:eastAsia="Arial" w:hAnsi="Arial"/>
                <w:sz w:val="11"/>
                <w:szCs w:val="11"/>
                <w:color w:val="FFFFFF"/>
                <w:w w:val="97"/>
              </w:rPr>
              <w:t>2023</w:t>
            </w:r>
          </w:p>
        </w:tc>
        <w:tc>
          <w:tcPr>
            <w:tcW w:w="780" w:type="dxa"/>
            <w:vAlign w:val="bottom"/>
            <w:tcBorders>
              <w:top w:val="single" w:sz="8" w:color="0A2299"/>
            </w:tcBorders>
            <w:shd w:val="clear" w:color="auto" w:fill="003595"/>
          </w:tcPr>
          <w:p>
            <w:pPr>
              <w:spacing w:after="0"/>
              <w:rPr>
                <w:sz w:val="13"/>
                <w:szCs w:val="13"/>
                <w:color w:val="auto"/>
              </w:rPr>
            </w:pPr>
          </w:p>
        </w:tc>
        <w:tc>
          <w:tcPr>
            <w:tcW w:w="1140" w:type="dxa"/>
            <w:vAlign w:val="bottom"/>
            <w:tcBorders>
              <w:top w:val="single" w:sz="8" w:color="0A2299"/>
            </w:tcBorders>
            <w:gridSpan w:val="3"/>
            <w:shd w:val="clear" w:color="auto" w:fill="003595"/>
          </w:tcPr>
          <w:p>
            <w:pPr>
              <w:jc w:val="right"/>
              <w:ind w:right="806"/>
              <w:spacing w:after="0"/>
              <w:rPr>
                <w:sz w:val="20"/>
                <w:szCs w:val="20"/>
                <w:color w:val="auto"/>
              </w:rPr>
            </w:pPr>
            <w:r>
              <w:rPr>
                <w:rFonts w:ascii="Arial" w:cs="Arial" w:eastAsia="Arial" w:hAnsi="Arial"/>
                <w:sz w:val="11"/>
                <w:szCs w:val="11"/>
                <w:color w:val="FFFFFF"/>
              </w:rPr>
              <w:t>2022</w:t>
            </w:r>
          </w:p>
        </w:tc>
        <w:tc>
          <w:tcPr>
            <w:tcW w:w="740" w:type="dxa"/>
            <w:vAlign w:val="bottom"/>
            <w:tcBorders>
              <w:top w:val="single" w:sz="8" w:color="0A2299"/>
            </w:tcBorders>
            <w:shd w:val="clear" w:color="auto" w:fill="003595"/>
          </w:tcPr>
          <w:p>
            <w:pPr>
              <w:spacing w:after="0"/>
              <w:rPr>
                <w:sz w:val="13"/>
                <w:szCs w:val="13"/>
                <w:color w:val="auto"/>
              </w:rPr>
            </w:pPr>
          </w:p>
        </w:tc>
        <w:tc>
          <w:tcPr>
            <w:tcW w:w="1120" w:type="dxa"/>
            <w:vAlign w:val="bottom"/>
            <w:tcBorders>
              <w:top w:val="single" w:sz="8" w:color="0A2299"/>
              <w:right w:val="single" w:sz="8" w:color="0A2299"/>
            </w:tcBorders>
            <w:gridSpan w:val="2"/>
            <w:shd w:val="clear" w:color="auto" w:fill="003595"/>
          </w:tcPr>
          <w:p>
            <w:pPr>
              <w:jc w:val="right"/>
              <w:ind w:right="786"/>
              <w:spacing w:after="0"/>
              <w:rPr>
                <w:sz w:val="20"/>
                <w:szCs w:val="20"/>
                <w:color w:val="auto"/>
              </w:rPr>
            </w:pPr>
            <w:r>
              <w:rPr>
                <w:rFonts w:ascii="Arial" w:cs="Arial" w:eastAsia="Arial" w:hAnsi="Arial"/>
                <w:sz w:val="11"/>
                <w:szCs w:val="11"/>
                <w:color w:val="FFFFFF"/>
              </w:rPr>
              <w:t>2021</w:t>
            </w:r>
          </w:p>
        </w:tc>
      </w:tr>
      <w:tr>
        <w:trPr>
          <w:trHeight w:val="169"/>
        </w:trPr>
        <w:tc>
          <w:tcPr>
            <w:tcW w:w="920" w:type="dxa"/>
            <w:vAlign w:val="bottom"/>
          </w:tcPr>
          <w:p>
            <w:pPr>
              <w:spacing w:after="0"/>
              <w:rPr>
                <w:sz w:val="14"/>
                <w:szCs w:val="14"/>
                <w:color w:val="auto"/>
              </w:rPr>
            </w:pPr>
          </w:p>
        </w:tc>
        <w:tc>
          <w:tcPr>
            <w:tcW w:w="940" w:type="dxa"/>
            <w:vAlign w:val="bottom"/>
            <w:tcBorders>
              <w:left w:val="single" w:sz="8" w:color="0A2299"/>
            </w:tcBorders>
            <w:shd w:val="clear" w:color="auto" w:fill="003595"/>
          </w:tcPr>
          <w:p>
            <w:pPr>
              <w:ind w:left="240"/>
              <w:spacing w:after="0"/>
              <w:rPr>
                <w:sz w:val="20"/>
                <w:szCs w:val="20"/>
                <w:color w:val="auto"/>
              </w:rPr>
            </w:pPr>
            <w:r>
              <w:rPr>
                <w:rFonts w:ascii="Arial" w:cs="Arial" w:eastAsia="Arial" w:hAnsi="Arial"/>
                <w:sz w:val="11"/>
                <w:szCs w:val="11"/>
                <w:color w:val="FFFFFF"/>
              </w:rPr>
              <w:t>First PEO</w:t>
            </w:r>
          </w:p>
        </w:tc>
        <w:tc>
          <w:tcPr>
            <w:tcW w:w="20" w:type="dxa"/>
            <w:vAlign w:val="bottom"/>
            <w:shd w:val="clear" w:color="auto" w:fill="003595"/>
          </w:tcPr>
          <w:p>
            <w:pPr>
              <w:spacing w:after="0"/>
              <w:rPr>
                <w:sz w:val="14"/>
                <w:szCs w:val="14"/>
                <w:color w:val="auto"/>
              </w:rPr>
            </w:pPr>
          </w:p>
        </w:tc>
        <w:tc>
          <w:tcPr>
            <w:tcW w:w="900" w:type="dxa"/>
            <w:vAlign w:val="bottom"/>
            <w:shd w:val="clear" w:color="auto" w:fill="003595"/>
          </w:tcPr>
          <w:p>
            <w:pPr>
              <w:ind w:left="140"/>
              <w:spacing w:after="0"/>
              <w:rPr>
                <w:sz w:val="20"/>
                <w:szCs w:val="20"/>
                <w:color w:val="auto"/>
              </w:rPr>
            </w:pPr>
            <w:r>
              <w:rPr>
                <w:rFonts w:ascii="Arial" w:cs="Arial" w:eastAsia="Arial" w:hAnsi="Arial"/>
                <w:sz w:val="11"/>
                <w:szCs w:val="11"/>
                <w:color w:val="FFFFFF"/>
              </w:rPr>
              <w:t>Second PEO</w:t>
            </w:r>
          </w:p>
        </w:tc>
        <w:tc>
          <w:tcPr>
            <w:tcW w:w="20" w:type="dxa"/>
            <w:vAlign w:val="bottom"/>
            <w:shd w:val="clear" w:color="auto" w:fill="003595"/>
          </w:tcPr>
          <w:p>
            <w:pPr>
              <w:spacing w:after="0"/>
              <w:rPr>
                <w:sz w:val="14"/>
                <w:szCs w:val="14"/>
                <w:color w:val="auto"/>
              </w:rPr>
            </w:pPr>
          </w:p>
        </w:tc>
        <w:tc>
          <w:tcPr>
            <w:tcW w:w="960" w:type="dxa"/>
            <w:vAlign w:val="bottom"/>
            <w:shd w:val="clear" w:color="auto" w:fill="003595"/>
          </w:tcPr>
          <w:p>
            <w:pPr>
              <w:jc w:val="center"/>
              <w:spacing w:after="0"/>
              <w:rPr>
                <w:sz w:val="20"/>
                <w:szCs w:val="20"/>
                <w:color w:val="auto"/>
              </w:rPr>
            </w:pPr>
            <w:r>
              <w:rPr>
                <w:rFonts w:ascii="Arial" w:cs="Arial" w:eastAsia="Arial" w:hAnsi="Arial"/>
                <w:sz w:val="11"/>
                <w:szCs w:val="11"/>
                <w:color w:val="FFFFFF"/>
                <w:w w:val="98"/>
              </w:rPr>
              <w:t>Avg Non-PEO</w:t>
            </w:r>
          </w:p>
        </w:tc>
        <w:tc>
          <w:tcPr>
            <w:tcW w:w="740" w:type="dxa"/>
            <w:vAlign w:val="bottom"/>
            <w:shd w:val="clear" w:color="auto" w:fill="003595"/>
          </w:tcPr>
          <w:p>
            <w:pPr>
              <w:ind w:left="200"/>
              <w:spacing w:after="0"/>
              <w:rPr>
                <w:sz w:val="20"/>
                <w:szCs w:val="20"/>
                <w:color w:val="auto"/>
              </w:rPr>
            </w:pPr>
            <w:r>
              <w:rPr>
                <w:rFonts w:ascii="Arial" w:cs="Arial" w:eastAsia="Arial" w:hAnsi="Arial"/>
                <w:sz w:val="11"/>
                <w:szCs w:val="11"/>
                <w:color w:val="FFFFFF"/>
              </w:rPr>
              <w:t>First PEO</w:t>
            </w:r>
          </w:p>
        </w:tc>
        <w:tc>
          <w:tcPr>
            <w:tcW w:w="160" w:type="dxa"/>
            <w:vAlign w:val="bottom"/>
            <w:shd w:val="clear" w:color="auto" w:fill="003595"/>
          </w:tcPr>
          <w:p>
            <w:pPr>
              <w:spacing w:after="0"/>
              <w:rPr>
                <w:sz w:val="14"/>
                <w:szCs w:val="14"/>
                <w:color w:val="auto"/>
              </w:rPr>
            </w:pPr>
          </w:p>
        </w:tc>
        <w:tc>
          <w:tcPr>
            <w:tcW w:w="960" w:type="dxa"/>
            <w:vAlign w:val="bottom"/>
            <w:shd w:val="clear" w:color="auto" w:fill="003595"/>
          </w:tcPr>
          <w:p>
            <w:pPr>
              <w:jc w:val="center"/>
              <w:spacing w:after="0"/>
              <w:rPr>
                <w:sz w:val="20"/>
                <w:szCs w:val="20"/>
                <w:color w:val="auto"/>
              </w:rPr>
            </w:pPr>
            <w:r>
              <w:rPr>
                <w:rFonts w:ascii="Arial" w:cs="Arial" w:eastAsia="Arial" w:hAnsi="Arial"/>
                <w:sz w:val="11"/>
                <w:szCs w:val="11"/>
                <w:color w:val="FFFFFF"/>
                <w:w w:val="98"/>
              </w:rPr>
              <w:t>Avg Non-PEO</w:t>
            </w:r>
          </w:p>
        </w:tc>
        <w:tc>
          <w:tcPr>
            <w:tcW w:w="760" w:type="dxa"/>
            <w:vAlign w:val="bottom"/>
            <w:shd w:val="clear" w:color="auto" w:fill="003595"/>
          </w:tcPr>
          <w:p>
            <w:pPr>
              <w:ind w:left="200"/>
              <w:spacing w:after="0"/>
              <w:rPr>
                <w:sz w:val="20"/>
                <w:szCs w:val="20"/>
                <w:color w:val="auto"/>
              </w:rPr>
            </w:pPr>
            <w:r>
              <w:rPr>
                <w:rFonts w:ascii="Arial" w:cs="Arial" w:eastAsia="Arial" w:hAnsi="Arial"/>
                <w:sz w:val="11"/>
                <w:szCs w:val="11"/>
                <w:color w:val="FFFFFF"/>
              </w:rPr>
              <w:t>First PEO</w:t>
            </w:r>
          </w:p>
        </w:tc>
        <w:tc>
          <w:tcPr>
            <w:tcW w:w="140" w:type="dxa"/>
            <w:vAlign w:val="bottom"/>
            <w:shd w:val="clear" w:color="auto" w:fill="003595"/>
          </w:tcPr>
          <w:p>
            <w:pPr>
              <w:spacing w:after="0"/>
              <w:rPr>
                <w:sz w:val="14"/>
                <w:szCs w:val="14"/>
                <w:color w:val="auto"/>
              </w:rPr>
            </w:pPr>
          </w:p>
        </w:tc>
        <w:tc>
          <w:tcPr>
            <w:tcW w:w="20" w:type="dxa"/>
            <w:vAlign w:val="bottom"/>
            <w:shd w:val="clear" w:color="auto" w:fill="003595"/>
          </w:tcPr>
          <w:p>
            <w:pPr>
              <w:spacing w:after="0"/>
              <w:rPr>
                <w:sz w:val="14"/>
                <w:szCs w:val="14"/>
                <w:color w:val="auto"/>
              </w:rPr>
            </w:pPr>
          </w:p>
        </w:tc>
        <w:tc>
          <w:tcPr>
            <w:tcW w:w="940" w:type="dxa"/>
            <w:vAlign w:val="bottom"/>
            <w:shd w:val="clear" w:color="auto" w:fill="003595"/>
          </w:tcPr>
          <w:p>
            <w:pPr>
              <w:jc w:val="center"/>
              <w:spacing w:after="0"/>
              <w:rPr>
                <w:sz w:val="20"/>
                <w:szCs w:val="20"/>
                <w:color w:val="auto"/>
              </w:rPr>
            </w:pPr>
            <w:r>
              <w:rPr>
                <w:rFonts w:ascii="Arial" w:cs="Arial" w:eastAsia="Arial" w:hAnsi="Arial"/>
                <w:sz w:val="11"/>
                <w:szCs w:val="11"/>
                <w:color w:val="FFFFFF"/>
                <w:w w:val="98"/>
              </w:rPr>
              <w:t>Avg Non-PEO</w:t>
            </w:r>
          </w:p>
        </w:tc>
        <w:tc>
          <w:tcPr>
            <w:tcW w:w="780" w:type="dxa"/>
            <w:vAlign w:val="bottom"/>
            <w:shd w:val="clear" w:color="auto" w:fill="003595"/>
          </w:tcPr>
          <w:p>
            <w:pPr>
              <w:ind w:left="220"/>
              <w:spacing w:after="0"/>
              <w:rPr>
                <w:sz w:val="20"/>
                <w:szCs w:val="20"/>
                <w:color w:val="auto"/>
              </w:rPr>
            </w:pPr>
            <w:r>
              <w:rPr>
                <w:rFonts w:ascii="Arial" w:cs="Arial" w:eastAsia="Arial" w:hAnsi="Arial"/>
                <w:sz w:val="11"/>
                <w:szCs w:val="11"/>
                <w:color w:val="FFFFFF"/>
              </w:rPr>
              <w:t>First PEO</w:t>
            </w:r>
          </w:p>
        </w:tc>
        <w:tc>
          <w:tcPr>
            <w:tcW w:w="140" w:type="dxa"/>
            <w:vAlign w:val="bottom"/>
            <w:shd w:val="clear" w:color="auto" w:fill="003595"/>
          </w:tcPr>
          <w:p>
            <w:pPr>
              <w:spacing w:after="0"/>
              <w:rPr>
                <w:sz w:val="14"/>
                <w:szCs w:val="14"/>
                <w:color w:val="auto"/>
              </w:rPr>
            </w:pPr>
          </w:p>
        </w:tc>
        <w:tc>
          <w:tcPr>
            <w:tcW w:w="20" w:type="dxa"/>
            <w:vAlign w:val="bottom"/>
            <w:shd w:val="clear" w:color="auto" w:fill="003595"/>
          </w:tcPr>
          <w:p>
            <w:pPr>
              <w:spacing w:after="0"/>
              <w:rPr>
                <w:sz w:val="14"/>
                <w:szCs w:val="14"/>
                <w:color w:val="auto"/>
              </w:rPr>
            </w:pPr>
          </w:p>
        </w:tc>
        <w:tc>
          <w:tcPr>
            <w:tcW w:w="980" w:type="dxa"/>
            <w:vAlign w:val="bottom"/>
            <w:shd w:val="clear" w:color="auto" w:fill="003595"/>
          </w:tcPr>
          <w:p>
            <w:pPr>
              <w:jc w:val="center"/>
              <w:ind w:right="6"/>
              <w:spacing w:after="0"/>
              <w:rPr>
                <w:sz w:val="20"/>
                <w:szCs w:val="20"/>
                <w:color w:val="auto"/>
              </w:rPr>
            </w:pPr>
            <w:r>
              <w:rPr>
                <w:rFonts w:ascii="Arial" w:cs="Arial" w:eastAsia="Arial" w:hAnsi="Arial"/>
                <w:sz w:val="11"/>
                <w:szCs w:val="11"/>
                <w:color w:val="FFFFFF"/>
                <w:w w:val="98"/>
              </w:rPr>
              <w:t>Avg Non-PEO</w:t>
            </w:r>
          </w:p>
        </w:tc>
        <w:tc>
          <w:tcPr>
            <w:tcW w:w="740" w:type="dxa"/>
            <w:vAlign w:val="bottom"/>
            <w:shd w:val="clear" w:color="auto" w:fill="003595"/>
          </w:tcPr>
          <w:p>
            <w:pPr>
              <w:ind w:left="200"/>
              <w:spacing w:after="0"/>
              <w:rPr>
                <w:sz w:val="20"/>
                <w:szCs w:val="20"/>
                <w:color w:val="auto"/>
              </w:rPr>
            </w:pPr>
            <w:r>
              <w:rPr>
                <w:rFonts w:ascii="Arial" w:cs="Arial" w:eastAsia="Arial" w:hAnsi="Arial"/>
                <w:sz w:val="11"/>
                <w:szCs w:val="11"/>
                <w:color w:val="FFFFFF"/>
              </w:rPr>
              <w:t>First PEO</w:t>
            </w:r>
          </w:p>
        </w:tc>
        <w:tc>
          <w:tcPr>
            <w:tcW w:w="160" w:type="dxa"/>
            <w:vAlign w:val="bottom"/>
            <w:shd w:val="clear" w:color="auto" w:fill="003595"/>
          </w:tcPr>
          <w:p>
            <w:pPr>
              <w:spacing w:after="0"/>
              <w:rPr>
                <w:sz w:val="14"/>
                <w:szCs w:val="14"/>
                <w:color w:val="auto"/>
              </w:rPr>
            </w:pPr>
          </w:p>
        </w:tc>
        <w:tc>
          <w:tcPr>
            <w:tcW w:w="960" w:type="dxa"/>
            <w:vAlign w:val="bottom"/>
            <w:tcBorders>
              <w:right w:val="single" w:sz="8" w:color="0A2299"/>
            </w:tcBorders>
            <w:shd w:val="clear" w:color="auto" w:fill="003595"/>
          </w:tcPr>
          <w:p>
            <w:pPr>
              <w:jc w:val="center"/>
              <w:spacing w:after="0"/>
              <w:rPr>
                <w:sz w:val="20"/>
                <w:szCs w:val="20"/>
                <w:color w:val="auto"/>
              </w:rPr>
            </w:pPr>
            <w:r>
              <w:rPr>
                <w:rFonts w:ascii="Arial" w:cs="Arial" w:eastAsia="Arial" w:hAnsi="Arial"/>
                <w:sz w:val="11"/>
                <w:szCs w:val="11"/>
                <w:color w:val="FFFFFF"/>
                <w:w w:val="98"/>
              </w:rPr>
              <w:t>Avg Non-PEO</w:t>
            </w:r>
          </w:p>
        </w:tc>
      </w:tr>
      <w:tr>
        <w:trPr>
          <w:trHeight w:val="175"/>
        </w:trPr>
        <w:tc>
          <w:tcPr>
            <w:tcW w:w="920" w:type="dxa"/>
            <w:vAlign w:val="bottom"/>
          </w:tcPr>
          <w:p>
            <w:pPr>
              <w:spacing w:after="0"/>
              <w:rPr>
                <w:sz w:val="15"/>
                <w:szCs w:val="15"/>
                <w:color w:val="auto"/>
              </w:rPr>
            </w:pPr>
          </w:p>
        </w:tc>
        <w:tc>
          <w:tcPr>
            <w:tcW w:w="940" w:type="dxa"/>
            <w:vAlign w:val="bottom"/>
            <w:tcBorders>
              <w:left w:val="single" w:sz="8" w:color="0A2299"/>
              <w:bottom w:val="single" w:sz="8" w:color="003595"/>
            </w:tcBorders>
            <w:shd w:val="clear" w:color="auto" w:fill="003595"/>
          </w:tcPr>
          <w:p>
            <w:pPr>
              <w:spacing w:after="0"/>
              <w:rPr>
                <w:sz w:val="15"/>
                <w:szCs w:val="15"/>
                <w:color w:val="auto"/>
              </w:rPr>
            </w:pPr>
          </w:p>
        </w:tc>
        <w:tc>
          <w:tcPr>
            <w:tcW w:w="20" w:type="dxa"/>
            <w:vAlign w:val="bottom"/>
            <w:tcBorders>
              <w:bottom w:val="single" w:sz="8" w:color="003595"/>
            </w:tcBorders>
            <w:shd w:val="clear" w:color="auto" w:fill="003595"/>
          </w:tcPr>
          <w:p>
            <w:pPr>
              <w:spacing w:after="0"/>
              <w:rPr>
                <w:sz w:val="15"/>
                <w:szCs w:val="15"/>
                <w:color w:val="auto"/>
              </w:rPr>
            </w:pPr>
          </w:p>
        </w:tc>
        <w:tc>
          <w:tcPr>
            <w:tcW w:w="900" w:type="dxa"/>
            <w:vAlign w:val="bottom"/>
            <w:tcBorders>
              <w:bottom w:val="single" w:sz="8" w:color="003595"/>
            </w:tcBorders>
            <w:shd w:val="clear" w:color="auto" w:fill="003595"/>
          </w:tcPr>
          <w:p>
            <w:pPr>
              <w:spacing w:after="0"/>
              <w:rPr>
                <w:sz w:val="15"/>
                <w:szCs w:val="15"/>
                <w:color w:val="auto"/>
              </w:rPr>
            </w:pPr>
          </w:p>
        </w:tc>
        <w:tc>
          <w:tcPr>
            <w:tcW w:w="20" w:type="dxa"/>
            <w:vAlign w:val="bottom"/>
            <w:tcBorders>
              <w:bottom w:val="single" w:sz="8" w:color="003595"/>
            </w:tcBorders>
            <w:shd w:val="clear" w:color="auto" w:fill="003595"/>
          </w:tcPr>
          <w:p>
            <w:pPr>
              <w:spacing w:after="0"/>
              <w:rPr>
                <w:sz w:val="15"/>
                <w:szCs w:val="15"/>
                <w:color w:val="auto"/>
              </w:rPr>
            </w:pPr>
          </w:p>
        </w:tc>
        <w:tc>
          <w:tcPr>
            <w:tcW w:w="96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1"/>
                <w:szCs w:val="11"/>
                <w:color w:val="FFFFFF"/>
              </w:rPr>
              <w:t>NEO</w:t>
            </w:r>
          </w:p>
        </w:tc>
        <w:tc>
          <w:tcPr>
            <w:tcW w:w="740" w:type="dxa"/>
            <w:vAlign w:val="bottom"/>
            <w:tcBorders>
              <w:bottom w:val="single" w:sz="8" w:color="003595"/>
            </w:tcBorders>
            <w:shd w:val="clear" w:color="auto" w:fill="003595"/>
          </w:tcPr>
          <w:p>
            <w:pPr>
              <w:spacing w:after="0"/>
              <w:rPr>
                <w:sz w:val="15"/>
                <w:szCs w:val="15"/>
                <w:color w:val="auto"/>
              </w:rPr>
            </w:pPr>
          </w:p>
        </w:tc>
        <w:tc>
          <w:tcPr>
            <w:tcW w:w="160" w:type="dxa"/>
            <w:vAlign w:val="bottom"/>
            <w:tcBorders>
              <w:bottom w:val="single" w:sz="8" w:color="003595"/>
            </w:tcBorders>
            <w:shd w:val="clear" w:color="auto" w:fill="003595"/>
          </w:tcPr>
          <w:p>
            <w:pPr>
              <w:spacing w:after="0"/>
              <w:rPr>
                <w:sz w:val="15"/>
                <w:szCs w:val="15"/>
                <w:color w:val="auto"/>
              </w:rPr>
            </w:pPr>
          </w:p>
        </w:tc>
        <w:tc>
          <w:tcPr>
            <w:tcW w:w="96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1"/>
                <w:szCs w:val="11"/>
                <w:color w:val="FFFFFF"/>
              </w:rPr>
              <w:t>NEO</w:t>
            </w:r>
          </w:p>
        </w:tc>
        <w:tc>
          <w:tcPr>
            <w:tcW w:w="760" w:type="dxa"/>
            <w:vAlign w:val="bottom"/>
            <w:tcBorders>
              <w:bottom w:val="single" w:sz="8" w:color="003595"/>
            </w:tcBorders>
            <w:shd w:val="clear" w:color="auto" w:fill="003595"/>
          </w:tcPr>
          <w:p>
            <w:pPr>
              <w:spacing w:after="0"/>
              <w:rPr>
                <w:sz w:val="15"/>
                <w:szCs w:val="15"/>
                <w:color w:val="auto"/>
              </w:rPr>
            </w:pPr>
          </w:p>
        </w:tc>
        <w:tc>
          <w:tcPr>
            <w:tcW w:w="140" w:type="dxa"/>
            <w:vAlign w:val="bottom"/>
            <w:tcBorders>
              <w:bottom w:val="single" w:sz="8" w:color="003595"/>
            </w:tcBorders>
            <w:shd w:val="clear" w:color="auto" w:fill="003595"/>
          </w:tcPr>
          <w:p>
            <w:pPr>
              <w:spacing w:after="0"/>
              <w:rPr>
                <w:sz w:val="15"/>
                <w:szCs w:val="15"/>
                <w:color w:val="auto"/>
              </w:rPr>
            </w:pPr>
          </w:p>
        </w:tc>
        <w:tc>
          <w:tcPr>
            <w:tcW w:w="20" w:type="dxa"/>
            <w:vAlign w:val="bottom"/>
            <w:tcBorders>
              <w:bottom w:val="single" w:sz="8" w:color="003595"/>
            </w:tcBorders>
            <w:shd w:val="clear" w:color="auto" w:fill="003595"/>
          </w:tcPr>
          <w:p>
            <w:pPr>
              <w:spacing w:after="0"/>
              <w:rPr>
                <w:sz w:val="15"/>
                <w:szCs w:val="15"/>
                <w:color w:val="auto"/>
              </w:rPr>
            </w:pPr>
          </w:p>
        </w:tc>
        <w:tc>
          <w:tcPr>
            <w:tcW w:w="94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1"/>
                <w:szCs w:val="11"/>
                <w:color w:val="FFFFFF"/>
              </w:rPr>
              <w:t>NEO</w:t>
            </w:r>
          </w:p>
        </w:tc>
        <w:tc>
          <w:tcPr>
            <w:tcW w:w="780" w:type="dxa"/>
            <w:vAlign w:val="bottom"/>
            <w:tcBorders>
              <w:bottom w:val="single" w:sz="8" w:color="003595"/>
            </w:tcBorders>
            <w:shd w:val="clear" w:color="auto" w:fill="003595"/>
          </w:tcPr>
          <w:p>
            <w:pPr>
              <w:spacing w:after="0"/>
              <w:rPr>
                <w:sz w:val="15"/>
                <w:szCs w:val="15"/>
                <w:color w:val="auto"/>
              </w:rPr>
            </w:pPr>
          </w:p>
        </w:tc>
        <w:tc>
          <w:tcPr>
            <w:tcW w:w="140" w:type="dxa"/>
            <w:vAlign w:val="bottom"/>
            <w:tcBorders>
              <w:bottom w:val="single" w:sz="8" w:color="003595"/>
            </w:tcBorders>
            <w:shd w:val="clear" w:color="auto" w:fill="003595"/>
          </w:tcPr>
          <w:p>
            <w:pPr>
              <w:spacing w:after="0"/>
              <w:rPr>
                <w:sz w:val="15"/>
                <w:szCs w:val="15"/>
                <w:color w:val="auto"/>
              </w:rPr>
            </w:pPr>
          </w:p>
        </w:tc>
        <w:tc>
          <w:tcPr>
            <w:tcW w:w="20" w:type="dxa"/>
            <w:vAlign w:val="bottom"/>
            <w:tcBorders>
              <w:bottom w:val="single" w:sz="8" w:color="003595"/>
            </w:tcBorders>
            <w:shd w:val="clear" w:color="auto" w:fill="003595"/>
          </w:tcPr>
          <w:p>
            <w:pPr>
              <w:spacing w:after="0"/>
              <w:rPr>
                <w:sz w:val="15"/>
                <w:szCs w:val="15"/>
                <w:color w:val="auto"/>
              </w:rPr>
            </w:pPr>
          </w:p>
        </w:tc>
        <w:tc>
          <w:tcPr>
            <w:tcW w:w="980" w:type="dxa"/>
            <w:vAlign w:val="bottom"/>
            <w:tcBorders>
              <w:bottom w:val="single" w:sz="8" w:color="003595"/>
            </w:tcBorders>
            <w:shd w:val="clear" w:color="auto" w:fill="003595"/>
          </w:tcPr>
          <w:p>
            <w:pPr>
              <w:jc w:val="center"/>
              <w:ind w:right="6"/>
              <w:spacing w:after="0"/>
              <w:rPr>
                <w:sz w:val="20"/>
                <w:szCs w:val="20"/>
                <w:color w:val="auto"/>
              </w:rPr>
            </w:pPr>
            <w:r>
              <w:rPr>
                <w:rFonts w:ascii="Arial" w:cs="Arial" w:eastAsia="Arial" w:hAnsi="Arial"/>
                <w:sz w:val="11"/>
                <w:szCs w:val="11"/>
                <w:color w:val="FFFFFF"/>
              </w:rPr>
              <w:t>NEO</w:t>
            </w:r>
          </w:p>
        </w:tc>
        <w:tc>
          <w:tcPr>
            <w:tcW w:w="740" w:type="dxa"/>
            <w:vAlign w:val="bottom"/>
            <w:tcBorders>
              <w:bottom w:val="single" w:sz="8" w:color="003595"/>
            </w:tcBorders>
            <w:shd w:val="clear" w:color="auto" w:fill="003595"/>
          </w:tcPr>
          <w:p>
            <w:pPr>
              <w:spacing w:after="0"/>
              <w:rPr>
                <w:sz w:val="15"/>
                <w:szCs w:val="15"/>
                <w:color w:val="auto"/>
              </w:rPr>
            </w:pPr>
          </w:p>
        </w:tc>
        <w:tc>
          <w:tcPr>
            <w:tcW w:w="160" w:type="dxa"/>
            <w:vAlign w:val="bottom"/>
            <w:tcBorders>
              <w:bottom w:val="single" w:sz="8" w:color="003595"/>
            </w:tcBorders>
            <w:shd w:val="clear" w:color="auto" w:fill="003595"/>
          </w:tcPr>
          <w:p>
            <w:pPr>
              <w:spacing w:after="0"/>
              <w:rPr>
                <w:sz w:val="15"/>
                <w:szCs w:val="15"/>
                <w:color w:val="auto"/>
              </w:rPr>
            </w:pPr>
          </w:p>
        </w:tc>
        <w:tc>
          <w:tcPr>
            <w:tcW w:w="960" w:type="dxa"/>
            <w:vAlign w:val="bottom"/>
            <w:tcBorders>
              <w:bottom w:val="single" w:sz="8" w:color="003595"/>
              <w:right w:val="single" w:sz="8" w:color="0A2299"/>
            </w:tcBorders>
            <w:shd w:val="clear" w:color="auto" w:fill="003595"/>
          </w:tcPr>
          <w:p>
            <w:pPr>
              <w:jc w:val="center"/>
              <w:spacing w:after="0"/>
              <w:rPr>
                <w:sz w:val="20"/>
                <w:szCs w:val="20"/>
                <w:color w:val="auto"/>
              </w:rPr>
            </w:pPr>
            <w:r>
              <w:rPr>
                <w:rFonts w:ascii="Arial" w:cs="Arial" w:eastAsia="Arial" w:hAnsi="Arial"/>
                <w:sz w:val="11"/>
                <w:szCs w:val="11"/>
                <w:color w:val="FFFFFF"/>
              </w:rPr>
              <w:t>NEO</w:t>
            </w:r>
          </w:p>
        </w:tc>
      </w:tr>
      <w:tr>
        <w:trPr>
          <w:trHeight w:val="115"/>
        </w:trPr>
        <w:tc>
          <w:tcPr>
            <w:tcW w:w="920" w:type="dxa"/>
            <w:vAlign w:val="bottom"/>
            <w:tcBorders>
              <w:top w:val="single" w:sz="8" w:color="003595"/>
            </w:tcBorders>
            <w:shd w:val="clear" w:color="auto" w:fill="F2F2F2"/>
          </w:tcPr>
          <w:p>
            <w:pPr>
              <w:ind w:left="40"/>
              <w:spacing w:after="0" w:line="115" w:lineRule="exact"/>
              <w:rPr>
                <w:sz w:val="20"/>
                <w:szCs w:val="20"/>
                <w:color w:val="auto"/>
              </w:rPr>
            </w:pPr>
            <w:r>
              <w:rPr>
                <w:rFonts w:ascii="Arial" w:cs="Arial" w:eastAsia="Arial" w:hAnsi="Arial"/>
                <w:sz w:val="11"/>
                <w:szCs w:val="11"/>
                <w:b w:val="1"/>
                <w:bCs w:val="1"/>
                <w:color w:val="auto"/>
              </w:rPr>
              <w:t>Reported SCT</w:t>
            </w:r>
          </w:p>
        </w:tc>
        <w:tc>
          <w:tcPr>
            <w:tcW w:w="940" w:type="dxa"/>
            <w:vAlign w:val="bottom"/>
            <w:tcBorders>
              <w:top w:val="single" w:sz="8" w:color="0A2299"/>
              <w:left w:val="single" w:sz="8" w:color="F2F2F2"/>
            </w:tcBorders>
            <w:shd w:val="clear" w:color="auto" w:fill="F2F2F2"/>
          </w:tcPr>
          <w:p>
            <w:pPr>
              <w:spacing w:after="0"/>
              <w:rPr>
                <w:sz w:val="10"/>
                <w:szCs w:val="10"/>
                <w:color w:val="auto"/>
              </w:rPr>
            </w:pPr>
          </w:p>
        </w:tc>
        <w:tc>
          <w:tcPr>
            <w:tcW w:w="20" w:type="dxa"/>
            <w:vAlign w:val="bottom"/>
            <w:tcBorders>
              <w:top w:val="single" w:sz="8" w:color="003595"/>
            </w:tcBorders>
            <w:shd w:val="clear" w:color="auto" w:fill="F2F2F2"/>
          </w:tcPr>
          <w:p>
            <w:pPr>
              <w:spacing w:after="0"/>
              <w:rPr>
                <w:sz w:val="10"/>
                <w:szCs w:val="10"/>
                <w:color w:val="auto"/>
              </w:rPr>
            </w:pPr>
          </w:p>
        </w:tc>
        <w:tc>
          <w:tcPr>
            <w:tcW w:w="900" w:type="dxa"/>
            <w:vAlign w:val="bottom"/>
            <w:tcBorders>
              <w:top w:val="single" w:sz="8" w:color="0A2299"/>
            </w:tcBorders>
            <w:shd w:val="clear" w:color="auto" w:fill="F2F2F2"/>
          </w:tcPr>
          <w:p>
            <w:pPr>
              <w:spacing w:after="0"/>
              <w:rPr>
                <w:sz w:val="10"/>
                <w:szCs w:val="10"/>
                <w:color w:val="auto"/>
              </w:rPr>
            </w:pPr>
          </w:p>
        </w:tc>
        <w:tc>
          <w:tcPr>
            <w:tcW w:w="20" w:type="dxa"/>
            <w:vAlign w:val="bottom"/>
            <w:tcBorders>
              <w:top w:val="single" w:sz="8" w:color="003595"/>
            </w:tcBorders>
            <w:shd w:val="clear" w:color="auto" w:fill="F2F2F2"/>
          </w:tcPr>
          <w:p>
            <w:pPr>
              <w:spacing w:after="0"/>
              <w:rPr>
                <w:sz w:val="10"/>
                <w:szCs w:val="10"/>
                <w:color w:val="auto"/>
              </w:rPr>
            </w:pPr>
          </w:p>
        </w:tc>
        <w:tc>
          <w:tcPr>
            <w:tcW w:w="960" w:type="dxa"/>
            <w:vAlign w:val="bottom"/>
            <w:tcBorders>
              <w:top w:val="single" w:sz="8" w:color="0A2299"/>
            </w:tcBorders>
            <w:shd w:val="clear" w:color="auto" w:fill="F2F2F2"/>
          </w:tcPr>
          <w:p>
            <w:pPr>
              <w:spacing w:after="0"/>
              <w:rPr>
                <w:sz w:val="10"/>
                <w:szCs w:val="10"/>
                <w:color w:val="auto"/>
              </w:rPr>
            </w:pPr>
          </w:p>
        </w:tc>
        <w:tc>
          <w:tcPr>
            <w:tcW w:w="740" w:type="dxa"/>
            <w:vAlign w:val="bottom"/>
            <w:tcBorders>
              <w:top w:val="single" w:sz="8" w:color="0A2299"/>
            </w:tcBorders>
            <w:shd w:val="clear" w:color="auto" w:fill="F2F2F2"/>
          </w:tcPr>
          <w:p>
            <w:pPr>
              <w:spacing w:after="0"/>
              <w:rPr>
                <w:sz w:val="10"/>
                <w:szCs w:val="10"/>
                <w:color w:val="auto"/>
              </w:rPr>
            </w:pPr>
          </w:p>
        </w:tc>
        <w:tc>
          <w:tcPr>
            <w:tcW w:w="160" w:type="dxa"/>
            <w:vAlign w:val="bottom"/>
            <w:tcBorders>
              <w:top w:val="single" w:sz="8" w:color="0A2299"/>
            </w:tcBorders>
            <w:shd w:val="clear" w:color="auto" w:fill="F2F2F2"/>
          </w:tcPr>
          <w:p>
            <w:pPr>
              <w:spacing w:after="0"/>
              <w:rPr>
                <w:sz w:val="10"/>
                <w:szCs w:val="10"/>
                <w:color w:val="auto"/>
              </w:rPr>
            </w:pPr>
          </w:p>
        </w:tc>
        <w:tc>
          <w:tcPr>
            <w:tcW w:w="960" w:type="dxa"/>
            <w:vAlign w:val="bottom"/>
            <w:tcBorders>
              <w:top w:val="single" w:sz="8" w:color="0A2299"/>
            </w:tcBorders>
            <w:shd w:val="clear" w:color="auto" w:fill="F2F2F2"/>
          </w:tcPr>
          <w:p>
            <w:pPr>
              <w:spacing w:after="0"/>
              <w:rPr>
                <w:sz w:val="10"/>
                <w:szCs w:val="10"/>
                <w:color w:val="auto"/>
              </w:rPr>
            </w:pPr>
          </w:p>
        </w:tc>
        <w:tc>
          <w:tcPr>
            <w:tcW w:w="760" w:type="dxa"/>
            <w:vAlign w:val="bottom"/>
            <w:tcBorders>
              <w:top w:val="single" w:sz="8" w:color="0A2299"/>
            </w:tcBorders>
            <w:shd w:val="clear" w:color="auto" w:fill="F2F2F2"/>
          </w:tcPr>
          <w:p>
            <w:pPr>
              <w:spacing w:after="0"/>
              <w:rPr>
                <w:sz w:val="10"/>
                <w:szCs w:val="10"/>
                <w:color w:val="auto"/>
              </w:rPr>
            </w:pPr>
          </w:p>
        </w:tc>
        <w:tc>
          <w:tcPr>
            <w:tcW w:w="140" w:type="dxa"/>
            <w:vAlign w:val="bottom"/>
            <w:tcBorders>
              <w:top w:val="single" w:sz="8" w:color="0A2299"/>
            </w:tcBorders>
            <w:shd w:val="clear" w:color="auto" w:fill="F2F2F2"/>
          </w:tcPr>
          <w:p>
            <w:pPr>
              <w:spacing w:after="0"/>
              <w:rPr>
                <w:sz w:val="10"/>
                <w:szCs w:val="10"/>
                <w:color w:val="auto"/>
              </w:rPr>
            </w:pPr>
          </w:p>
        </w:tc>
        <w:tc>
          <w:tcPr>
            <w:tcW w:w="20" w:type="dxa"/>
            <w:vAlign w:val="bottom"/>
            <w:tcBorders>
              <w:top w:val="single" w:sz="8" w:color="003595"/>
            </w:tcBorders>
            <w:shd w:val="clear" w:color="auto" w:fill="F2F2F2"/>
          </w:tcPr>
          <w:p>
            <w:pPr>
              <w:spacing w:after="0"/>
              <w:rPr>
                <w:sz w:val="10"/>
                <w:szCs w:val="10"/>
                <w:color w:val="auto"/>
              </w:rPr>
            </w:pPr>
          </w:p>
        </w:tc>
        <w:tc>
          <w:tcPr>
            <w:tcW w:w="940" w:type="dxa"/>
            <w:vAlign w:val="bottom"/>
            <w:tcBorders>
              <w:top w:val="single" w:sz="8" w:color="0A2299"/>
            </w:tcBorders>
            <w:shd w:val="clear" w:color="auto" w:fill="F2F2F2"/>
          </w:tcPr>
          <w:p>
            <w:pPr>
              <w:spacing w:after="0"/>
              <w:rPr>
                <w:sz w:val="10"/>
                <w:szCs w:val="10"/>
                <w:color w:val="auto"/>
              </w:rPr>
            </w:pPr>
          </w:p>
        </w:tc>
        <w:tc>
          <w:tcPr>
            <w:tcW w:w="780" w:type="dxa"/>
            <w:vAlign w:val="bottom"/>
            <w:tcBorders>
              <w:top w:val="single" w:sz="8" w:color="0A2299"/>
            </w:tcBorders>
            <w:shd w:val="clear" w:color="auto" w:fill="F2F2F2"/>
          </w:tcPr>
          <w:p>
            <w:pPr>
              <w:spacing w:after="0"/>
              <w:rPr>
                <w:sz w:val="10"/>
                <w:szCs w:val="10"/>
                <w:color w:val="auto"/>
              </w:rPr>
            </w:pPr>
          </w:p>
        </w:tc>
        <w:tc>
          <w:tcPr>
            <w:tcW w:w="140" w:type="dxa"/>
            <w:vAlign w:val="bottom"/>
            <w:tcBorders>
              <w:top w:val="single" w:sz="8" w:color="0A2299"/>
            </w:tcBorders>
            <w:shd w:val="clear" w:color="auto" w:fill="F2F2F2"/>
          </w:tcPr>
          <w:p>
            <w:pPr>
              <w:spacing w:after="0"/>
              <w:rPr>
                <w:sz w:val="10"/>
                <w:szCs w:val="10"/>
                <w:color w:val="auto"/>
              </w:rPr>
            </w:pPr>
          </w:p>
        </w:tc>
        <w:tc>
          <w:tcPr>
            <w:tcW w:w="20" w:type="dxa"/>
            <w:vAlign w:val="bottom"/>
            <w:tcBorders>
              <w:top w:val="single" w:sz="8" w:color="003595"/>
            </w:tcBorders>
            <w:shd w:val="clear" w:color="auto" w:fill="F2F2F2"/>
          </w:tcPr>
          <w:p>
            <w:pPr>
              <w:spacing w:after="0"/>
              <w:rPr>
                <w:sz w:val="10"/>
                <w:szCs w:val="10"/>
                <w:color w:val="auto"/>
              </w:rPr>
            </w:pPr>
          </w:p>
        </w:tc>
        <w:tc>
          <w:tcPr>
            <w:tcW w:w="980" w:type="dxa"/>
            <w:vAlign w:val="bottom"/>
            <w:tcBorders>
              <w:top w:val="single" w:sz="8" w:color="0A2299"/>
            </w:tcBorders>
            <w:shd w:val="clear" w:color="auto" w:fill="F2F2F2"/>
          </w:tcPr>
          <w:p>
            <w:pPr>
              <w:spacing w:after="0"/>
              <w:rPr>
                <w:sz w:val="10"/>
                <w:szCs w:val="10"/>
                <w:color w:val="auto"/>
              </w:rPr>
            </w:pPr>
          </w:p>
        </w:tc>
        <w:tc>
          <w:tcPr>
            <w:tcW w:w="740" w:type="dxa"/>
            <w:vAlign w:val="bottom"/>
            <w:tcBorders>
              <w:top w:val="single" w:sz="8" w:color="0A2299"/>
            </w:tcBorders>
            <w:shd w:val="clear" w:color="auto" w:fill="F2F2F2"/>
          </w:tcPr>
          <w:p>
            <w:pPr>
              <w:spacing w:after="0"/>
              <w:rPr>
                <w:sz w:val="10"/>
                <w:szCs w:val="10"/>
                <w:color w:val="auto"/>
              </w:rPr>
            </w:pPr>
          </w:p>
        </w:tc>
        <w:tc>
          <w:tcPr>
            <w:tcW w:w="160" w:type="dxa"/>
            <w:vAlign w:val="bottom"/>
            <w:tcBorders>
              <w:top w:val="single" w:sz="8" w:color="0A2299"/>
            </w:tcBorders>
            <w:shd w:val="clear" w:color="auto" w:fill="F2F2F2"/>
          </w:tcPr>
          <w:p>
            <w:pPr>
              <w:spacing w:after="0"/>
              <w:rPr>
                <w:sz w:val="10"/>
                <w:szCs w:val="10"/>
                <w:color w:val="auto"/>
              </w:rPr>
            </w:pPr>
          </w:p>
        </w:tc>
        <w:tc>
          <w:tcPr>
            <w:tcW w:w="960" w:type="dxa"/>
            <w:vAlign w:val="bottom"/>
            <w:tcBorders>
              <w:top w:val="single" w:sz="8" w:color="0A2299"/>
              <w:right w:val="single" w:sz="8" w:color="F2F2F2"/>
            </w:tcBorders>
            <w:shd w:val="clear" w:color="auto" w:fill="F2F2F2"/>
          </w:tcPr>
          <w:p>
            <w:pPr>
              <w:spacing w:after="0"/>
              <w:rPr>
                <w:sz w:val="10"/>
                <w:szCs w:val="10"/>
                <w:color w:val="auto"/>
              </w:rPr>
            </w:pPr>
          </w:p>
        </w:tc>
      </w:tr>
      <w:tr>
        <w:trPr>
          <w:trHeight w:val="180"/>
        </w:trPr>
        <w:tc>
          <w:tcPr>
            <w:tcW w:w="9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1"/>
                <w:szCs w:val="11"/>
                <w:b w:val="1"/>
                <w:bCs w:val="1"/>
                <w:color w:val="auto"/>
              </w:rPr>
              <w:t>figures</w:t>
            </w:r>
          </w:p>
        </w:tc>
        <w:tc>
          <w:tcPr>
            <w:tcW w:w="940" w:type="dxa"/>
            <w:vAlign w:val="bottom"/>
            <w:tcBorders>
              <w:left w:val="single" w:sz="8" w:color="F2F2F2"/>
              <w:bottom w:val="single" w:sz="8" w:color="F2F2F2"/>
            </w:tcBorders>
            <w:shd w:val="clear" w:color="auto" w:fill="F2F2F2"/>
          </w:tcPr>
          <w:p>
            <w:pPr>
              <w:spacing w:after="0"/>
              <w:rPr>
                <w:sz w:val="15"/>
                <w:szCs w:val="15"/>
                <w:color w:val="auto"/>
              </w:rPr>
            </w:pPr>
          </w:p>
        </w:tc>
        <w:tc>
          <w:tcPr>
            <w:tcW w:w="20" w:type="dxa"/>
            <w:vAlign w:val="bottom"/>
            <w:tcBorders>
              <w:bottom w:val="single" w:sz="8" w:color="F2F2F2"/>
            </w:tcBorders>
            <w:shd w:val="clear" w:color="auto" w:fill="F2F2F2"/>
          </w:tcPr>
          <w:p>
            <w:pPr>
              <w:spacing w:after="0"/>
              <w:rPr>
                <w:sz w:val="15"/>
                <w:szCs w:val="15"/>
                <w:color w:val="auto"/>
              </w:rPr>
            </w:pPr>
          </w:p>
        </w:tc>
        <w:tc>
          <w:tcPr>
            <w:tcW w:w="900" w:type="dxa"/>
            <w:vAlign w:val="bottom"/>
            <w:tcBorders>
              <w:bottom w:val="single" w:sz="8" w:color="F2F2F2"/>
            </w:tcBorders>
            <w:shd w:val="clear" w:color="auto" w:fill="F2F2F2"/>
          </w:tcPr>
          <w:p>
            <w:pPr>
              <w:spacing w:after="0"/>
              <w:rPr>
                <w:sz w:val="15"/>
                <w:szCs w:val="15"/>
                <w:color w:val="auto"/>
              </w:rPr>
            </w:pPr>
          </w:p>
        </w:tc>
        <w:tc>
          <w:tcPr>
            <w:tcW w:w="20" w:type="dxa"/>
            <w:vAlign w:val="bottom"/>
            <w:tcBorders>
              <w:bottom w:val="single" w:sz="8" w:color="F2F2F2"/>
            </w:tcBorders>
            <w:shd w:val="clear" w:color="auto" w:fill="F2F2F2"/>
          </w:tcPr>
          <w:p>
            <w:pPr>
              <w:spacing w:after="0"/>
              <w:rPr>
                <w:sz w:val="15"/>
                <w:szCs w:val="15"/>
                <w:color w:val="auto"/>
              </w:rPr>
            </w:pPr>
          </w:p>
        </w:tc>
        <w:tc>
          <w:tcPr>
            <w:tcW w:w="960" w:type="dxa"/>
            <w:vAlign w:val="bottom"/>
            <w:tcBorders>
              <w:bottom w:val="single" w:sz="8" w:color="F2F2F2"/>
            </w:tcBorders>
            <w:shd w:val="clear" w:color="auto" w:fill="F2F2F2"/>
          </w:tcPr>
          <w:p>
            <w:pPr>
              <w:spacing w:after="0"/>
              <w:rPr>
                <w:sz w:val="15"/>
                <w:szCs w:val="15"/>
                <w:color w:val="auto"/>
              </w:rPr>
            </w:pPr>
          </w:p>
        </w:tc>
        <w:tc>
          <w:tcPr>
            <w:tcW w:w="740" w:type="dxa"/>
            <w:vAlign w:val="bottom"/>
            <w:tcBorders>
              <w:bottom w:val="single" w:sz="8" w:color="F2F2F2"/>
            </w:tcBorders>
            <w:shd w:val="clear" w:color="auto" w:fill="F2F2F2"/>
          </w:tcPr>
          <w:p>
            <w:pPr>
              <w:spacing w:after="0"/>
              <w:rPr>
                <w:sz w:val="15"/>
                <w:szCs w:val="15"/>
                <w:color w:val="auto"/>
              </w:rPr>
            </w:pPr>
          </w:p>
        </w:tc>
        <w:tc>
          <w:tcPr>
            <w:tcW w:w="160" w:type="dxa"/>
            <w:vAlign w:val="bottom"/>
            <w:tcBorders>
              <w:bottom w:val="single" w:sz="8" w:color="F2F2F2"/>
            </w:tcBorders>
            <w:shd w:val="clear" w:color="auto" w:fill="F2F2F2"/>
          </w:tcPr>
          <w:p>
            <w:pPr>
              <w:spacing w:after="0"/>
              <w:rPr>
                <w:sz w:val="15"/>
                <w:szCs w:val="15"/>
                <w:color w:val="auto"/>
              </w:rPr>
            </w:pPr>
          </w:p>
        </w:tc>
        <w:tc>
          <w:tcPr>
            <w:tcW w:w="960" w:type="dxa"/>
            <w:vAlign w:val="bottom"/>
            <w:tcBorders>
              <w:bottom w:val="single" w:sz="8" w:color="F2F2F2"/>
            </w:tcBorders>
            <w:shd w:val="clear" w:color="auto" w:fill="F2F2F2"/>
          </w:tcPr>
          <w:p>
            <w:pPr>
              <w:spacing w:after="0"/>
              <w:rPr>
                <w:sz w:val="15"/>
                <w:szCs w:val="15"/>
                <w:color w:val="auto"/>
              </w:rPr>
            </w:pPr>
          </w:p>
        </w:tc>
        <w:tc>
          <w:tcPr>
            <w:tcW w:w="760" w:type="dxa"/>
            <w:vAlign w:val="bottom"/>
            <w:tcBorders>
              <w:bottom w:val="single" w:sz="8" w:color="F2F2F2"/>
            </w:tcBorders>
            <w:shd w:val="clear" w:color="auto" w:fill="F2F2F2"/>
          </w:tcPr>
          <w:p>
            <w:pPr>
              <w:spacing w:after="0"/>
              <w:rPr>
                <w:sz w:val="15"/>
                <w:szCs w:val="15"/>
                <w:color w:val="auto"/>
              </w:rPr>
            </w:pPr>
          </w:p>
        </w:tc>
        <w:tc>
          <w:tcPr>
            <w:tcW w:w="140" w:type="dxa"/>
            <w:vAlign w:val="bottom"/>
            <w:tcBorders>
              <w:bottom w:val="single" w:sz="8" w:color="F2F2F2"/>
            </w:tcBorders>
            <w:shd w:val="clear" w:color="auto" w:fill="F2F2F2"/>
          </w:tcPr>
          <w:p>
            <w:pPr>
              <w:spacing w:after="0"/>
              <w:rPr>
                <w:sz w:val="15"/>
                <w:szCs w:val="15"/>
                <w:color w:val="auto"/>
              </w:rPr>
            </w:pPr>
          </w:p>
        </w:tc>
        <w:tc>
          <w:tcPr>
            <w:tcW w:w="20" w:type="dxa"/>
            <w:vAlign w:val="bottom"/>
            <w:tcBorders>
              <w:bottom w:val="single" w:sz="8" w:color="F2F2F2"/>
            </w:tcBorders>
            <w:shd w:val="clear" w:color="auto" w:fill="F2F2F2"/>
          </w:tcPr>
          <w:p>
            <w:pPr>
              <w:spacing w:after="0"/>
              <w:rPr>
                <w:sz w:val="15"/>
                <w:szCs w:val="15"/>
                <w:color w:val="auto"/>
              </w:rPr>
            </w:pPr>
          </w:p>
        </w:tc>
        <w:tc>
          <w:tcPr>
            <w:tcW w:w="940" w:type="dxa"/>
            <w:vAlign w:val="bottom"/>
            <w:tcBorders>
              <w:bottom w:val="single" w:sz="8" w:color="F2F2F2"/>
            </w:tcBorders>
            <w:shd w:val="clear" w:color="auto" w:fill="F2F2F2"/>
          </w:tcPr>
          <w:p>
            <w:pPr>
              <w:spacing w:after="0"/>
              <w:rPr>
                <w:sz w:val="15"/>
                <w:szCs w:val="15"/>
                <w:color w:val="auto"/>
              </w:rPr>
            </w:pPr>
          </w:p>
        </w:tc>
        <w:tc>
          <w:tcPr>
            <w:tcW w:w="780" w:type="dxa"/>
            <w:vAlign w:val="bottom"/>
            <w:tcBorders>
              <w:bottom w:val="single" w:sz="8" w:color="F2F2F2"/>
            </w:tcBorders>
            <w:shd w:val="clear" w:color="auto" w:fill="F2F2F2"/>
          </w:tcPr>
          <w:p>
            <w:pPr>
              <w:spacing w:after="0"/>
              <w:rPr>
                <w:sz w:val="15"/>
                <w:szCs w:val="15"/>
                <w:color w:val="auto"/>
              </w:rPr>
            </w:pPr>
          </w:p>
        </w:tc>
        <w:tc>
          <w:tcPr>
            <w:tcW w:w="140" w:type="dxa"/>
            <w:vAlign w:val="bottom"/>
            <w:tcBorders>
              <w:bottom w:val="single" w:sz="8" w:color="F2F2F2"/>
            </w:tcBorders>
            <w:shd w:val="clear" w:color="auto" w:fill="F2F2F2"/>
          </w:tcPr>
          <w:p>
            <w:pPr>
              <w:spacing w:after="0"/>
              <w:rPr>
                <w:sz w:val="15"/>
                <w:szCs w:val="15"/>
                <w:color w:val="auto"/>
              </w:rPr>
            </w:pPr>
          </w:p>
        </w:tc>
        <w:tc>
          <w:tcPr>
            <w:tcW w:w="20" w:type="dxa"/>
            <w:vAlign w:val="bottom"/>
            <w:tcBorders>
              <w:bottom w:val="single" w:sz="8" w:color="F2F2F2"/>
            </w:tcBorders>
            <w:shd w:val="clear" w:color="auto" w:fill="F2F2F2"/>
          </w:tcPr>
          <w:p>
            <w:pPr>
              <w:spacing w:after="0"/>
              <w:rPr>
                <w:sz w:val="15"/>
                <w:szCs w:val="15"/>
                <w:color w:val="auto"/>
              </w:rPr>
            </w:pPr>
          </w:p>
        </w:tc>
        <w:tc>
          <w:tcPr>
            <w:tcW w:w="980" w:type="dxa"/>
            <w:vAlign w:val="bottom"/>
            <w:tcBorders>
              <w:bottom w:val="single" w:sz="8" w:color="F2F2F2"/>
            </w:tcBorders>
            <w:shd w:val="clear" w:color="auto" w:fill="F2F2F2"/>
          </w:tcPr>
          <w:p>
            <w:pPr>
              <w:spacing w:after="0"/>
              <w:rPr>
                <w:sz w:val="15"/>
                <w:szCs w:val="15"/>
                <w:color w:val="auto"/>
              </w:rPr>
            </w:pPr>
          </w:p>
        </w:tc>
        <w:tc>
          <w:tcPr>
            <w:tcW w:w="740" w:type="dxa"/>
            <w:vAlign w:val="bottom"/>
            <w:tcBorders>
              <w:bottom w:val="single" w:sz="8" w:color="F2F2F2"/>
            </w:tcBorders>
            <w:shd w:val="clear" w:color="auto" w:fill="F2F2F2"/>
          </w:tcPr>
          <w:p>
            <w:pPr>
              <w:spacing w:after="0"/>
              <w:rPr>
                <w:sz w:val="15"/>
                <w:szCs w:val="15"/>
                <w:color w:val="auto"/>
              </w:rPr>
            </w:pPr>
          </w:p>
        </w:tc>
        <w:tc>
          <w:tcPr>
            <w:tcW w:w="160" w:type="dxa"/>
            <w:vAlign w:val="bottom"/>
            <w:tcBorders>
              <w:bottom w:val="single" w:sz="8" w:color="F2F2F2"/>
            </w:tcBorders>
            <w:shd w:val="clear" w:color="auto" w:fill="F2F2F2"/>
          </w:tcPr>
          <w:p>
            <w:pPr>
              <w:spacing w:after="0"/>
              <w:rPr>
                <w:sz w:val="15"/>
                <w:szCs w:val="15"/>
                <w:color w:val="auto"/>
              </w:rPr>
            </w:pPr>
          </w:p>
        </w:tc>
        <w:tc>
          <w:tcPr>
            <w:tcW w:w="960" w:type="dxa"/>
            <w:vAlign w:val="bottom"/>
            <w:tcBorders>
              <w:bottom w:val="single" w:sz="8" w:color="F2F2F2"/>
              <w:right w:val="single" w:sz="8" w:color="F2F2F2"/>
            </w:tcBorders>
            <w:shd w:val="clear" w:color="auto" w:fill="F2F2F2"/>
          </w:tcPr>
          <w:p>
            <w:pPr>
              <w:spacing w:after="0"/>
              <w:rPr>
                <w:sz w:val="15"/>
                <w:szCs w:val="15"/>
                <w:color w:val="auto"/>
              </w:rPr>
            </w:pPr>
          </w:p>
        </w:tc>
      </w:tr>
      <w:tr>
        <w:trPr>
          <w:trHeight w:val="115"/>
        </w:trPr>
        <w:tc>
          <w:tcPr>
            <w:tcW w:w="920" w:type="dxa"/>
            <w:vAlign w:val="bottom"/>
            <w:tcBorders>
              <w:top w:val="single" w:sz="8" w:color="003595"/>
            </w:tcBorders>
            <w:shd w:val="clear" w:color="auto" w:fill="F2F2F2"/>
          </w:tcPr>
          <w:p>
            <w:pPr>
              <w:ind w:left="40"/>
              <w:spacing w:after="0" w:line="115" w:lineRule="exact"/>
              <w:rPr>
                <w:sz w:val="20"/>
                <w:szCs w:val="20"/>
                <w:color w:val="auto"/>
              </w:rPr>
            </w:pPr>
            <w:r>
              <w:rPr>
                <w:rFonts w:ascii="Arial" w:cs="Arial" w:eastAsia="Arial" w:hAnsi="Arial"/>
                <w:sz w:val="11"/>
                <w:szCs w:val="11"/>
                <w:color w:val="auto"/>
              </w:rPr>
              <w:t>Reported SCT</w:t>
            </w:r>
          </w:p>
        </w:tc>
        <w:tc>
          <w:tcPr>
            <w:tcW w:w="94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w w:val="97"/>
              </w:rPr>
              <w:t>5,686,740</w:t>
            </w:r>
          </w:p>
        </w:tc>
        <w:tc>
          <w:tcPr>
            <w:tcW w:w="920" w:type="dxa"/>
            <w:vAlign w:val="bottom"/>
            <w:tcBorders>
              <w:top w:val="single" w:sz="8" w:color="003595"/>
            </w:tcBorders>
            <w:gridSpan w:val="2"/>
          </w:tcPr>
          <w:p>
            <w:pPr>
              <w:jc w:val="center"/>
              <w:spacing w:after="0" w:line="115" w:lineRule="exact"/>
              <w:rPr>
                <w:sz w:val="20"/>
                <w:szCs w:val="20"/>
                <w:color w:val="auto"/>
              </w:rPr>
            </w:pPr>
            <w:r>
              <w:rPr>
                <w:rFonts w:ascii="Arial" w:cs="Arial" w:eastAsia="Arial" w:hAnsi="Arial"/>
                <w:sz w:val="11"/>
                <w:szCs w:val="11"/>
                <w:color w:val="auto"/>
                <w:w w:val="95"/>
              </w:rPr>
              <w:t>688,637</w:t>
            </w:r>
          </w:p>
        </w:tc>
        <w:tc>
          <w:tcPr>
            <w:tcW w:w="980" w:type="dxa"/>
            <w:vAlign w:val="bottom"/>
            <w:tcBorders>
              <w:top w:val="single" w:sz="8" w:color="003595"/>
            </w:tcBorders>
            <w:gridSpan w:val="2"/>
          </w:tcPr>
          <w:p>
            <w:pPr>
              <w:jc w:val="center"/>
              <w:spacing w:after="0" w:line="115" w:lineRule="exact"/>
              <w:rPr>
                <w:sz w:val="20"/>
                <w:szCs w:val="20"/>
                <w:color w:val="auto"/>
              </w:rPr>
            </w:pPr>
            <w:r>
              <w:rPr>
                <w:rFonts w:ascii="Arial" w:cs="Arial" w:eastAsia="Arial" w:hAnsi="Arial"/>
                <w:sz w:val="11"/>
                <w:szCs w:val="11"/>
                <w:color w:val="auto"/>
                <w:w w:val="97"/>
              </w:rPr>
              <w:t>2,857,977</w:t>
            </w:r>
          </w:p>
        </w:tc>
        <w:tc>
          <w:tcPr>
            <w:tcW w:w="740" w:type="dxa"/>
            <w:vAlign w:val="bottom"/>
            <w:tcBorders>
              <w:top w:val="single" w:sz="8" w:color="003595"/>
            </w:tcBorders>
          </w:tcPr>
          <w:p>
            <w:pPr>
              <w:jc w:val="center"/>
              <w:ind w:left="66"/>
              <w:spacing w:after="0" w:line="115" w:lineRule="exact"/>
              <w:rPr>
                <w:sz w:val="20"/>
                <w:szCs w:val="20"/>
                <w:color w:val="auto"/>
              </w:rPr>
            </w:pPr>
            <w:r>
              <w:rPr>
                <w:rFonts w:ascii="Arial" w:cs="Arial" w:eastAsia="Arial" w:hAnsi="Arial"/>
                <w:sz w:val="11"/>
                <w:szCs w:val="11"/>
                <w:color w:val="auto"/>
                <w:w w:val="98"/>
              </w:rPr>
              <w:t>13,630,599</w:t>
            </w:r>
          </w:p>
        </w:tc>
        <w:tc>
          <w:tcPr>
            <w:tcW w:w="1120" w:type="dxa"/>
            <w:vAlign w:val="bottom"/>
            <w:tcBorders>
              <w:top w:val="single" w:sz="8" w:color="003595"/>
            </w:tcBorders>
            <w:gridSpan w:val="2"/>
          </w:tcPr>
          <w:p>
            <w:pPr>
              <w:jc w:val="center"/>
              <w:ind w:left="66"/>
              <w:spacing w:after="0" w:line="115" w:lineRule="exact"/>
              <w:rPr>
                <w:sz w:val="20"/>
                <w:szCs w:val="20"/>
                <w:color w:val="auto"/>
              </w:rPr>
            </w:pPr>
            <w:r>
              <w:rPr>
                <w:rFonts w:ascii="Arial" w:cs="Arial" w:eastAsia="Arial" w:hAnsi="Arial"/>
                <w:sz w:val="11"/>
                <w:szCs w:val="11"/>
                <w:color w:val="auto"/>
                <w:w w:val="97"/>
              </w:rPr>
              <w:t>3,476,089</w:t>
            </w:r>
          </w:p>
        </w:tc>
        <w:tc>
          <w:tcPr>
            <w:tcW w:w="760" w:type="dxa"/>
            <w:vAlign w:val="bottom"/>
            <w:tcBorders>
              <w:top w:val="single" w:sz="8" w:color="003595"/>
            </w:tcBorders>
          </w:tcPr>
          <w:p>
            <w:pPr>
              <w:jc w:val="center"/>
              <w:ind w:left="86"/>
              <w:spacing w:after="0" w:line="115" w:lineRule="exact"/>
              <w:rPr>
                <w:sz w:val="20"/>
                <w:szCs w:val="20"/>
                <w:color w:val="auto"/>
              </w:rPr>
            </w:pPr>
            <w:r>
              <w:rPr>
                <w:rFonts w:ascii="Arial" w:cs="Arial" w:eastAsia="Arial" w:hAnsi="Arial"/>
                <w:sz w:val="11"/>
                <w:szCs w:val="11"/>
                <w:color w:val="auto"/>
                <w:w w:val="98"/>
              </w:rPr>
              <w:t>12,108,359</w:t>
            </w:r>
          </w:p>
        </w:tc>
        <w:tc>
          <w:tcPr>
            <w:tcW w:w="1100" w:type="dxa"/>
            <w:vAlign w:val="bottom"/>
            <w:tcBorders>
              <w:top w:val="single" w:sz="8" w:color="003595"/>
            </w:tcBorders>
            <w:gridSpan w:val="3"/>
          </w:tcPr>
          <w:p>
            <w:pPr>
              <w:jc w:val="center"/>
              <w:ind w:left="86"/>
              <w:spacing w:after="0" w:line="115" w:lineRule="exact"/>
              <w:rPr>
                <w:sz w:val="20"/>
                <w:szCs w:val="20"/>
                <w:color w:val="auto"/>
              </w:rPr>
            </w:pPr>
            <w:r>
              <w:rPr>
                <w:rFonts w:ascii="Arial" w:cs="Arial" w:eastAsia="Arial" w:hAnsi="Arial"/>
                <w:sz w:val="11"/>
                <w:szCs w:val="11"/>
                <w:color w:val="auto"/>
                <w:w w:val="97"/>
              </w:rPr>
              <w:t>4,135,846</w:t>
            </w:r>
          </w:p>
        </w:tc>
        <w:tc>
          <w:tcPr>
            <w:tcW w:w="780" w:type="dxa"/>
            <w:vAlign w:val="bottom"/>
            <w:tcBorders>
              <w:top w:val="single" w:sz="8" w:color="003595"/>
            </w:tcBorders>
          </w:tcPr>
          <w:p>
            <w:pPr>
              <w:jc w:val="center"/>
              <w:ind w:left="86"/>
              <w:spacing w:after="0" w:line="115" w:lineRule="exact"/>
              <w:rPr>
                <w:sz w:val="20"/>
                <w:szCs w:val="20"/>
                <w:color w:val="auto"/>
              </w:rPr>
            </w:pPr>
            <w:r>
              <w:rPr>
                <w:rFonts w:ascii="Arial" w:cs="Arial" w:eastAsia="Arial" w:hAnsi="Arial"/>
                <w:sz w:val="11"/>
                <w:szCs w:val="11"/>
                <w:color w:val="auto"/>
                <w:w w:val="94"/>
              </w:rPr>
              <w:t>11,391,188</w:t>
            </w:r>
          </w:p>
        </w:tc>
        <w:tc>
          <w:tcPr>
            <w:tcW w:w="1140" w:type="dxa"/>
            <w:vAlign w:val="bottom"/>
            <w:tcBorders>
              <w:top w:val="single" w:sz="8" w:color="003595"/>
            </w:tcBorders>
            <w:gridSpan w:val="3"/>
          </w:tcPr>
          <w:p>
            <w:pPr>
              <w:jc w:val="center"/>
              <w:ind w:left="46"/>
              <w:spacing w:after="0" w:line="115" w:lineRule="exact"/>
              <w:rPr>
                <w:sz w:val="20"/>
                <w:szCs w:val="20"/>
                <w:color w:val="auto"/>
              </w:rPr>
            </w:pPr>
            <w:r>
              <w:rPr>
                <w:rFonts w:ascii="Arial" w:cs="Arial" w:eastAsia="Arial" w:hAnsi="Arial"/>
                <w:sz w:val="11"/>
                <w:szCs w:val="11"/>
                <w:color w:val="auto"/>
                <w:w w:val="97"/>
              </w:rPr>
              <w:t>2,665,450</w:t>
            </w:r>
          </w:p>
        </w:tc>
        <w:tc>
          <w:tcPr>
            <w:tcW w:w="740" w:type="dxa"/>
            <w:vAlign w:val="bottom"/>
            <w:tcBorders>
              <w:top w:val="single" w:sz="8" w:color="003595"/>
            </w:tcBorders>
          </w:tcPr>
          <w:p>
            <w:pPr>
              <w:jc w:val="center"/>
              <w:ind w:left="66"/>
              <w:spacing w:after="0" w:line="115" w:lineRule="exact"/>
              <w:rPr>
                <w:sz w:val="20"/>
                <w:szCs w:val="20"/>
                <w:color w:val="auto"/>
              </w:rPr>
            </w:pPr>
            <w:r>
              <w:rPr>
                <w:rFonts w:ascii="Arial" w:cs="Arial" w:eastAsia="Arial" w:hAnsi="Arial"/>
                <w:sz w:val="11"/>
                <w:szCs w:val="11"/>
                <w:color w:val="auto"/>
                <w:w w:val="98"/>
              </w:rPr>
              <w:t>12,787,669</w:t>
            </w:r>
          </w:p>
        </w:tc>
        <w:tc>
          <w:tcPr>
            <w:tcW w:w="1120" w:type="dxa"/>
            <w:vAlign w:val="bottom"/>
            <w:tcBorders>
              <w:top w:val="single" w:sz="8" w:color="003595"/>
            </w:tcBorders>
            <w:gridSpan w:val="2"/>
          </w:tcPr>
          <w:p>
            <w:pPr>
              <w:jc w:val="center"/>
              <w:ind w:left="106"/>
              <w:spacing w:after="0" w:line="115" w:lineRule="exact"/>
              <w:rPr>
                <w:sz w:val="20"/>
                <w:szCs w:val="20"/>
                <w:color w:val="auto"/>
              </w:rPr>
            </w:pPr>
            <w:r>
              <w:rPr>
                <w:rFonts w:ascii="Arial" w:cs="Arial" w:eastAsia="Arial" w:hAnsi="Arial"/>
                <w:sz w:val="11"/>
                <w:szCs w:val="11"/>
                <w:color w:val="auto"/>
                <w:w w:val="97"/>
              </w:rPr>
              <w:t>2,483,005</w:t>
            </w:r>
          </w:p>
        </w:tc>
      </w:tr>
      <w:tr>
        <w:trPr>
          <w:trHeight w:val="175"/>
        </w:trPr>
        <w:tc>
          <w:tcPr>
            <w:tcW w:w="9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1"/>
                <w:szCs w:val="11"/>
                <w:color w:val="auto"/>
              </w:rPr>
              <w:t>Total ($)</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15"/>
        </w:trPr>
        <w:tc>
          <w:tcPr>
            <w:tcW w:w="920" w:type="dxa"/>
            <w:vAlign w:val="bottom"/>
            <w:tcBorders>
              <w:top w:val="single" w:sz="8" w:color="003595"/>
            </w:tcBorders>
            <w:shd w:val="clear" w:color="auto" w:fill="F2F2F2"/>
          </w:tcPr>
          <w:p>
            <w:pPr>
              <w:ind w:left="40"/>
              <w:spacing w:after="0" w:line="115" w:lineRule="exact"/>
              <w:rPr>
                <w:sz w:val="20"/>
                <w:szCs w:val="20"/>
                <w:color w:val="auto"/>
              </w:rPr>
            </w:pPr>
            <w:r>
              <w:rPr>
                <w:rFonts w:ascii="Arial" w:cs="Arial" w:eastAsia="Arial" w:hAnsi="Arial"/>
                <w:sz w:val="11"/>
                <w:szCs w:val="11"/>
                <w:color w:val="auto"/>
              </w:rPr>
              <w:t>Reported SCT</w:t>
            </w:r>
          </w:p>
        </w:tc>
        <w:tc>
          <w:tcPr>
            <w:tcW w:w="94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w w:val="97"/>
              </w:rPr>
              <w:t>3,989,729</w:t>
            </w:r>
          </w:p>
        </w:tc>
        <w:tc>
          <w:tcPr>
            <w:tcW w:w="20" w:type="dxa"/>
            <w:vAlign w:val="bottom"/>
            <w:tcBorders>
              <w:top w:val="single" w:sz="8" w:color="003595"/>
            </w:tcBorders>
          </w:tcPr>
          <w:p>
            <w:pPr>
              <w:spacing w:after="0"/>
              <w:rPr>
                <w:sz w:val="10"/>
                <w:szCs w:val="10"/>
                <w:color w:val="auto"/>
              </w:rPr>
            </w:pPr>
          </w:p>
        </w:tc>
        <w:tc>
          <w:tcPr>
            <w:tcW w:w="90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w w:val="90"/>
              </w:rPr>
              <w:t>—</w:t>
            </w:r>
          </w:p>
        </w:tc>
        <w:tc>
          <w:tcPr>
            <w:tcW w:w="980" w:type="dxa"/>
            <w:vAlign w:val="bottom"/>
            <w:tcBorders>
              <w:top w:val="single" w:sz="8" w:color="003595"/>
            </w:tcBorders>
            <w:gridSpan w:val="2"/>
          </w:tcPr>
          <w:p>
            <w:pPr>
              <w:jc w:val="center"/>
              <w:spacing w:after="0" w:line="115" w:lineRule="exact"/>
              <w:rPr>
                <w:sz w:val="20"/>
                <w:szCs w:val="20"/>
                <w:color w:val="auto"/>
              </w:rPr>
            </w:pPr>
            <w:r>
              <w:rPr>
                <w:rFonts w:ascii="Arial" w:cs="Arial" w:eastAsia="Arial" w:hAnsi="Arial"/>
                <w:sz w:val="11"/>
                <w:szCs w:val="11"/>
                <w:color w:val="auto"/>
                <w:w w:val="97"/>
              </w:rPr>
              <w:t>1,768,113</w:t>
            </w:r>
          </w:p>
        </w:tc>
        <w:tc>
          <w:tcPr>
            <w:tcW w:w="740" w:type="dxa"/>
            <w:vAlign w:val="bottom"/>
            <w:tcBorders>
              <w:top w:val="single" w:sz="8" w:color="003595"/>
            </w:tcBorders>
          </w:tcPr>
          <w:p>
            <w:pPr>
              <w:jc w:val="center"/>
              <w:ind w:left="86"/>
              <w:spacing w:after="0" w:line="115" w:lineRule="exact"/>
              <w:rPr>
                <w:sz w:val="20"/>
                <w:szCs w:val="20"/>
                <w:color w:val="auto"/>
              </w:rPr>
            </w:pPr>
            <w:r>
              <w:rPr>
                <w:rFonts w:ascii="Arial" w:cs="Arial" w:eastAsia="Arial" w:hAnsi="Arial"/>
                <w:sz w:val="11"/>
                <w:szCs w:val="11"/>
                <w:color w:val="auto"/>
                <w:w w:val="94"/>
              </w:rPr>
              <w:t>11,113,514</w:t>
            </w:r>
          </w:p>
        </w:tc>
        <w:tc>
          <w:tcPr>
            <w:tcW w:w="1120" w:type="dxa"/>
            <w:vAlign w:val="bottom"/>
            <w:tcBorders>
              <w:top w:val="single" w:sz="8" w:color="003595"/>
            </w:tcBorders>
            <w:gridSpan w:val="2"/>
          </w:tcPr>
          <w:p>
            <w:pPr>
              <w:jc w:val="center"/>
              <w:ind w:left="66"/>
              <w:spacing w:after="0" w:line="115" w:lineRule="exact"/>
              <w:rPr>
                <w:sz w:val="20"/>
                <w:szCs w:val="20"/>
                <w:color w:val="auto"/>
              </w:rPr>
            </w:pPr>
            <w:r>
              <w:rPr>
                <w:rFonts w:ascii="Arial" w:cs="Arial" w:eastAsia="Arial" w:hAnsi="Arial"/>
                <w:sz w:val="11"/>
                <w:szCs w:val="11"/>
                <w:color w:val="auto"/>
                <w:w w:val="97"/>
              </w:rPr>
              <w:t>2,514,413</w:t>
            </w:r>
          </w:p>
        </w:tc>
        <w:tc>
          <w:tcPr>
            <w:tcW w:w="760" w:type="dxa"/>
            <w:vAlign w:val="bottom"/>
            <w:tcBorders>
              <w:top w:val="single" w:sz="8" w:color="003595"/>
            </w:tcBorders>
          </w:tcPr>
          <w:p>
            <w:pPr>
              <w:jc w:val="center"/>
              <w:ind w:left="66"/>
              <w:spacing w:after="0" w:line="115" w:lineRule="exact"/>
              <w:rPr>
                <w:sz w:val="20"/>
                <w:szCs w:val="20"/>
                <w:color w:val="auto"/>
              </w:rPr>
            </w:pPr>
            <w:r>
              <w:rPr>
                <w:rFonts w:ascii="Arial" w:cs="Arial" w:eastAsia="Arial" w:hAnsi="Arial"/>
                <w:sz w:val="11"/>
                <w:szCs w:val="11"/>
                <w:color w:val="auto"/>
                <w:w w:val="97"/>
              </w:rPr>
              <w:t>9,796,451</w:t>
            </w:r>
          </w:p>
        </w:tc>
        <w:tc>
          <w:tcPr>
            <w:tcW w:w="1100" w:type="dxa"/>
            <w:vAlign w:val="bottom"/>
            <w:tcBorders>
              <w:top w:val="single" w:sz="8" w:color="003595"/>
            </w:tcBorders>
            <w:gridSpan w:val="3"/>
          </w:tcPr>
          <w:p>
            <w:pPr>
              <w:jc w:val="center"/>
              <w:ind w:left="86"/>
              <w:spacing w:after="0" w:line="115" w:lineRule="exact"/>
              <w:rPr>
                <w:sz w:val="20"/>
                <w:szCs w:val="20"/>
                <w:color w:val="auto"/>
              </w:rPr>
            </w:pPr>
            <w:r>
              <w:rPr>
                <w:rFonts w:ascii="Arial" w:cs="Arial" w:eastAsia="Arial" w:hAnsi="Arial"/>
                <w:sz w:val="11"/>
                <w:szCs w:val="11"/>
                <w:color w:val="auto"/>
                <w:w w:val="97"/>
              </w:rPr>
              <w:t>3,299,996</w:t>
            </w:r>
          </w:p>
        </w:tc>
        <w:tc>
          <w:tcPr>
            <w:tcW w:w="780" w:type="dxa"/>
            <w:vAlign w:val="bottom"/>
            <w:tcBorders>
              <w:top w:val="single" w:sz="8" w:color="003595"/>
            </w:tcBorders>
          </w:tcPr>
          <w:p>
            <w:pPr>
              <w:jc w:val="center"/>
              <w:ind w:left="86"/>
              <w:spacing w:after="0" w:line="115" w:lineRule="exact"/>
              <w:rPr>
                <w:sz w:val="20"/>
                <w:szCs w:val="20"/>
                <w:color w:val="auto"/>
              </w:rPr>
            </w:pPr>
            <w:r>
              <w:rPr>
                <w:rFonts w:ascii="Arial" w:cs="Arial" w:eastAsia="Arial" w:hAnsi="Arial"/>
                <w:sz w:val="11"/>
                <w:szCs w:val="11"/>
                <w:color w:val="auto"/>
                <w:w w:val="97"/>
              </w:rPr>
              <w:t>9,513,661</w:t>
            </w:r>
          </w:p>
        </w:tc>
        <w:tc>
          <w:tcPr>
            <w:tcW w:w="1140" w:type="dxa"/>
            <w:vAlign w:val="bottom"/>
            <w:tcBorders>
              <w:top w:val="single" w:sz="8" w:color="003595"/>
            </w:tcBorders>
            <w:gridSpan w:val="3"/>
          </w:tcPr>
          <w:p>
            <w:pPr>
              <w:jc w:val="center"/>
              <w:ind w:left="46"/>
              <w:spacing w:after="0" w:line="115" w:lineRule="exact"/>
              <w:rPr>
                <w:sz w:val="20"/>
                <w:szCs w:val="20"/>
                <w:color w:val="auto"/>
              </w:rPr>
            </w:pPr>
            <w:r>
              <w:rPr>
                <w:rFonts w:ascii="Arial" w:cs="Arial" w:eastAsia="Arial" w:hAnsi="Arial"/>
                <w:sz w:val="11"/>
                <w:szCs w:val="11"/>
                <w:color w:val="auto"/>
                <w:w w:val="97"/>
              </w:rPr>
              <w:t>1,890,185</w:t>
            </w:r>
          </w:p>
        </w:tc>
        <w:tc>
          <w:tcPr>
            <w:tcW w:w="740" w:type="dxa"/>
            <w:vAlign w:val="bottom"/>
            <w:tcBorders>
              <w:top w:val="single" w:sz="8" w:color="003595"/>
            </w:tcBorders>
          </w:tcPr>
          <w:p>
            <w:pPr>
              <w:jc w:val="center"/>
              <w:ind w:left="46"/>
              <w:spacing w:after="0" w:line="115" w:lineRule="exact"/>
              <w:rPr>
                <w:sz w:val="20"/>
                <w:szCs w:val="20"/>
                <w:color w:val="auto"/>
              </w:rPr>
            </w:pPr>
            <w:r>
              <w:rPr>
                <w:rFonts w:ascii="Arial" w:cs="Arial" w:eastAsia="Arial" w:hAnsi="Arial"/>
                <w:sz w:val="11"/>
                <w:szCs w:val="11"/>
                <w:color w:val="auto"/>
                <w:w w:val="97"/>
              </w:rPr>
              <w:t>9,869,920</w:t>
            </w:r>
          </w:p>
        </w:tc>
        <w:tc>
          <w:tcPr>
            <w:tcW w:w="1120" w:type="dxa"/>
            <w:vAlign w:val="bottom"/>
            <w:tcBorders>
              <w:top w:val="single" w:sz="8" w:color="003595"/>
            </w:tcBorders>
            <w:gridSpan w:val="2"/>
          </w:tcPr>
          <w:p>
            <w:pPr>
              <w:jc w:val="center"/>
              <w:ind w:left="106"/>
              <w:spacing w:after="0" w:line="115" w:lineRule="exact"/>
              <w:rPr>
                <w:sz w:val="20"/>
                <w:szCs w:val="20"/>
                <w:color w:val="auto"/>
              </w:rPr>
            </w:pPr>
            <w:r>
              <w:rPr>
                <w:rFonts w:ascii="Arial" w:cs="Arial" w:eastAsia="Arial" w:hAnsi="Arial"/>
                <w:sz w:val="11"/>
                <w:szCs w:val="11"/>
                <w:color w:val="auto"/>
                <w:w w:val="97"/>
              </w:rPr>
              <w:t>1,649,044</w:t>
            </w:r>
          </w:p>
        </w:tc>
      </w:tr>
      <w:tr>
        <w:trPr>
          <w:trHeight w:val="122"/>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Stock Award</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75"/>
        </w:trPr>
        <w:tc>
          <w:tcPr>
            <w:tcW w:w="9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1"/>
                <w:szCs w:val="11"/>
                <w:color w:val="auto"/>
              </w:rPr>
              <w:t>Value ($)</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15"/>
        </w:trPr>
        <w:tc>
          <w:tcPr>
            <w:tcW w:w="920" w:type="dxa"/>
            <w:vAlign w:val="bottom"/>
            <w:tcBorders>
              <w:top w:val="single" w:sz="8" w:color="003595"/>
            </w:tcBorders>
            <w:shd w:val="clear" w:color="auto" w:fill="F2F2F2"/>
          </w:tcPr>
          <w:p>
            <w:pPr>
              <w:ind w:left="40"/>
              <w:spacing w:after="0" w:line="115" w:lineRule="exact"/>
              <w:rPr>
                <w:sz w:val="20"/>
                <w:szCs w:val="20"/>
                <w:color w:val="auto"/>
              </w:rPr>
            </w:pPr>
            <w:r>
              <w:rPr>
                <w:rFonts w:ascii="Arial" w:cs="Arial" w:eastAsia="Arial" w:hAnsi="Arial"/>
                <w:sz w:val="11"/>
                <w:szCs w:val="11"/>
                <w:color w:val="auto"/>
              </w:rPr>
              <w:t>Reported SCT</w:t>
            </w:r>
          </w:p>
        </w:tc>
        <w:tc>
          <w:tcPr>
            <w:tcW w:w="94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003595"/>
            </w:tcBorders>
          </w:tcPr>
          <w:p>
            <w:pPr>
              <w:spacing w:after="0"/>
              <w:rPr>
                <w:sz w:val="10"/>
                <w:szCs w:val="10"/>
                <w:color w:val="auto"/>
              </w:rPr>
            </w:pPr>
          </w:p>
        </w:tc>
        <w:tc>
          <w:tcPr>
            <w:tcW w:w="90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w w:val="90"/>
              </w:rPr>
              <w:t>—</w:t>
            </w:r>
          </w:p>
        </w:tc>
        <w:tc>
          <w:tcPr>
            <w:tcW w:w="20" w:type="dxa"/>
            <w:vAlign w:val="bottom"/>
            <w:tcBorders>
              <w:top w:val="single" w:sz="8" w:color="003595"/>
            </w:tcBorders>
          </w:tcPr>
          <w:p>
            <w:pPr>
              <w:spacing w:after="0"/>
              <w:rPr>
                <w:sz w:val="10"/>
                <w:szCs w:val="10"/>
                <w:color w:val="auto"/>
              </w:rPr>
            </w:pPr>
          </w:p>
        </w:tc>
        <w:tc>
          <w:tcPr>
            <w:tcW w:w="96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rPr>
              <w:t>—</w:t>
            </w:r>
          </w:p>
        </w:tc>
        <w:tc>
          <w:tcPr>
            <w:tcW w:w="740" w:type="dxa"/>
            <w:vAlign w:val="bottom"/>
            <w:tcBorders>
              <w:top w:val="single" w:sz="8" w:color="003595"/>
            </w:tcBorders>
          </w:tcPr>
          <w:p>
            <w:pPr>
              <w:jc w:val="center"/>
              <w:ind w:left="66"/>
              <w:spacing w:after="0" w:line="115" w:lineRule="exact"/>
              <w:rPr>
                <w:sz w:val="20"/>
                <w:szCs w:val="20"/>
                <w:color w:val="auto"/>
              </w:rPr>
            </w:pPr>
            <w:r>
              <w:rPr>
                <w:rFonts w:ascii="Arial" w:cs="Arial" w:eastAsia="Arial" w:hAnsi="Arial"/>
                <w:sz w:val="11"/>
                <w:szCs w:val="11"/>
                <w:color w:val="auto"/>
                <w:w w:val="90"/>
              </w:rPr>
              <w:t>—</w:t>
            </w:r>
          </w:p>
        </w:tc>
        <w:tc>
          <w:tcPr>
            <w:tcW w:w="160" w:type="dxa"/>
            <w:vAlign w:val="bottom"/>
            <w:tcBorders>
              <w:top w:val="single" w:sz="8" w:color="003595"/>
            </w:tcBorders>
          </w:tcPr>
          <w:p>
            <w:pPr>
              <w:spacing w:after="0"/>
              <w:rPr>
                <w:sz w:val="10"/>
                <w:szCs w:val="10"/>
                <w:color w:val="auto"/>
              </w:rPr>
            </w:pPr>
          </w:p>
        </w:tc>
        <w:tc>
          <w:tcPr>
            <w:tcW w:w="96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w w:val="90"/>
              </w:rPr>
              <w:t>—</w:t>
            </w:r>
          </w:p>
        </w:tc>
        <w:tc>
          <w:tcPr>
            <w:tcW w:w="760" w:type="dxa"/>
            <w:vAlign w:val="bottom"/>
            <w:tcBorders>
              <w:top w:val="single" w:sz="8" w:color="003595"/>
            </w:tcBorders>
          </w:tcPr>
          <w:p>
            <w:pPr>
              <w:jc w:val="center"/>
              <w:ind w:left="66"/>
              <w:spacing w:after="0" w:line="115"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003595"/>
            </w:tcBorders>
          </w:tcPr>
          <w:p>
            <w:pPr>
              <w:spacing w:after="0"/>
              <w:rPr>
                <w:sz w:val="10"/>
                <w:szCs w:val="10"/>
                <w:color w:val="auto"/>
              </w:rPr>
            </w:pPr>
          </w:p>
        </w:tc>
        <w:tc>
          <w:tcPr>
            <w:tcW w:w="20" w:type="dxa"/>
            <w:vAlign w:val="bottom"/>
            <w:tcBorders>
              <w:top w:val="single" w:sz="8" w:color="003595"/>
            </w:tcBorders>
          </w:tcPr>
          <w:p>
            <w:pPr>
              <w:spacing w:after="0"/>
              <w:rPr>
                <w:sz w:val="10"/>
                <w:szCs w:val="10"/>
                <w:color w:val="auto"/>
              </w:rPr>
            </w:pPr>
          </w:p>
        </w:tc>
        <w:tc>
          <w:tcPr>
            <w:tcW w:w="94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top w:val="single" w:sz="8" w:color="003595"/>
            </w:tcBorders>
          </w:tcPr>
          <w:p>
            <w:pPr>
              <w:jc w:val="center"/>
              <w:ind w:left="86"/>
              <w:spacing w:after="0" w:line="115"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003595"/>
            </w:tcBorders>
          </w:tcPr>
          <w:p>
            <w:pPr>
              <w:spacing w:after="0"/>
              <w:rPr>
                <w:sz w:val="10"/>
                <w:szCs w:val="10"/>
                <w:color w:val="auto"/>
              </w:rPr>
            </w:pPr>
          </w:p>
        </w:tc>
        <w:tc>
          <w:tcPr>
            <w:tcW w:w="20" w:type="dxa"/>
            <w:vAlign w:val="bottom"/>
            <w:tcBorders>
              <w:top w:val="single" w:sz="8" w:color="003595"/>
            </w:tcBorders>
          </w:tcPr>
          <w:p>
            <w:pPr>
              <w:spacing w:after="0"/>
              <w:rPr>
                <w:sz w:val="10"/>
                <w:szCs w:val="10"/>
                <w:color w:val="auto"/>
              </w:rPr>
            </w:pPr>
          </w:p>
        </w:tc>
        <w:tc>
          <w:tcPr>
            <w:tcW w:w="98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w w:val="90"/>
              </w:rPr>
              <w:t>—</w:t>
            </w:r>
          </w:p>
        </w:tc>
        <w:tc>
          <w:tcPr>
            <w:tcW w:w="740" w:type="dxa"/>
            <w:vAlign w:val="bottom"/>
            <w:tcBorders>
              <w:top w:val="single" w:sz="8" w:color="003595"/>
            </w:tcBorders>
          </w:tcPr>
          <w:p>
            <w:pPr>
              <w:jc w:val="center"/>
              <w:ind w:left="66"/>
              <w:spacing w:after="0" w:line="115" w:lineRule="exact"/>
              <w:rPr>
                <w:sz w:val="20"/>
                <w:szCs w:val="20"/>
                <w:color w:val="auto"/>
              </w:rPr>
            </w:pPr>
            <w:r>
              <w:rPr>
                <w:rFonts w:ascii="Arial" w:cs="Arial" w:eastAsia="Arial" w:hAnsi="Arial"/>
                <w:sz w:val="11"/>
                <w:szCs w:val="11"/>
                <w:color w:val="auto"/>
                <w:w w:val="90"/>
              </w:rPr>
              <w:t>—</w:t>
            </w:r>
          </w:p>
        </w:tc>
        <w:tc>
          <w:tcPr>
            <w:tcW w:w="160" w:type="dxa"/>
            <w:vAlign w:val="bottom"/>
            <w:tcBorders>
              <w:top w:val="single" w:sz="8" w:color="003595"/>
            </w:tcBorders>
          </w:tcPr>
          <w:p>
            <w:pPr>
              <w:spacing w:after="0"/>
              <w:rPr>
                <w:sz w:val="10"/>
                <w:szCs w:val="10"/>
                <w:color w:val="auto"/>
              </w:rPr>
            </w:pPr>
          </w:p>
        </w:tc>
        <w:tc>
          <w:tcPr>
            <w:tcW w:w="96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w w:val="90"/>
              </w:rPr>
              <w:t>—</w:t>
            </w:r>
          </w:p>
        </w:tc>
      </w:tr>
      <w:tr>
        <w:trPr>
          <w:trHeight w:val="122"/>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Option Award</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75"/>
        </w:trPr>
        <w:tc>
          <w:tcPr>
            <w:tcW w:w="9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1"/>
                <w:szCs w:val="11"/>
                <w:color w:val="auto"/>
              </w:rPr>
              <w:t>Value ($)</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15"/>
        </w:trPr>
        <w:tc>
          <w:tcPr>
            <w:tcW w:w="920" w:type="dxa"/>
            <w:vAlign w:val="bottom"/>
            <w:tcBorders>
              <w:top w:val="single" w:sz="8" w:color="003595"/>
            </w:tcBorders>
            <w:shd w:val="clear" w:color="auto" w:fill="F2F2F2"/>
          </w:tcPr>
          <w:p>
            <w:pPr>
              <w:ind w:left="40"/>
              <w:spacing w:after="0" w:line="115" w:lineRule="exact"/>
              <w:rPr>
                <w:sz w:val="20"/>
                <w:szCs w:val="20"/>
                <w:color w:val="auto"/>
              </w:rPr>
            </w:pPr>
            <w:r>
              <w:rPr>
                <w:rFonts w:ascii="Arial" w:cs="Arial" w:eastAsia="Arial" w:hAnsi="Arial"/>
                <w:sz w:val="11"/>
                <w:szCs w:val="11"/>
                <w:b w:val="1"/>
                <w:bCs w:val="1"/>
                <w:color w:val="auto"/>
              </w:rPr>
              <w:t>Equity Award</w:t>
            </w:r>
          </w:p>
        </w:tc>
        <w:tc>
          <w:tcPr>
            <w:tcW w:w="940" w:type="dxa"/>
            <w:vAlign w:val="bottom"/>
            <w:tcBorders>
              <w:top w:val="single" w:sz="8" w:color="003595"/>
              <w:left w:val="single" w:sz="8" w:color="F2F2F2"/>
            </w:tcBorders>
            <w:shd w:val="clear" w:color="auto" w:fill="F2F2F2"/>
          </w:tcPr>
          <w:p>
            <w:pPr>
              <w:spacing w:after="0"/>
              <w:rPr>
                <w:sz w:val="10"/>
                <w:szCs w:val="10"/>
                <w:color w:val="auto"/>
              </w:rPr>
            </w:pPr>
          </w:p>
        </w:tc>
        <w:tc>
          <w:tcPr>
            <w:tcW w:w="20" w:type="dxa"/>
            <w:vAlign w:val="bottom"/>
            <w:tcBorders>
              <w:top w:val="single" w:sz="8" w:color="003595"/>
            </w:tcBorders>
            <w:shd w:val="clear" w:color="auto" w:fill="F2F2F2"/>
          </w:tcPr>
          <w:p>
            <w:pPr>
              <w:spacing w:after="0"/>
              <w:rPr>
                <w:sz w:val="10"/>
                <w:szCs w:val="10"/>
                <w:color w:val="auto"/>
              </w:rPr>
            </w:pPr>
          </w:p>
        </w:tc>
        <w:tc>
          <w:tcPr>
            <w:tcW w:w="900" w:type="dxa"/>
            <w:vAlign w:val="bottom"/>
            <w:tcBorders>
              <w:top w:val="single" w:sz="8" w:color="003595"/>
            </w:tcBorders>
            <w:shd w:val="clear" w:color="auto" w:fill="F2F2F2"/>
          </w:tcPr>
          <w:p>
            <w:pPr>
              <w:spacing w:after="0"/>
              <w:rPr>
                <w:sz w:val="10"/>
                <w:szCs w:val="10"/>
                <w:color w:val="auto"/>
              </w:rPr>
            </w:pPr>
          </w:p>
        </w:tc>
        <w:tc>
          <w:tcPr>
            <w:tcW w:w="20" w:type="dxa"/>
            <w:vAlign w:val="bottom"/>
            <w:tcBorders>
              <w:top w:val="single" w:sz="8" w:color="003595"/>
            </w:tcBorders>
            <w:shd w:val="clear" w:color="auto" w:fill="F2F2F2"/>
          </w:tcPr>
          <w:p>
            <w:pPr>
              <w:spacing w:after="0"/>
              <w:rPr>
                <w:sz w:val="10"/>
                <w:szCs w:val="10"/>
                <w:color w:val="auto"/>
              </w:rPr>
            </w:pPr>
          </w:p>
        </w:tc>
        <w:tc>
          <w:tcPr>
            <w:tcW w:w="960" w:type="dxa"/>
            <w:vAlign w:val="bottom"/>
            <w:tcBorders>
              <w:top w:val="single" w:sz="8" w:color="003595"/>
            </w:tcBorders>
            <w:shd w:val="clear" w:color="auto" w:fill="F2F2F2"/>
          </w:tcPr>
          <w:p>
            <w:pPr>
              <w:spacing w:after="0"/>
              <w:rPr>
                <w:sz w:val="10"/>
                <w:szCs w:val="10"/>
                <w:color w:val="auto"/>
              </w:rPr>
            </w:pPr>
          </w:p>
        </w:tc>
        <w:tc>
          <w:tcPr>
            <w:tcW w:w="740" w:type="dxa"/>
            <w:vAlign w:val="bottom"/>
            <w:tcBorders>
              <w:top w:val="single" w:sz="8" w:color="003595"/>
            </w:tcBorders>
            <w:shd w:val="clear" w:color="auto" w:fill="F2F2F2"/>
          </w:tcPr>
          <w:p>
            <w:pPr>
              <w:spacing w:after="0"/>
              <w:rPr>
                <w:sz w:val="10"/>
                <w:szCs w:val="10"/>
                <w:color w:val="auto"/>
              </w:rPr>
            </w:pPr>
          </w:p>
        </w:tc>
        <w:tc>
          <w:tcPr>
            <w:tcW w:w="160" w:type="dxa"/>
            <w:vAlign w:val="bottom"/>
            <w:tcBorders>
              <w:top w:val="single" w:sz="8" w:color="003595"/>
            </w:tcBorders>
            <w:shd w:val="clear" w:color="auto" w:fill="F2F2F2"/>
          </w:tcPr>
          <w:p>
            <w:pPr>
              <w:spacing w:after="0"/>
              <w:rPr>
                <w:sz w:val="10"/>
                <w:szCs w:val="10"/>
                <w:color w:val="auto"/>
              </w:rPr>
            </w:pPr>
          </w:p>
        </w:tc>
        <w:tc>
          <w:tcPr>
            <w:tcW w:w="960" w:type="dxa"/>
            <w:vAlign w:val="bottom"/>
            <w:tcBorders>
              <w:top w:val="single" w:sz="8" w:color="003595"/>
            </w:tcBorders>
            <w:shd w:val="clear" w:color="auto" w:fill="F2F2F2"/>
          </w:tcPr>
          <w:p>
            <w:pPr>
              <w:spacing w:after="0"/>
              <w:rPr>
                <w:sz w:val="10"/>
                <w:szCs w:val="10"/>
                <w:color w:val="auto"/>
              </w:rPr>
            </w:pPr>
          </w:p>
        </w:tc>
        <w:tc>
          <w:tcPr>
            <w:tcW w:w="760" w:type="dxa"/>
            <w:vAlign w:val="bottom"/>
            <w:tcBorders>
              <w:top w:val="single" w:sz="8" w:color="003595"/>
            </w:tcBorders>
            <w:shd w:val="clear" w:color="auto" w:fill="F2F2F2"/>
          </w:tcPr>
          <w:p>
            <w:pPr>
              <w:spacing w:after="0"/>
              <w:rPr>
                <w:sz w:val="10"/>
                <w:szCs w:val="10"/>
                <w:color w:val="auto"/>
              </w:rPr>
            </w:pPr>
          </w:p>
        </w:tc>
        <w:tc>
          <w:tcPr>
            <w:tcW w:w="140" w:type="dxa"/>
            <w:vAlign w:val="bottom"/>
            <w:tcBorders>
              <w:top w:val="single" w:sz="8" w:color="003595"/>
            </w:tcBorders>
            <w:shd w:val="clear" w:color="auto" w:fill="F2F2F2"/>
          </w:tcPr>
          <w:p>
            <w:pPr>
              <w:spacing w:after="0"/>
              <w:rPr>
                <w:sz w:val="10"/>
                <w:szCs w:val="10"/>
                <w:color w:val="auto"/>
              </w:rPr>
            </w:pPr>
          </w:p>
        </w:tc>
        <w:tc>
          <w:tcPr>
            <w:tcW w:w="20" w:type="dxa"/>
            <w:vAlign w:val="bottom"/>
            <w:tcBorders>
              <w:top w:val="single" w:sz="8" w:color="003595"/>
            </w:tcBorders>
            <w:shd w:val="clear" w:color="auto" w:fill="F2F2F2"/>
          </w:tcPr>
          <w:p>
            <w:pPr>
              <w:spacing w:after="0"/>
              <w:rPr>
                <w:sz w:val="10"/>
                <w:szCs w:val="10"/>
                <w:color w:val="auto"/>
              </w:rPr>
            </w:pPr>
          </w:p>
        </w:tc>
        <w:tc>
          <w:tcPr>
            <w:tcW w:w="940" w:type="dxa"/>
            <w:vAlign w:val="bottom"/>
            <w:tcBorders>
              <w:top w:val="single" w:sz="8" w:color="003595"/>
            </w:tcBorders>
            <w:shd w:val="clear" w:color="auto" w:fill="F2F2F2"/>
          </w:tcPr>
          <w:p>
            <w:pPr>
              <w:spacing w:after="0"/>
              <w:rPr>
                <w:sz w:val="10"/>
                <w:szCs w:val="10"/>
                <w:color w:val="auto"/>
              </w:rPr>
            </w:pPr>
          </w:p>
        </w:tc>
        <w:tc>
          <w:tcPr>
            <w:tcW w:w="780" w:type="dxa"/>
            <w:vAlign w:val="bottom"/>
            <w:tcBorders>
              <w:top w:val="single" w:sz="8" w:color="003595"/>
            </w:tcBorders>
            <w:shd w:val="clear" w:color="auto" w:fill="F2F2F2"/>
          </w:tcPr>
          <w:p>
            <w:pPr>
              <w:spacing w:after="0"/>
              <w:rPr>
                <w:sz w:val="10"/>
                <w:szCs w:val="10"/>
                <w:color w:val="auto"/>
              </w:rPr>
            </w:pPr>
          </w:p>
        </w:tc>
        <w:tc>
          <w:tcPr>
            <w:tcW w:w="140" w:type="dxa"/>
            <w:vAlign w:val="bottom"/>
            <w:tcBorders>
              <w:top w:val="single" w:sz="8" w:color="003595"/>
            </w:tcBorders>
            <w:shd w:val="clear" w:color="auto" w:fill="F2F2F2"/>
          </w:tcPr>
          <w:p>
            <w:pPr>
              <w:spacing w:after="0"/>
              <w:rPr>
                <w:sz w:val="10"/>
                <w:szCs w:val="10"/>
                <w:color w:val="auto"/>
              </w:rPr>
            </w:pPr>
          </w:p>
        </w:tc>
        <w:tc>
          <w:tcPr>
            <w:tcW w:w="20" w:type="dxa"/>
            <w:vAlign w:val="bottom"/>
            <w:tcBorders>
              <w:top w:val="single" w:sz="8" w:color="003595"/>
            </w:tcBorders>
            <w:shd w:val="clear" w:color="auto" w:fill="F2F2F2"/>
          </w:tcPr>
          <w:p>
            <w:pPr>
              <w:spacing w:after="0"/>
              <w:rPr>
                <w:sz w:val="10"/>
                <w:szCs w:val="10"/>
                <w:color w:val="auto"/>
              </w:rPr>
            </w:pPr>
          </w:p>
        </w:tc>
        <w:tc>
          <w:tcPr>
            <w:tcW w:w="980" w:type="dxa"/>
            <w:vAlign w:val="bottom"/>
            <w:tcBorders>
              <w:top w:val="single" w:sz="8" w:color="003595"/>
            </w:tcBorders>
            <w:shd w:val="clear" w:color="auto" w:fill="F2F2F2"/>
          </w:tcPr>
          <w:p>
            <w:pPr>
              <w:spacing w:after="0"/>
              <w:rPr>
                <w:sz w:val="10"/>
                <w:szCs w:val="10"/>
                <w:color w:val="auto"/>
              </w:rPr>
            </w:pPr>
          </w:p>
        </w:tc>
        <w:tc>
          <w:tcPr>
            <w:tcW w:w="740" w:type="dxa"/>
            <w:vAlign w:val="bottom"/>
            <w:tcBorders>
              <w:top w:val="single" w:sz="8" w:color="003595"/>
            </w:tcBorders>
            <w:shd w:val="clear" w:color="auto" w:fill="F2F2F2"/>
          </w:tcPr>
          <w:p>
            <w:pPr>
              <w:spacing w:after="0"/>
              <w:rPr>
                <w:sz w:val="10"/>
                <w:szCs w:val="10"/>
                <w:color w:val="auto"/>
              </w:rPr>
            </w:pPr>
          </w:p>
        </w:tc>
        <w:tc>
          <w:tcPr>
            <w:tcW w:w="160" w:type="dxa"/>
            <w:vAlign w:val="bottom"/>
            <w:tcBorders>
              <w:top w:val="single" w:sz="8" w:color="003595"/>
            </w:tcBorders>
            <w:shd w:val="clear" w:color="auto" w:fill="F2F2F2"/>
          </w:tcPr>
          <w:p>
            <w:pPr>
              <w:spacing w:after="0"/>
              <w:rPr>
                <w:sz w:val="10"/>
                <w:szCs w:val="10"/>
                <w:color w:val="auto"/>
              </w:rPr>
            </w:pPr>
          </w:p>
        </w:tc>
        <w:tc>
          <w:tcPr>
            <w:tcW w:w="960" w:type="dxa"/>
            <w:vAlign w:val="bottom"/>
            <w:tcBorders>
              <w:top w:val="single" w:sz="8" w:color="003595"/>
              <w:right w:val="single" w:sz="8" w:color="F2F2F2"/>
            </w:tcBorders>
            <w:shd w:val="clear" w:color="auto" w:fill="F2F2F2"/>
          </w:tcPr>
          <w:p>
            <w:pPr>
              <w:spacing w:after="0"/>
              <w:rPr>
                <w:sz w:val="10"/>
                <w:szCs w:val="10"/>
                <w:color w:val="auto"/>
              </w:rPr>
            </w:pPr>
          </w:p>
        </w:tc>
      </w:tr>
      <w:tr>
        <w:trPr>
          <w:trHeight w:val="180"/>
        </w:trPr>
        <w:tc>
          <w:tcPr>
            <w:tcW w:w="9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1"/>
                <w:szCs w:val="11"/>
                <w:b w:val="1"/>
                <w:bCs w:val="1"/>
                <w:color w:val="auto"/>
              </w:rPr>
              <w:t>Adjustments</w:t>
            </w:r>
          </w:p>
        </w:tc>
        <w:tc>
          <w:tcPr>
            <w:tcW w:w="940" w:type="dxa"/>
            <w:vAlign w:val="bottom"/>
            <w:tcBorders>
              <w:left w:val="single" w:sz="8" w:color="F2F2F2"/>
              <w:bottom w:val="single" w:sz="8" w:color="F2F2F2"/>
            </w:tcBorders>
            <w:shd w:val="clear" w:color="auto" w:fill="F2F2F2"/>
          </w:tcPr>
          <w:p>
            <w:pPr>
              <w:spacing w:after="0"/>
              <w:rPr>
                <w:sz w:val="15"/>
                <w:szCs w:val="15"/>
                <w:color w:val="auto"/>
              </w:rPr>
            </w:pPr>
          </w:p>
        </w:tc>
        <w:tc>
          <w:tcPr>
            <w:tcW w:w="20" w:type="dxa"/>
            <w:vAlign w:val="bottom"/>
            <w:tcBorders>
              <w:bottom w:val="single" w:sz="8" w:color="F2F2F2"/>
            </w:tcBorders>
            <w:shd w:val="clear" w:color="auto" w:fill="F2F2F2"/>
          </w:tcPr>
          <w:p>
            <w:pPr>
              <w:spacing w:after="0"/>
              <w:rPr>
                <w:sz w:val="15"/>
                <w:szCs w:val="15"/>
                <w:color w:val="auto"/>
              </w:rPr>
            </w:pPr>
          </w:p>
        </w:tc>
        <w:tc>
          <w:tcPr>
            <w:tcW w:w="900" w:type="dxa"/>
            <w:vAlign w:val="bottom"/>
            <w:tcBorders>
              <w:bottom w:val="single" w:sz="8" w:color="F2F2F2"/>
            </w:tcBorders>
            <w:shd w:val="clear" w:color="auto" w:fill="F2F2F2"/>
          </w:tcPr>
          <w:p>
            <w:pPr>
              <w:spacing w:after="0"/>
              <w:rPr>
                <w:sz w:val="15"/>
                <w:szCs w:val="15"/>
                <w:color w:val="auto"/>
              </w:rPr>
            </w:pPr>
          </w:p>
        </w:tc>
        <w:tc>
          <w:tcPr>
            <w:tcW w:w="20" w:type="dxa"/>
            <w:vAlign w:val="bottom"/>
            <w:tcBorders>
              <w:bottom w:val="single" w:sz="8" w:color="F2F2F2"/>
            </w:tcBorders>
            <w:shd w:val="clear" w:color="auto" w:fill="F2F2F2"/>
          </w:tcPr>
          <w:p>
            <w:pPr>
              <w:spacing w:after="0"/>
              <w:rPr>
                <w:sz w:val="15"/>
                <w:szCs w:val="15"/>
                <w:color w:val="auto"/>
              </w:rPr>
            </w:pPr>
          </w:p>
        </w:tc>
        <w:tc>
          <w:tcPr>
            <w:tcW w:w="960" w:type="dxa"/>
            <w:vAlign w:val="bottom"/>
            <w:tcBorders>
              <w:bottom w:val="single" w:sz="8" w:color="F2F2F2"/>
            </w:tcBorders>
            <w:shd w:val="clear" w:color="auto" w:fill="F2F2F2"/>
          </w:tcPr>
          <w:p>
            <w:pPr>
              <w:spacing w:after="0"/>
              <w:rPr>
                <w:sz w:val="15"/>
                <w:szCs w:val="15"/>
                <w:color w:val="auto"/>
              </w:rPr>
            </w:pPr>
          </w:p>
        </w:tc>
        <w:tc>
          <w:tcPr>
            <w:tcW w:w="740" w:type="dxa"/>
            <w:vAlign w:val="bottom"/>
            <w:tcBorders>
              <w:bottom w:val="single" w:sz="8" w:color="F2F2F2"/>
            </w:tcBorders>
            <w:shd w:val="clear" w:color="auto" w:fill="F2F2F2"/>
          </w:tcPr>
          <w:p>
            <w:pPr>
              <w:spacing w:after="0"/>
              <w:rPr>
                <w:sz w:val="15"/>
                <w:szCs w:val="15"/>
                <w:color w:val="auto"/>
              </w:rPr>
            </w:pPr>
          </w:p>
        </w:tc>
        <w:tc>
          <w:tcPr>
            <w:tcW w:w="160" w:type="dxa"/>
            <w:vAlign w:val="bottom"/>
            <w:tcBorders>
              <w:bottom w:val="single" w:sz="8" w:color="F2F2F2"/>
            </w:tcBorders>
            <w:shd w:val="clear" w:color="auto" w:fill="F2F2F2"/>
          </w:tcPr>
          <w:p>
            <w:pPr>
              <w:spacing w:after="0"/>
              <w:rPr>
                <w:sz w:val="15"/>
                <w:szCs w:val="15"/>
                <w:color w:val="auto"/>
              </w:rPr>
            </w:pPr>
          </w:p>
        </w:tc>
        <w:tc>
          <w:tcPr>
            <w:tcW w:w="960" w:type="dxa"/>
            <w:vAlign w:val="bottom"/>
            <w:tcBorders>
              <w:bottom w:val="single" w:sz="8" w:color="F2F2F2"/>
            </w:tcBorders>
            <w:shd w:val="clear" w:color="auto" w:fill="F2F2F2"/>
          </w:tcPr>
          <w:p>
            <w:pPr>
              <w:spacing w:after="0"/>
              <w:rPr>
                <w:sz w:val="15"/>
                <w:szCs w:val="15"/>
                <w:color w:val="auto"/>
              </w:rPr>
            </w:pPr>
          </w:p>
        </w:tc>
        <w:tc>
          <w:tcPr>
            <w:tcW w:w="760" w:type="dxa"/>
            <w:vAlign w:val="bottom"/>
            <w:tcBorders>
              <w:bottom w:val="single" w:sz="8" w:color="F2F2F2"/>
            </w:tcBorders>
            <w:shd w:val="clear" w:color="auto" w:fill="F2F2F2"/>
          </w:tcPr>
          <w:p>
            <w:pPr>
              <w:spacing w:after="0"/>
              <w:rPr>
                <w:sz w:val="15"/>
                <w:szCs w:val="15"/>
                <w:color w:val="auto"/>
              </w:rPr>
            </w:pPr>
          </w:p>
        </w:tc>
        <w:tc>
          <w:tcPr>
            <w:tcW w:w="140" w:type="dxa"/>
            <w:vAlign w:val="bottom"/>
            <w:tcBorders>
              <w:bottom w:val="single" w:sz="8" w:color="F2F2F2"/>
            </w:tcBorders>
            <w:shd w:val="clear" w:color="auto" w:fill="F2F2F2"/>
          </w:tcPr>
          <w:p>
            <w:pPr>
              <w:spacing w:after="0"/>
              <w:rPr>
                <w:sz w:val="15"/>
                <w:szCs w:val="15"/>
                <w:color w:val="auto"/>
              </w:rPr>
            </w:pPr>
          </w:p>
        </w:tc>
        <w:tc>
          <w:tcPr>
            <w:tcW w:w="20" w:type="dxa"/>
            <w:vAlign w:val="bottom"/>
            <w:tcBorders>
              <w:bottom w:val="single" w:sz="8" w:color="F2F2F2"/>
            </w:tcBorders>
            <w:shd w:val="clear" w:color="auto" w:fill="F2F2F2"/>
          </w:tcPr>
          <w:p>
            <w:pPr>
              <w:spacing w:after="0"/>
              <w:rPr>
                <w:sz w:val="15"/>
                <w:szCs w:val="15"/>
                <w:color w:val="auto"/>
              </w:rPr>
            </w:pPr>
          </w:p>
        </w:tc>
        <w:tc>
          <w:tcPr>
            <w:tcW w:w="940" w:type="dxa"/>
            <w:vAlign w:val="bottom"/>
            <w:tcBorders>
              <w:bottom w:val="single" w:sz="8" w:color="F2F2F2"/>
            </w:tcBorders>
            <w:shd w:val="clear" w:color="auto" w:fill="F2F2F2"/>
          </w:tcPr>
          <w:p>
            <w:pPr>
              <w:spacing w:after="0"/>
              <w:rPr>
                <w:sz w:val="15"/>
                <w:szCs w:val="15"/>
                <w:color w:val="auto"/>
              </w:rPr>
            </w:pPr>
          </w:p>
        </w:tc>
        <w:tc>
          <w:tcPr>
            <w:tcW w:w="780" w:type="dxa"/>
            <w:vAlign w:val="bottom"/>
            <w:tcBorders>
              <w:bottom w:val="single" w:sz="8" w:color="F2F2F2"/>
            </w:tcBorders>
            <w:shd w:val="clear" w:color="auto" w:fill="F2F2F2"/>
          </w:tcPr>
          <w:p>
            <w:pPr>
              <w:spacing w:after="0"/>
              <w:rPr>
                <w:sz w:val="15"/>
                <w:szCs w:val="15"/>
                <w:color w:val="auto"/>
              </w:rPr>
            </w:pPr>
          </w:p>
        </w:tc>
        <w:tc>
          <w:tcPr>
            <w:tcW w:w="140" w:type="dxa"/>
            <w:vAlign w:val="bottom"/>
            <w:tcBorders>
              <w:bottom w:val="single" w:sz="8" w:color="F2F2F2"/>
            </w:tcBorders>
            <w:shd w:val="clear" w:color="auto" w:fill="F2F2F2"/>
          </w:tcPr>
          <w:p>
            <w:pPr>
              <w:spacing w:after="0"/>
              <w:rPr>
                <w:sz w:val="15"/>
                <w:szCs w:val="15"/>
                <w:color w:val="auto"/>
              </w:rPr>
            </w:pPr>
          </w:p>
        </w:tc>
        <w:tc>
          <w:tcPr>
            <w:tcW w:w="20" w:type="dxa"/>
            <w:vAlign w:val="bottom"/>
            <w:tcBorders>
              <w:bottom w:val="single" w:sz="8" w:color="F2F2F2"/>
            </w:tcBorders>
            <w:shd w:val="clear" w:color="auto" w:fill="F2F2F2"/>
          </w:tcPr>
          <w:p>
            <w:pPr>
              <w:spacing w:after="0"/>
              <w:rPr>
                <w:sz w:val="15"/>
                <w:szCs w:val="15"/>
                <w:color w:val="auto"/>
              </w:rPr>
            </w:pPr>
          </w:p>
        </w:tc>
        <w:tc>
          <w:tcPr>
            <w:tcW w:w="980" w:type="dxa"/>
            <w:vAlign w:val="bottom"/>
            <w:tcBorders>
              <w:bottom w:val="single" w:sz="8" w:color="F2F2F2"/>
            </w:tcBorders>
            <w:shd w:val="clear" w:color="auto" w:fill="F2F2F2"/>
          </w:tcPr>
          <w:p>
            <w:pPr>
              <w:spacing w:after="0"/>
              <w:rPr>
                <w:sz w:val="15"/>
                <w:szCs w:val="15"/>
                <w:color w:val="auto"/>
              </w:rPr>
            </w:pPr>
          </w:p>
        </w:tc>
        <w:tc>
          <w:tcPr>
            <w:tcW w:w="740" w:type="dxa"/>
            <w:vAlign w:val="bottom"/>
            <w:tcBorders>
              <w:bottom w:val="single" w:sz="8" w:color="F2F2F2"/>
            </w:tcBorders>
            <w:shd w:val="clear" w:color="auto" w:fill="F2F2F2"/>
          </w:tcPr>
          <w:p>
            <w:pPr>
              <w:spacing w:after="0"/>
              <w:rPr>
                <w:sz w:val="15"/>
                <w:szCs w:val="15"/>
                <w:color w:val="auto"/>
              </w:rPr>
            </w:pPr>
          </w:p>
        </w:tc>
        <w:tc>
          <w:tcPr>
            <w:tcW w:w="160" w:type="dxa"/>
            <w:vAlign w:val="bottom"/>
            <w:tcBorders>
              <w:bottom w:val="single" w:sz="8" w:color="F2F2F2"/>
            </w:tcBorders>
            <w:shd w:val="clear" w:color="auto" w:fill="F2F2F2"/>
          </w:tcPr>
          <w:p>
            <w:pPr>
              <w:spacing w:after="0"/>
              <w:rPr>
                <w:sz w:val="15"/>
                <w:szCs w:val="15"/>
                <w:color w:val="auto"/>
              </w:rPr>
            </w:pPr>
          </w:p>
        </w:tc>
        <w:tc>
          <w:tcPr>
            <w:tcW w:w="960" w:type="dxa"/>
            <w:vAlign w:val="bottom"/>
            <w:tcBorders>
              <w:bottom w:val="single" w:sz="8" w:color="F2F2F2"/>
              <w:right w:val="single" w:sz="8" w:color="F2F2F2"/>
            </w:tcBorders>
            <w:shd w:val="clear" w:color="auto" w:fill="F2F2F2"/>
          </w:tcPr>
          <w:p>
            <w:pPr>
              <w:spacing w:after="0"/>
              <w:rPr>
                <w:sz w:val="15"/>
                <w:szCs w:val="15"/>
                <w:color w:val="auto"/>
              </w:rPr>
            </w:pPr>
          </w:p>
        </w:tc>
      </w:tr>
      <w:tr>
        <w:trPr>
          <w:trHeight w:val="115"/>
        </w:trPr>
        <w:tc>
          <w:tcPr>
            <w:tcW w:w="920" w:type="dxa"/>
            <w:vAlign w:val="bottom"/>
            <w:tcBorders>
              <w:top w:val="single" w:sz="8" w:color="003595"/>
            </w:tcBorders>
            <w:shd w:val="clear" w:color="auto" w:fill="F2F2F2"/>
          </w:tcPr>
          <w:p>
            <w:pPr>
              <w:ind w:left="40"/>
              <w:spacing w:after="0" w:line="115" w:lineRule="exact"/>
              <w:rPr>
                <w:sz w:val="20"/>
                <w:szCs w:val="20"/>
                <w:color w:val="auto"/>
              </w:rPr>
            </w:pPr>
            <w:r>
              <w:rPr>
                <w:rFonts w:ascii="Arial" w:cs="Arial" w:eastAsia="Arial" w:hAnsi="Arial"/>
                <w:sz w:val="11"/>
                <w:szCs w:val="11"/>
                <w:color w:val="auto"/>
              </w:rPr>
              <w:t>Year-end Fair</w:t>
            </w:r>
          </w:p>
        </w:tc>
        <w:tc>
          <w:tcPr>
            <w:tcW w:w="94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w w:val="97"/>
              </w:rPr>
              <w:t>3,320,220</w:t>
            </w:r>
          </w:p>
        </w:tc>
        <w:tc>
          <w:tcPr>
            <w:tcW w:w="20" w:type="dxa"/>
            <w:vAlign w:val="bottom"/>
            <w:tcBorders>
              <w:top w:val="single" w:sz="8" w:color="003595"/>
            </w:tcBorders>
          </w:tcPr>
          <w:p>
            <w:pPr>
              <w:spacing w:after="0"/>
              <w:rPr>
                <w:sz w:val="10"/>
                <w:szCs w:val="10"/>
                <w:color w:val="auto"/>
              </w:rPr>
            </w:pPr>
          </w:p>
        </w:tc>
        <w:tc>
          <w:tcPr>
            <w:tcW w:w="90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w w:val="90"/>
              </w:rPr>
              <w:t>—</w:t>
            </w:r>
          </w:p>
        </w:tc>
        <w:tc>
          <w:tcPr>
            <w:tcW w:w="980" w:type="dxa"/>
            <w:vAlign w:val="bottom"/>
            <w:tcBorders>
              <w:top w:val="single" w:sz="8" w:color="003595"/>
            </w:tcBorders>
            <w:gridSpan w:val="2"/>
          </w:tcPr>
          <w:p>
            <w:pPr>
              <w:jc w:val="center"/>
              <w:spacing w:after="0" w:line="115" w:lineRule="exact"/>
              <w:rPr>
                <w:sz w:val="20"/>
                <w:szCs w:val="20"/>
                <w:color w:val="auto"/>
              </w:rPr>
            </w:pPr>
            <w:r>
              <w:rPr>
                <w:rFonts w:ascii="Arial" w:cs="Arial" w:eastAsia="Arial" w:hAnsi="Arial"/>
                <w:sz w:val="11"/>
                <w:szCs w:val="11"/>
                <w:color w:val="auto"/>
                <w:w w:val="97"/>
              </w:rPr>
              <w:t>1,286,791</w:t>
            </w:r>
          </w:p>
        </w:tc>
        <w:tc>
          <w:tcPr>
            <w:tcW w:w="740" w:type="dxa"/>
            <w:vAlign w:val="bottom"/>
            <w:tcBorders>
              <w:top w:val="single" w:sz="8" w:color="003595"/>
            </w:tcBorders>
          </w:tcPr>
          <w:p>
            <w:pPr>
              <w:jc w:val="center"/>
              <w:ind w:left="86"/>
              <w:spacing w:after="0" w:line="115" w:lineRule="exact"/>
              <w:rPr>
                <w:sz w:val="20"/>
                <w:szCs w:val="20"/>
                <w:color w:val="auto"/>
              </w:rPr>
            </w:pPr>
            <w:r>
              <w:rPr>
                <w:rFonts w:ascii="Arial" w:cs="Arial" w:eastAsia="Arial" w:hAnsi="Arial"/>
                <w:sz w:val="11"/>
                <w:szCs w:val="11"/>
                <w:color w:val="auto"/>
                <w:w w:val="97"/>
              </w:rPr>
              <w:t>6,989,389</w:t>
            </w:r>
          </w:p>
        </w:tc>
        <w:tc>
          <w:tcPr>
            <w:tcW w:w="1120" w:type="dxa"/>
            <w:vAlign w:val="bottom"/>
            <w:tcBorders>
              <w:top w:val="single" w:sz="8" w:color="003595"/>
            </w:tcBorders>
            <w:gridSpan w:val="2"/>
          </w:tcPr>
          <w:p>
            <w:pPr>
              <w:jc w:val="center"/>
              <w:ind w:left="66"/>
              <w:spacing w:after="0" w:line="115" w:lineRule="exact"/>
              <w:rPr>
                <w:sz w:val="20"/>
                <w:szCs w:val="20"/>
                <w:color w:val="auto"/>
              </w:rPr>
            </w:pPr>
            <w:r>
              <w:rPr>
                <w:rFonts w:ascii="Arial" w:cs="Arial" w:eastAsia="Arial" w:hAnsi="Arial"/>
                <w:sz w:val="11"/>
                <w:szCs w:val="11"/>
                <w:color w:val="auto"/>
                <w:w w:val="97"/>
              </w:rPr>
              <w:t>1,567,704</w:t>
            </w:r>
          </w:p>
        </w:tc>
        <w:tc>
          <w:tcPr>
            <w:tcW w:w="760" w:type="dxa"/>
            <w:vAlign w:val="bottom"/>
            <w:tcBorders>
              <w:top w:val="single" w:sz="8" w:color="003595"/>
            </w:tcBorders>
          </w:tcPr>
          <w:p>
            <w:pPr>
              <w:jc w:val="center"/>
              <w:ind w:left="66"/>
              <w:spacing w:after="0" w:line="115" w:lineRule="exact"/>
              <w:rPr>
                <w:sz w:val="20"/>
                <w:szCs w:val="20"/>
                <w:color w:val="auto"/>
              </w:rPr>
            </w:pPr>
            <w:r>
              <w:rPr>
                <w:rFonts w:ascii="Arial" w:cs="Arial" w:eastAsia="Arial" w:hAnsi="Arial"/>
                <w:sz w:val="11"/>
                <w:szCs w:val="11"/>
                <w:color w:val="auto"/>
                <w:w w:val="97"/>
              </w:rPr>
              <w:t>7,979,605</w:t>
            </w:r>
          </w:p>
        </w:tc>
        <w:tc>
          <w:tcPr>
            <w:tcW w:w="1100" w:type="dxa"/>
            <w:vAlign w:val="bottom"/>
            <w:tcBorders>
              <w:top w:val="single" w:sz="8" w:color="003595"/>
            </w:tcBorders>
            <w:gridSpan w:val="3"/>
          </w:tcPr>
          <w:p>
            <w:pPr>
              <w:jc w:val="center"/>
              <w:ind w:left="86"/>
              <w:spacing w:after="0" w:line="115" w:lineRule="exact"/>
              <w:rPr>
                <w:sz w:val="20"/>
                <w:szCs w:val="20"/>
                <w:color w:val="auto"/>
              </w:rPr>
            </w:pPr>
            <w:r>
              <w:rPr>
                <w:rFonts w:ascii="Arial" w:cs="Arial" w:eastAsia="Arial" w:hAnsi="Arial"/>
                <w:sz w:val="11"/>
                <w:szCs w:val="11"/>
                <w:color w:val="auto"/>
                <w:w w:val="97"/>
              </w:rPr>
              <w:t>1,943,821</w:t>
            </w:r>
          </w:p>
        </w:tc>
        <w:tc>
          <w:tcPr>
            <w:tcW w:w="780" w:type="dxa"/>
            <w:vAlign w:val="bottom"/>
            <w:tcBorders>
              <w:top w:val="single" w:sz="8" w:color="003595"/>
            </w:tcBorders>
          </w:tcPr>
          <w:p>
            <w:pPr>
              <w:jc w:val="center"/>
              <w:ind w:left="86"/>
              <w:spacing w:after="0" w:line="115" w:lineRule="exact"/>
              <w:rPr>
                <w:sz w:val="20"/>
                <w:szCs w:val="20"/>
                <w:color w:val="auto"/>
              </w:rPr>
            </w:pPr>
            <w:r>
              <w:rPr>
                <w:rFonts w:ascii="Arial" w:cs="Arial" w:eastAsia="Arial" w:hAnsi="Arial"/>
                <w:sz w:val="11"/>
                <w:szCs w:val="11"/>
                <w:color w:val="auto"/>
                <w:w w:val="97"/>
              </w:rPr>
              <w:t>5,183,465</w:t>
            </w:r>
          </w:p>
        </w:tc>
        <w:tc>
          <w:tcPr>
            <w:tcW w:w="1140" w:type="dxa"/>
            <w:vAlign w:val="bottom"/>
            <w:tcBorders>
              <w:top w:val="single" w:sz="8" w:color="003595"/>
            </w:tcBorders>
            <w:gridSpan w:val="3"/>
          </w:tcPr>
          <w:p>
            <w:pPr>
              <w:jc w:val="center"/>
              <w:ind w:left="46"/>
              <w:spacing w:after="0" w:line="115" w:lineRule="exact"/>
              <w:rPr>
                <w:sz w:val="20"/>
                <w:szCs w:val="20"/>
                <w:color w:val="auto"/>
              </w:rPr>
            </w:pPr>
            <w:r>
              <w:rPr>
                <w:rFonts w:ascii="Arial" w:cs="Arial" w:eastAsia="Arial" w:hAnsi="Arial"/>
                <w:sz w:val="11"/>
                <w:szCs w:val="11"/>
                <w:color w:val="auto"/>
              </w:rPr>
              <w:t>576,200</w:t>
            </w:r>
          </w:p>
        </w:tc>
        <w:tc>
          <w:tcPr>
            <w:tcW w:w="740" w:type="dxa"/>
            <w:vAlign w:val="bottom"/>
            <w:tcBorders>
              <w:top w:val="single" w:sz="8" w:color="003595"/>
            </w:tcBorders>
          </w:tcPr>
          <w:p>
            <w:pPr>
              <w:jc w:val="center"/>
              <w:ind w:left="66"/>
              <w:spacing w:after="0" w:line="115" w:lineRule="exact"/>
              <w:rPr>
                <w:sz w:val="20"/>
                <w:szCs w:val="20"/>
                <w:color w:val="auto"/>
              </w:rPr>
            </w:pPr>
            <w:r>
              <w:rPr>
                <w:rFonts w:ascii="Arial" w:cs="Arial" w:eastAsia="Arial" w:hAnsi="Arial"/>
                <w:sz w:val="11"/>
                <w:szCs w:val="11"/>
                <w:color w:val="auto"/>
                <w:w w:val="98"/>
              </w:rPr>
              <w:t>10,879,576</w:t>
            </w:r>
          </w:p>
        </w:tc>
        <w:tc>
          <w:tcPr>
            <w:tcW w:w="1120" w:type="dxa"/>
            <w:vAlign w:val="bottom"/>
            <w:tcBorders>
              <w:top w:val="single" w:sz="8" w:color="003595"/>
            </w:tcBorders>
            <w:gridSpan w:val="2"/>
          </w:tcPr>
          <w:p>
            <w:pPr>
              <w:jc w:val="center"/>
              <w:ind w:left="106"/>
              <w:spacing w:after="0" w:line="115" w:lineRule="exact"/>
              <w:rPr>
                <w:sz w:val="20"/>
                <w:szCs w:val="20"/>
                <w:color w:val="auto"/>
              </w:rPr>
            </w:pPr>
            <w:r>
              <w:rPr>
                <w:rFonts w:ascii="Arial" w:cs="Arial" w:eastAsia="Arial" w:hAnsi="Arial"/>
                <w:sz w:val="11"/>
                <w:szCs w:val="11"/>
                <w:color w:val="auto"/>
                <w:w w:val="97"/>
              </w:rPr>
              <w:t>1,740,847</w:t>
            </w:r>
          </w:p>
        </w:tc>
      </w:tr>
      <w:tr>
        <w:trPr>
          <w:trHeight w:val="122"/>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Value of</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1"/>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w w:val="97"/>
              </w:rPr>
              <w:t>Unvested Awards</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2"/>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Granted in the</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2"/>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Applicable Year</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75"/>
        </w:trPr>
        <w:tc>
          <w:tcPr>
            <w:tcW w:w="9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15"/>
        </w:trPr>
        <w:tc>
          <w:tcPr>
            <w:tcW w:w="920" w:type="dxa"/>
            <w:vAlign w:val="bottom"/>
            <w:tcBorders>
              <w:top w:val="single" w:sz="8" w:color="003595"/>
            </w:tcBorders>
            <w:shd w:val="clear" w:color="auto" w:fill="F2F2F2"/>
          </w:tcPr>
          <w:p>
            <w:pPr>
              <w:ind w:left="40"/>
              <w:spacing w:after="0" w:line="115" w:lineRule="exact"/>
              <w:rPr>
                <w:sz w:val="20"/>
                <w:szCs w:val="20"/>
                <w:color w:val="auto"/>
              </w:rPr>
            </w:pPr>
            <w:r>
              <w:rPr>
                <w:rFonts w:ascii="Arial" w:cs="Arial" w:eastAsia="Arial" w:hAnsi="Arial"/>
                <w:sz w:val="11"/>
                <w:szCs w:val="11"/>
                <w:color w:val="auto"/>
              </w:rPr>
              <w:t>Change in Fair</w:t>
            </w:r>
          </w:p>
        </w:tc>
        <w:tc>
          <w:tcPr>
            <w:tcW w:w="94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w w:val="99"/>
              </w:rPr>
              <w:t>(2,042,036)</w:t>
            </w:r>
          </w:p>
        </w:tc>
        <w:tc>
          <w:tcPr>
            <w:tcW w:w="920" w:type="dxa"/>
            <w:vAlign w:val="bottom"/>
            <w:tcBorders>
              <w:top w:val="single" w:sz="8" w:color="003595"/>
            </w:tcBorders>
            <w:gridSpan w:val="2"/>
          </w:tcPr>
          <w:p>
            <w:pPr>
              <w:jc w:val="center"/>
              <w:spacing w:after="0" w:line="115" w:lineRule="exact"/>
              <w:rPr>
                <w:sz w:val="20"/>
                <w:szCs w:val="20"/>
                <w:color w:val="auto"/>
              </w:rPr>
            </w:pPr>
            <w:r>
              <w:rPr>
                <w:rFonts w:ascii="Arial" w:cs="Arial" w:eastAsia="Arial" w:hAnsi="Arial"/>
                <w:sz w:val="11"/>
                <w:szCs w:val="11"/>
                <w:color w:val="auto"/>
                <w:w w:val="95"/>
              </w:rPr>
              <w:t>(6,977,941)</w:t>
            </w:r>
          </w:p>
        </w:tc>
        <w:tc>
          <w:tcPr>
            <w:tcW w:w="980" w:type="dxa"/>
            <w:vAlign w:val="bottom"/>
            <w:tcBorders>
              <w:top w:val="single" w:sz="8" w:color="003595"/>
            </w:tcBorders>
            <w:gridSpan w:val="2"/>
          </w:tcPr>
          <w:p>
            <w:pPr>
              <w:jc w:val="center"/>
              <w:spacing w:after="0" w:line="115" w:lineRule="exact"/>
              <w:rPr>
                <w:sz w:val="20"/>
                <w:szCs w:val="20"/>
                <w:color w:val="auto"/>
              </w:rPr>
            </w:pPr>
            <w:r>
              <w:rPr>
                <w:rFonts w:ascii="Arial" w:cs="Arial" w:eastAsia="Arial" w:hAnsi="Arial"/>
                <w:sz w:val="11"/>
                <w:szCs w:val="11"/>
                <w:color w:val="auto"/>
                <w:w w:val="97"/>
              </w:rPr>
              <w:t>(682,910)</w:t>
            </w:r>
          </w:p>
        </w:tc>
        <w:tc>
          <w:tcPr>
            <w:tcW w:w="740" w:type="dxa"/>
            <w:vAlign w:val="bottom"/>
            <w:tcBorders>
              <w:top w:val="single" w:sz="8" w:color="003595"/>
            </w:tcBorders>
          </w:tcPr>
          <w:p>
            <w:pPr>
              <w:jc w:val="center"/>
              <w:ind w:left="66"/>
              <w:spacing w:after="0" w:line="115" w:lineRule="exact"/>
              <w:rPr>
                <w:sz w:val="20"/>
                <w:szCs w:val="20"/>
                <w:color w:val="auto"/>
              </w:rPr>
            </w:pPr>
            <w:r>
              <w:rPr>
                <w:rFonts w:ascii="Arial" w:cs="Arial" w:eastAsia="Arial" w:hAnsi="Arial"/>
                <w:sz w:val="11"/>
                <w:szCs w:val="11"/>
                <w:color w:val="auto"/>
                <w:w w:val="95"/>
              </w:rPr>
              <w:t>(4,930,228)</w:t>
            </w:r>
          </w:p>
        </w:tc>
        <w:tc>
          <w:tcPr>
            <w:tcW w:w="1120" w:type="dxa"/>
            <w:vAlign w:val="bottom"/>
            <w:tcBorders>
              <w:top w:val="single" w:sz="8" w:color="003595"/>
            </w:tcBorders>
            <w:gridSpan w:val="2"/>
          </w:tcPr>
          <w:p>
            <w:pPr>
              <w:jc w:val="center"/>
              <w:ind w:left="86"/>
              <w:spacing w:after="0" w:line="115" w:lineRule="exact"/>
              <w:rPr>
                <w:sz w:val="20"/>
                <w:szCs w:val="20"/>
                <w:color w:val="auto"/>
              </w:rPr>
            </w:pPr>
            <w:r>
              <w:rPr>
                <w:rFonts w:ascii="Arial" w:cs="Arial" w:eastAsia="Arial" w:hAnsi="Arial"/>
                <w:sz w:val="11"/>
                <w:szCs w:val="11"/>
                <w:color w:val="auto"/>
                <w:w w:val="97"/>
              </w:rPr>
              <w:t>(467,816)</w:t>
            </w:r>
          </w:p>
        </w:tc>
        <w:tc>
          <w:tcPr>
            <w:tcW w:w="760" w:type="dxa"/>
            <w:vAlign w:val="bottom"/>
            <w:tcBorders>
              <w:top w:val="single" w:sz="8" w:color="003595"/>
            </w:tcBorders>
          </w:tcPr>
          <w:p>
            <w:pPr>
              <w:jc w:val="center"/>
              <w:ind w:left="66"/>
              <w:spacing w:after="0" w:line="115" w:lineRule="exact"/>
              <w:rPr>
                <w:sz w:val="20"/>
                <w:szCs w:val="20"/>
                <w:color w:val="auto"/>
              </w:rPr>
            </w:pPr>
            <w:r>
              <w:rPr>
                <w:rFonts w:ascii="Arial" w:cs="Arial" w:eastAsia="Arial" w:hAnsi="Arial"/>
                <w:sz w:val="11"/>
                <w:szCs w:val="11"/>
                <w:color w:val="auto"/>
                <w:w w:val="97"/>
              </w:rPr>
              <w:t>2,039,494</w:t>
            </w:r>
          </w:p>
        </w:tc>
        <w:tc>
          <w:tcPr>
            <w:tcW w:w="1100" w:type="dxa"/>
            <w:vAlign w:val="bottom"/>
            <w:tcBorders>
              <w:top w:val="single" w:sz="8" w:color="003595"/>
            </w:tcBorders>
            <w:gridSpan w:val="3"/>
          </w:tcPr>
          <w:p>
            <w:pPr>
              <w:jc w:val="center"/>
              <w:ind w:left="86"/>
              <w:spacing w:after="0" w:line="115" w:lineRule="exact"/>
              <w:rPr>
                <w:sz w:val="20"/>
                <w:szCs w:val="20"/>
                <w:color w:val="auto"/>
              </w:rPr>
            </w:pPr>
            <w:r>
              <w:rPr>
                <w:rFonts w:ascii="Arial" w:cs="Arial" w:eastAsia="Arial" w:hAnsi="Arial"/>
                <w:sz w:val="11"/>
                <w:szCs w:val="11"/>
                <w:color w:val="auto"/>
              </w:rPr>
              <w:t>260,459</w:t>
            </w:r>
          </w:p>
        </w:tc>
        <w:tc>
          <w:tcPr>
            <w:tcW w:w="780" w:type="dxa"/>
            <w:vAlign w:val="bottom"/>
            <w:tcBorders>
              <w:top w:val="single" w:sz="8" w:color="003595"/>
            </w:tcBorders>
          </w:tcPr>
          <w:p>
            <w:pPr>
              <w:jc w:val="center"/>
              <w:ind w:left="86"/>
              <w:spacing w:after="0" w:line="115" w:lineRule="exact"/>
              <w:rPr>
                <w:sz w:val="20"/>
                <w:szCs w:val="20"/>
                <w:color w:val="auto"/>
              </w:rPr>
            </w:pPr>
            <w:r>
              <w:rPr>
                <w:rFonts w:ascii="Arial" w:cs="Arial" w:eastAsia="Arial" w:hAnsi="Arial"/>
                <w:sz w:val="11"/>
                <w:szCs w:val="11"/>
                <w:color w:val="auto"/>
                <w:w w:val="96"/>
              </w:rPr>
              <w:t>(11,226,199)</w:t>
            </w:r>
          </w:p>
        </w:tc>
        <w:tc>
          <w:tcPr>
            <w:tcW w:w="1140" w:type="dxa"/>
            <w:vAlign w:val="bottom"/>
            <w:tcBorders>
              <w:top w:val="single" w:sz="8" w:color="003595"/>
            </w:tcBorders>
            <w:gridSpan w:val="3"/>
          </w:tcPr>
          <w:p>
            <w:pPr>
              <w:jc w:val="center"/>
              <w:ind w:left="46"/>
              <w:spacing w:after="0" w:line="115" w:lineRule="exact"/>
              <w:rPr>
                <w:sz w:val="20"/>
                <w:szCs w:val="20"/>
                <w:color w:val="auto"/>
              </w:rPr>
            </w:pPr>
            <w:r>
              <w:rPr>
                <w:rFonts w:ascii="Arial" w:cs="Arial" w:eastAsia="Arial" w:hAnsi="Arial"/>
                <w:sz w:val="11"/>
                <w:szCs w:val="11"/>
                <w:color w:val="auto"/>
                <w:w w:val="99"/>
              </w:rPr>
              <w:t>(1,133,716)</w:t>
            </w:r>
          </w:p>
        </w:tc>
        <w:tc>
          <w:tcPr>
            <w:tcW w:w="740" w:type="dxa"/>
            <w:vAlign w:val="bottom"/>
            <w:tcBorders>
              <w:top w:val="single" w:sz="8" w:color="003595"/>
            </w:tcBorders>
          </w:tcPr>
          <w:p>
            <w:pPr>
              <w:jc w:val="center"/>
              <w:ind w:left="46"/>
              <w:spacing w:after="0" w:line="115" w:lineRule="exact"/>
              <w:rPr>
                <w:sz w:val="20"/>
                <w:szCs w:val="20"/>
                <w:color w:val="auto"/>
              </w:rPr>
            </w:pPr>
            <w:r>
              <w:rPr>
                <w:rFonts w:ascii="Arial" w:cs="Arial" w:eastAsia="Arial" w:hAnsi="Arial"/>
                <w:sz w:val="11"/>
                <w:szCs w:val="11"/>
                <w:color w:val="auto"/>
                <w:w w:val="97"/>
              </w:rPr>
              <w:t>8,276,036</w:t>
            </w:r>
          </w:p>
        </w:tc>
        <w:tc>
          <w:tcPr>
            <w:tcW w:w="1120" w:type="dxa"/>
            <w:vAlign w:val="bottom"/>
            <w:tcBorders>
              <w:top w:val="single" w:sz="8" w:color="003595"/>
            </w:tcBorders>
            <w:gridSpan w:val="2"/>
          </w:tcPr>
          <w:p>
            <w:pPr>
              <w:jc w:val="center"/>
              <w:ind w:left="106"/>
              <w:spacing w:after="0" w:line="115" w:lineRule="exact"/>
              <w:rPr>
                <w:sz w:val="20"/>
                <w:szCs w:val="20"/>
                <w:color w:val="auto"/>
              </w:rPr>
            </w:pPr>
            <w:r>
              <w:rPr>
                <w:rFonts w:ascii="Arial" w:cs="Arial" w:eastAsia="Arial" w:hAnsi="Arial"/>
                <w:sz w:val="11"/>
                <w:szCs w:val="11"/>
                <w:color w:val="auto"/>
                <w:w w:val="97"/>
              </w:rPr>
              <w:t>1,209,889</w:t>
            </w:r>
          </w:p>
        </w:tc>
      </w:tr>
      <w:tr>
        <w:trPr>
          <w:trHeight w:val="122"/>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Value of Awards</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2"/>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Granted in Prior</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2"/>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Years that were</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2"/>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Unvested as of</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1"/>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Applicable Year</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75"/>
        </w:trPr>
        <w:tc>
          <w:tcPr>
            <w:tcW w:w="9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1"/>
                <w:szCs w:val="11"/>
                <w:color w:val="auto"/>
              </w:rPr>
              <w:t>End ($)</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15"/>
        </w:trPr>
        <w:tc>
          <w:tcPr>
            <w:tcW w:w="920" w:type="dxa"/>
            <w:vAlign w:val="bottom"/>
            <w:tcBorders>
              <w:top w:val="single" w:sz="8" w:color="003595"/>
            </w:tcBorders>
            <w:shd w:val="clear" w:color="auto" w:fill="F2F2F2"/>
          </w:tcPr>
          <w:p>
            <w:pPr>
              <w:ind w:left="40"/>
              <w:spacing w:after="0" w:line="115" w:lineRule="exact"/>
              <w:rPr>
                <w:sz w:val="20"/>
                <w:szCs w:val="20"/>
                <w:color w:val="auto"/>
              </w:rPr>
            </w:pPr>
            <w:r>
              <w:rPr>
                <w:rFonts w:ascii="Arial" w:cs="Arial" w:eastAsia="Arial" w:hAnsi="Arial"/>
                <w:sz w:val="11"/>
                <w:szCs w:val="11"/>
                <w:color w:val="auto"/>
              </w:rPr>
              <w:t>Change in Fair</w:t>
            </w:r>
          </w:p>
        </w:tc>
        <w:tc>
          <w:tcPr>
            <w:tcW w:w="940" w:type="dxa"/>
            <w:vAlign w:val="bottom"/>
            <w:tcBorders>
              <w:top w:val="single" w:sz="8" w:color="003595"/>
            </w:tcBorders>
          </w:tcPr>
          <w:p>
            <w:pPr>
              <w:jc w:val="center"/>
              <w:spacing w:after="0" w:line="115" w:lineRule="exact"/>
              <w:rPr>
                <w:sz w:val="20"/>
                <w:szCs w:val="20"/>
                <w:color w:val="auto"/>
              </w:rPr>
            </w:pPr>
            <w:r>
              <w:rPr>
                <w:rFonts w:ascii="Arial" w:cs="Arial" w:eastAsia="Arial" w:hAnsi="Arial"/>
                <w:sz w:val="11"/>
                <w:szCs w:val="11"/>
                <w:color w:val="auto"/>
                <w:w w:val="97"/>
              </w:rPr>
              <w:t>(457,020)</w:t>
            </w:r>
          </w:p>
        </w:tc>
        <w:tc>
          <w:tcPr>
            <w:tcW w:w="920" w:type="dxa"/>
            <w:vAlign w:val="bottom"/>
            <w:tcBorders>
              <w:top w:val="single" w:sz="8" w:color="003595"/>
            </w:tcBorders>
            <w:gridSpan w:val="2"/>
          </w:tcPr>
          <w:p>
            <w:pPr>
              <w:jc w:val="center"/>
              <w:spacing w:after="0" w:line="115" w:lineRule="exact"/>
              <w:rPr>
                <w:sz w:val="20"/>
                <w:szCs w:val="20"/>
                <w:color w:val="auto"/>
              </w:rPr>
            </w:pPr>
            <w:r>
              <w:rPr>
                <w:rFonts w:ascii="Arial" w:cs="Arial" w:eastAsia="Arial" w:hAnsi="Arial"/>
                <w:sz w:val="11"/>
                <w:szCs w:val="11"/>
                <w:color w:val="auto"/>
                <w:w w:val="95"/>
              </w:rPr>
              <w:t>(1,490,430)</w:t>
            </w:r>
          </w:p>
        </w:tc>
        <w:tc>
          <w:tcPr>
            <w:tcW w:w="980" w:type="dxa"/>
            <w:vAlign w:val="bottom"/>
            <w:tcBorders>
              <w:top w:val="single" w:sz="8" w:color="003595"/>
            </w:tcBorders>
            <w:gridSpan w:val="2"/>
          </w:tcPr>
          <w:p>
            <w:pPr>
              <w:jc w:val="center"/>
              <w:spacing w:after="0" w:line="115" w:lineRule="exact"/>
              <w:rPr>
                <w:sz w:val="20"/>
                <w:szCs w:val="20"/>
                <w:color w:val="auto"/>
              </w:rPr>
            </w:pPr>
            <w:r>
              <w:rPr>
                <w:rFonts w:ascii="Arial" w:cs="Arial" w:eastAsia="Arial" w:hAnsi="Arial"/>
                <w:sz w:val="11"/>
                <w:szCs w:val="11"/>
                <w:color w:val="auto"/>
                <w:w w:val="97"/>
              </w:rPr>
              <w:t>(169,191)</w:t>
            </w:r>
          </w:p>
        </w:tc>
        <w:tc>
          <w:tcPr>
            <w:tcW w:w="740" w:type="dxa"/>
            <w:vAlign w:val="bottom"/>
            <w:tcBorders>
              <w:top w:val="single" w:sz="8" w:color="003595"/>
            </w:tcBorders>
          </w:tcPr>
          <w:p>
            <w:pPr>
              <w:jc w:val="center"/>
              <w:ind w:left="86"/>
              <w:spacing w:after="0" w:line="115" w:lineRule="exact"/>
              <w:rPr>
                <w:sz w:val="20"/>
                <w:szCs w:val="20"/>
                <w:color w:val="auto"/>
              </w:rPr>
            </w:pPr>
            <w:r>
              <w:rPr>
                <w:rFonts w:ascii="Arial" w:cs="Arial" w:eastAsia="Arial" w:hAnsi="Arial"/>
                <w:sz w:val="11"/>
                <w:szCs w:val="11"/>
                <w:color w:val="auto"/>
                <w:w w:val="97"/>
              </w:rPr>
              <w:t>2,634,874</w:t>
            </w:r>
          </w:p>
        </w:tc>
        <w:tc>
          <w:tcPr>
            <w:tcW w:w="1120" w:type="dxa"/>
            <w:vAlign w:val="bottom"/>
            <w:tcBorders>
              <w:top w:val="single" w:sz="8" w:color="003595"/>
            </w:tcBorders>
            <w:gridSpan w:val="2"/>
          </w:tcPr>
          <w:p>
            <w:pPr>
              <w:jc w:val="center"/>
              <w:ind w:left="66"/>
              <w:spacing w:after="0" w:line="115" w:lineRule="exact"/>
              <w:rPr>
                <w:sz w:val="20"/>
                <w:szCs w:val="20"/>
                <w:color w:val="auto"/>
              </w:rPr>
            </w:pPr>
            <w:r>
              <w:rPr>
                <w:rFonts w:ascii="Arial" w:cs="Arial" w:eastAsia="Arial" w:hAnsi="Arial"/>
                <w:sz w:val="11"/>
                <w:szCs w:val="11"/>
                <w:color w:val="auto"/>
                <w:w w:val="94"/>
              </w:rPr>
              <w:t>76,666</w:t>
            </w:r>
          </w:p>
        </w:tc>
        <w:tc>
          <w:tcPr>
            <w:tcW w:w="760" w:type="dxa"/>
            <w:vAlign w:val="bottom"/>
            <w:tcBorders>
              <w:top w:val="single" w:sz="8" w:color="003595"/>
            </w:tcBorders>
          </w:tcPr>
          <w:p>
            <w:pPr>
              <w:jc w:val="center"/>
              <w:ind w:left="66"/>
              <w:spacing w:after="0" w:line="115" w:lineRule="exact"/>
              <w:rPr>
                <w:sz w:val="20"/>
                <w:szCs w:val="20"/>
                <w:color w:val="auto"/>
              </w:rPr>
            </w:pPr>
            <w:r>
              <w:rPr>
                <w:rFonts w:ascii="Arial" w:cs="Arial" w:eastAsia="Arial" w:hAnsi="Arial"/>
                <w:sz w:val="11"/>
                <w:szCs w:val="11"/>
                <w:color w:val="auto"/>
                <w:w w:val="97"/>
              </w:rPr>
              <w:t>1,870,743</w:t>
            </w:r>
          </w:p>
        </w:tc>
        <w:tc>
          <w:tcPr>
            <w:tcW w:w="1100" w:type="dxa"/>
            <w:vAlign w:val="bottom"/>
            <w:tcBorders>
              <w:top w:val="single" w:sz="8" w:color="003595"/>
            </w:tcBorders>
            <w:gridSpan w:val="3"/>
          </w:tcPr>
          <w:p>
            <w:pPr>
              <w:jc w:val="center"/>
              <w:ind w:left="86"/>
              <w:spacing w:after="0" w:line="115" w:lineRule="exact"/>
              <w:rPr>
                <w:sz w:val="20"/>
                <w:szCs w:val="20"/>
                <w:color w:val="auto"/>
              </w:rPr>
            </w:pPr>
            <w:r>
              <w:rPr>
                <w:rFonts w:ascii="Arial" w:cs="Arial" w:eastAsia="Arial" w:hAnsi="Arial"/>
                <w:sz w:val="11"/>
                <w:szCs w:val="11"/>
                <w:color w:val="auto"/>
              </w:rPr>
              <w:t>154,543</w:t>
            </w:r>
          </w:p>
        </w:tc>
        <w:tc>
          <w:tcPr>
            <w:tcW w:w="780" w:type="dxa"/>
            <w:vAlign w:val="bottom"/>
            <w:tcBorders>
              <w:top w:val="single" w:sz="8" w:color="003595"/>
            </w:tcBorders>
          </w:tcPr>
          <w:p>
            <w:pPr>
              <w:jc w:val="center"/>
              <w:ind w:left="86"/>
              <w:spacing w:after="0" w:line="115" w:lineRule="exact"/>
              <w:rPr>
                <w:sz w:val="20"/>
                <w:szCs w:val="20"/>
                <w:color w:val="auto"/>
              </w:rPr>
            </w:pPr>
            <w:r>
              <w:rPr>
                <w:rFonts w:ascii="Arial" w:cs="Arial" w:eastAsia="Arial" w:hAnsi="Arial"/>
                <w:sz w:val="11"/>
                <w:szCs w:val="11"/>
                <w:color w:val="auto"/>
              </w:rPr>
              <w:t>(314,575)</w:t>
            </w:r>
          </w:p>
        </w:tc>
        <w:tc>
          <w:tcPr>
            <w:tcW w:w="1140" w:type="dxa"/>
            <w:vAlign w:val="bottom"/>
            <w:tcBorders>
              <w:top w:val="single" w:sz="8" w:color="003595"/>
            </w:tcBorders>
            <w:gridSpan w:val="3"/>
          </w:tcPr>
          <w:p>
            <w:pPr>
              <w:jc w:val="center"/>
              <w:ind w:left="66"/>
              <w:spacing w:after="0" w:line="115" w:lineRule="exact"/>
              <w:rPr>
                <w:sz w:val="20"/>
                <w:szCs w:val="20"/>
                <w:color w:val="auto"/>
              </w:rPr>
            </w:pPr>
            <w:r>
              <w:rPr>
                <w:rFonts w:ascii="Arial" w:cs="Arial" w:eastAsia="Arial" w:hAnsi="Arial"/>
                <w:sz w:val="11"/>
                <w:szCs w:val="11"/>
                <w:color w:val="auto"/>
                <w:w w:val="97"/>
              </w:rPr>
              <w:t>(379,031)</w:t>
            </w:r>
          </w:p>
        </w:tc>
        <w:tc>
          <w:tcPr>
            <w:tcW w:w="740" w:type="dxa"/>
            <w:vAlign w:val="bottom"/>
            <w:tcBorders>
              <w:top w:val="single" w:sz="8" w:color="003595"/>
            </w:tcBorders>
          </w:tcPr>
          <w:p>
            <w:pPr>
              <w:jc w:val="center"/>
              <w:ind w:left="46"/>
              <w:spacing w:after="0" w:line="115" w:lineRule="exact"/>
              <w:rPr>
                <w:sz w:val="20"/>
                <w:szCs w:val="20"/>
                <w:color w:val="auto"/>
              </w:rPr>
            </w:pPr>
            <w:r>
              <w:rPr>
                <w:rFonts w:ascii="Arial" w:cs="Arial" w:eastAsia="Arial" w:hAnsi="Arial"/>
                <w:sz w:val="11"/>
                <w:szCs w:val="11"/>
                <w:color w:val="auto"/>
                <w:w w:val="97"/>
              </w:rPr>
              <w:t>7,715,799</w:t>
            </w:r>
          </w:p>
        </w:tc>
        <w:tc>
          <w:tcPr>
            <w:tcW w:w="1120" w:type="dxa"/>
            <w:vAlign w:val="bottom"/>
            <w:tcBorders>
              <w:top w:val="single" w:sz="8" w:color="003595"/>
            </w:tcBorders>
            <w:gridSpan w:val="2"/>
          </w:tcPr>
          <w:p>
            <w:pPr>
              <w:jc w:val="center"/>
              <w:ind w:left="86"/>
              <w:spacing w:after="0" w:line="115" w:lineRule="exact"/>
              <w:rPr>
                <w:sz w:val="20"/>
                <w:szCs w:val="20"/>
                <w:color w:val="auto"/>
              </w:rPr>
            </w:pPr>
            <w:r>
              <w:rPr>
                <w:rFonts w:ascii="Arial" w:cs="Arial" w:eastAsia="Arial" w:hAnsi="Arial"/>
                <w:sz w:val="11"/>
                <w:szCs w:val="11"/>
                <w:color w:val="auto"/>
                <w:w w:val="95"/>
              </w:rPr>
              <w:t>885,690</w:t>
            </w:r>
          </w:p>
        </w:tc>
      </w:tr>
      <w:tr>
        <w:trPr>
          <w:trHeight w:val="122"/>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Value of Awards</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2"/>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Granted in Prior</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1"/>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w w:val="96"/>
              </w:rPr>
              <w:t>Years that Vested</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2"/>
        </w:trPr>
        <w:tc>
          <w:tcPr>
            <w:tcW w:w="920" w:type="dxa"/>
            <w:vAlign w:val="bottom"/>
            <w:shd w:val="clear" w:color="auto" w:fill="F2F2F2"/>
          </w:tcPr>
          <w:p>
            <w:pPr>
              <w:ind w:left="40"/>
              <w:spacing w:after="0" w:line="122" w:lineRule="exact"/>
              <w:rPr>
                <w:sz w:val="20"/>
                <w:szCs w:val="20"/>
                <w:color w:val="auto"/>
              </w:rPr>
            </w:pPr>
            <w:r>
              <w:rPr>
                <w:rFonts w:ascii="Arial" w:cs="Arial" w:eastAsia="Arial" w:hAnsi="Arial"/>
                <w:sz w:val="11"/>
                <w:szCs w:val="11"/>
                <w:color w:val="auto"/>
              </w:rPr>
              <w:t>in the Applicable</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75"/>
        </w:trPr>
        <w:tc>
          <w:tcPr>
            <w:tcW w:w="9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1"/>
                <w:szCs w:val="11"/>
                <w:color w:val="auto"/>
              </w:rPr>
              <w:t>Year ($)</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15"/>
        </w:trPr>
        <w:tc>
          <w:tcPr>
            <w:tcW w:w="920" w:type="dxa"/>
            <w:vAlign w:val="bottom"/>
            <w:tcBorders>
              <w:top w:val="single" w:sz="8" w:color="003595"/>
            </w:tcBorders>
            <w:shd w:val="clear" w:color="auto" w:fill="F2F2F2"/>
          </w:tcPr>
          <w:p>
            <w:pPr>
              <w:ind w:left="40"/>
              <w:spacing w:after="0" w:line="115" w:lineRule="exact"/>
              <w:rPr>
                <w:sz w:val="20"/>
                <w:szCs w:val="20"/>
                <w:color w:val="auto"/>
              </w:rPr>
            </w:pPr>
            <w:r>
              <w:rPr>
                <w:rFonts w:ascii="Arial" w:cs="Arial" w:eastAsia="Arial" w:hAnsi="Arial"/>
                <w:sz w:val="11"/>
                <w:szCs w:val="11"/>
                <w:b w:val="1"/>
                <w:bCs w:val="1"/>
                <w:color w:val="auto"/>
              </w:rPr>
              <w:t>Compensation</w:t>
            </w:r>
          </w:p>
        </w:tc>
        <w:tc>
          <w:tcPr>
            <w:tcW w:w="940" w:type="dxa"/>
            <w:vAlign w:val="bottom"/>
            <w:tcBorders>
              <w:top w:val="single" w:sz="8" w:color="003595"/>
              <w:left w:val="single" w:sz="8" w:color="F2F2F2"/>
            </w:tcBorders>
            <w:shd w:val="clear" w:color="auto" w:fill="F2F2F2"/>
          </w:tcPr>
          <w:p>
            <w:pPr>
              <w:jc w:val="center"/>
              <w:spacing w:after="0" w:line="115" w:lineRule="exact"/>
              <w:rPr>
                <w:sz w:val="20"/>
                <w:szCs w:val="20"/>
                <w:color w:val="auto"/>
              </w:rPr>
            </w:pPr>
            <w:r>
              <w:rPr>
                <w:rFonts w:ascii="Arial" w:cs="Arial" w:eastAsia="Arial" w:hAnsi="Arial"/>
                <w:sz w:val="11"/>
                <w:szCs w:val="11"/>
                <w:color w:val="auto"/>
                <w:w w:val="97"/>
              </w:rPr>
              <w:t>2,518,175</w:t>
            </w:r>
          </w:p>
        </w:tc>
        <w:tc>
          <w:tcPr>
            <w:tcW w:w="920" w:type="dxa"/>
            <w:vAlign w:val="bottom"/>
            <w:tcBorders>
              <w:top w:val="single" w:sz="8" w:color="003595"/>
            </w:tcBorders>
            <w:gridSpan w:val="2"/>
            <w:shd w:val="clear" w:color="auto" w:fill="F2F2F2"/>
          </w:tcPr>
          <w:p>
            <w:pPr>
              <w:jc w:val="center"/>
              <w:spacing w:after="0" w:line="115" w:lineRule="exact"/>
              <w:rPr>
                <w:sz w:val="20"/>
                <w:szCs w:val="20"/>
                <w:color w:val="auto"/>
              </w:rPr>
            </w:pPr>
            <w:r>
              <w:rPr>
                <w:rFonts w:ascii="Arial" w:cs="Arial" w:eastAsia="Arial" w:hAnsi="Arial"/>
                <w:sz w:val="11"/>
                <w:szCs w:val="11"/>
                <w:color w:val="auto"/>
                <w:w w:val="95"/>
              </w:rPr>
              <w:t>(7,779,734)</w:t>
            </w:r>
          </w:p>
        </w:tc>
        <w:tc>
          <w:tcPr>
            <w:tcW w:w="980" w:type="dxa"/>
            <w:vAlign w:val="bottom"/>
            <w:tcBorders>
              <w:top w:val="single" w:sz="8" w:color="003595"/>
            </w:tcBorders>
            <w:gridSpan w:val="2"/>
            <w:shd w:val="clear" w:color="auto" w:fill="F2F2F2"/>
          </w:tcPr>
          <w:p>
            <w:pPr>
              <w:jc w:val="center"/>
              <w:spacing w:after="0" w:line="115" w:lineRule="exact"/>
              <w:rPr>
                <w:sz w:val="20"/>
                <w:szCs w:val="20"/>
                <w:color w:val="auto"/>
              </w:rPr>
            </w:pPr>
            <w:r>
              <w:rPr>
                <w:rFonts w:ascii="Arial" w:cs="Arial" w:eastAsia="Arial" w:hAnsi="Arial"/>
                <w:sz w:val="11"/>
                <w:szCs w:val="11"/>
                <w:color w:val="auto"/>
                <w:w w:val="97"/>
              </w:rPr>
              <w:t>1,524,556</w:t>
            </w:r>
          </w:p>
        </w:tc>
        <w:tc>
          <w:tcPr>
            <w:tcW w:w="740" w:type="dxa"/>
            <w:vAlign w:val="bottom"/>
            <w:tcBorders>
              <w:top w:val="single" w:sz="8" w:color="003595"/>
            </w:tcBorders>
            <w:shd w:val="clear" w:color="auto" w:fill="F2F2F2"/>
          </w:tcPr>
          <w:p>
            <w:pPr>
              <w:jc w:val="center"/>
              <w:ind w:left="66"/>
              <w:spacing w:after="0" w:line="115" w:lineRule="exact"/>
              <w:rPr>
                <w:sz w:val="20"/>
                <w:szCs w:val="20"/>
                <w:color w:val="auto"/>
              </w:rPr>
            </w:pPr>
            <w:r>
              <w:rPr>
                <w:rFonts w:ascii="Arial" w:cs="Arial" w:eastAsia="Arial" w:hAnsi="Arial"/>
                <w:sz w:val="11"/>
                <w:szCs w:val="11"/>
                <w:color w:val="auto"/>
                <w:w w:val="93"/>
              </w:rPr>
              <w:t>7,211,120</w:t>
            </w:r>
          </w:p>
        </w:tc>
        <w:tc>
          <w:tcPr>
            <w:tcW w:w="1120" w:type="dxa"/>
            <w:vAlign w:val="bottom"/>
            <w:tcBorders>
              <w:top w:val="single" w:sz="8" w:color="003595"/>
            </w:tcBorders>
            <w:gridSpan w:val="2"/>
            <w:shd w:val="clear" w:color="auto" w:fill="F2F2F2"/>
          </w:tcPr>
          <w:p>
            <w:pPr>
              <w:jc w:val="center"/>
              <w:ind w:left="66"/>
              <w:spacing w:after="0" w:line="115" w:lineRule="exact"/>
              <w:rPr>
                <w:sz w:val="20"/>
                <w:szCs w:val="20"/>
                <w:color w:val="auto"/>
              </w:rPr>
            </w:pPr>
            <w:r>
              <w:rPr>
                <w:rFonts w:ascii="Arial" w:cs="Arial" w:eastAsia="Arial" w:hAnsi="Arial"/>
                <w:sz w:val="11"/>
                <w:szCs w:val="11"/>
                <w:color w:val="auto"/>
                <w:w w:val="97"/>
              </w:rPr>
              <w:t>2,138,230</w:t>
            </w:r>
          </w:p>
        </w:tc>
        <w:tc>
          <w:tcPr>
            <w:tcW w:w="760" w:type="dxa"/>
            <w:vAlign w:val="bottom"/>
            <w:tcBorders>
              <w:top w:val="single" w:sz="8" w:color="003595"/>
            </w:tcBorders>
            <w:shd w:val="clear" w:color="auto" w:fill="F2F2F2"/>
          </w:tcPr>
          <w:p>
            <w:pPr>
              <w:jc w:val="center"/>
              <w:ind w:left="86"/>
              <w:spacing w:after="0" w:line="115" w:lineRule="exact"/>
              <w:rPr>
                <w:sz w:val="20"/>
                <w:szCs w:val="20"/>
                <w:color w:val="auto"/>
              </w:rPr>
            </w:pPr>
            <w:r>
              <w:rPr>
                <w:rFonts w:ascii="Arial" w:cs="Arial" w:eastAsia="Arial" w:hAnsi="Arial"/>
                <w:sz w:val="11"/>
                <w:szCs w:val="11"/>
                <w:color w:val="auto"/>
                <w:w w:val="98"/>
              </w:rPr>
              <w:t>14,201,749</w:t>
            </w:r>
          </w:p>
        </w:tc>
        <w:tc>
          <w:tcPr>
            <w:tcW w:w="1100" w:type="dxa"/>
            <w:vAlign w:val="bottom"/>
            <w:tcBorders>
              <w:top w:val="single" w:sz="8" w:color="003595"/>
            </w:tcBorders>
            <w:gridSpan w:val="3"/>
            <w:shd w:val="clear" w:color="auto" w:fill="F2F2F2"/>
          </w:tcPr>
          <w:p>
            <w:pPr>
              <w:jc w:val="center"/>
              <w:ind w:left="86"/>
              <w:spacing w:after="0" w:line="115" w:lineRule="exact"/>
              <w:rPr>
                <w:sz w:val="20"/>
                <w:szCs w:val="20"/>
                <w:color w:val="auto"/>
              </w:rPr>
            </w:pPr>
            <w:r>
              <w:rPr>
                <w:rFonts w:ascii="Arial" w:cs="Arial" w:eastAsia="Arial" w:hAnsi="Arial"/>
                <w:sz w:val="11"/>
                <w:szCs w:val="11"/>
                <w:color w:val="auto"/>
                <w:w w:val="97"/>
              </w:rPr>
              <w:t>3,194,672</w:t>
            </w:r>
          </w:p>
        </w:tc>
        <w:tc>
          <w:tcPr>
            <w:tcW w:w="780" w:type="dxa"/>
            <w:vAlign w:val="bottom"/>
            <w:tcBorders>
              <w:top w:val="single" w:sz="8" w:color="003595"/>
            </w:tcBorders>
            <w:shd w:val="clear" w:color="auto" w:fill="F2F2F2"/>
          </w:tcPr>
          <w:p>
            <w:pPr>
              <w:jc w:val="center"/>
              <w:ind w:left="86"/>
              <w:spacing w:after="0" w:line="115" w:lineRule="exact"/>
              <w:rPr>
                <w:sz w:val="20"/>
                <w:szCs w:val="20"/>
                <w:color w:val="auto"/>
              </w:rPr>
            </w:pPr>
            <w:r>
              <w:rPr>
                <w:rFonts w:ascii="Arial" w:cs="Arial" w:eastAsia="Arial" w:hAnsi="Arial"/>
                <w:sz w:val="11"/>
                <w:szCs w:val="11"/>
                <w:color w:val="auto"/>
                <w:w w:val="99"/>
              </w:rPr>
              <w:t>(4,479,782)</w:t>
            </w:r>
          </w:p>
        </w:tc>
        <w:tc>
          <w:tcPr>
            <w:tcW w:w="1140" w:type="dxa"/>
            <w:vAlign w:val="bottom"/>
            <w:tcBorders>
              <w:top w:val="single" w:sz="8" w:color="003595"/>
            </w:tcBorders>
            <w:gridSpan w:val="3"/>
            <w:shd w:val="clear" w:color="auto" w:fill="F2F2F2"/>
          </w:tcPr>
          <w:p>
            <w:pPr>
              <w:jc w:val="center"/>
              <w:ind w:left="66"/>
              <w:spacing w:after="0" w:line="115" w:lineRule="exact"/>
              <w:rPr>
                <w:sz w:val="20"/>
                <w:szCs w:val="20"/>
                <w:color w:val="auto"/>
              </w:rPr>
            </w:pPr>
            <w:r>
              <w:rPr>
                <w:rFonts w:ascii="Arial" w:cs="Arial" w:eastAsia="Arial" w:hAnsi="Arial"/>
                <w:sz w:val="11"/>
                <w:szCs w:val="11"/>
                <w:color w:val="auto"/>
                <w:w w:val="97"/>
              </w:rPr>
              <w:t>(161,281)</w:t>
            </w:r>
          </w:p>
        </w:tc>
        <w:tc>
          <w:tcPr>
            <w:tcW w:w="740" w:type="dxa"/>
            <w:vAlign w:val="bottom"/>
            <w:tcBorders>
              <w:top w:val="single" w:sz="8" w:color="003595"/>
            </w:tcBorders>
            <w:shd w:val="clear" w:color="auto" w:fill="F2F2F2"/>
          </w:tcPr>
          <w:p>
            <w:pPr>
              <w:jc w:val="center"/>
              <w:ind w:left="66"/>
              <w:spacing w:after="0" w:line="115" w:lineRule="exact"/>
              <w:rPr>
                <w:sz w:val="20"/>
                <w:szCs w:val="20"/>
                <w:color w:val="auto"/>
              </w:rPr>
            </w:pPr>
            <w:r>
              <w:rPr>
                <w:rFonts w:ascii="Arial" w:cs="Arial" w:eastAsia="Arial" w:hAnsi="Arial"/>
                <w:sz w:val="11"/>
                <w:szCs w:val="11"/>
                <w:color w:val="auto"/>
                <w:w w:val="98"/>
              </w:rPr>
              <w:t>29,789,160</w:t>
            </w:r>
          </w:p>
        </w:tc>
        <w:tc>
          <w:tcPr>
            <w:tcW w:w="1120" w:type="dxa"/>
            <w:vAlign w:val="bottom"/>
            <w:tcBorders>
              <w:top w:val="single" w:sz="8" w:color="003595"/>
              <w:right w:val="single" w:sz="8" w:color="F2F2F2"/>
            </w:tcBorders>
            <w:gridSpan w:val="2"/>
            <w:shd w:val="clear" w:color="auto" w:fill="F2F2F2"/>
          </w:tcPr>
          <w:p>
            <w:pPr>
              <w:jc w:val="center"/>
              <w:ind w:left="106"/>
              <w:spacing w:after="0" w:line="115" w:lineRule="exact"/>
              <w:rPr>
                <w:sz w:val="20"/>
                <w:szCs w:val="20"/>
                <w:color w:val="auto"/>
              </w:rPr>
            </w:pPr>
            <w:r>
              <w:rPr>
                <w:rFonts w:ascii="Arial" w:cs="Arial" w:eastAsia="Arial" w:hAnsi="Arial"/>
                <w:sz w:val="11"/>
                <w:szCs w:val="11"/>
                <w:color w:val="auto"/>
                <w:w w:val="97"/>
              </w:rPr>
              <w:t>4,670,387</w:t>
            </w:r>
          </w:p>
        </w:tc>
      </w:tr>
      <w:tr>
        <w:trPr>
          <w:trHeight w:val="155"/>
        </w:trPr>
        <w:tc>
          <w:tcPr>
            <w:tcW w:w="9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1"/>
                <w:szCs w:val="11"/>
                <w:b w:val="1"/>
                <w:bCs w:val="1"/>
                <w:color w:val="auto"/>
                <w:w w:val="98"/>
              </w:rPr>
              <w:t>Actually Paid ($)</w:t>
            </w:r>
          </w:p>
        </w:tc>
        <w:tc>
          <w:tcPr>
            <w:tcW w:w="940" w:type="dxa"/>
            <w:vAlign w:val="bottom"/>
            <w:tcBorders>
              <w:left w:val="single" w:sz="8" w:color="F2F2F2"/>
              <w:bottom w:val="single" w:sz="8" w:color="F2F2F2"/>
            </w:tcBorders>
            <w:shd w:val="clear" w:color="auto" w:fill="F2F2F2"/>
          </w:tcPr>
          <w:p>
            <w:pPr>
              <w:spacing w:after="0"/>
              <w:rPr>
                <w:sz w:val="13"/>
                <w:szCs w:val="13"/>
                <w:color w:val="auto"/>
              </w:rPr>
            </w:pPr>
          </w:p>
        </w:tc>
        <w:tc>
          <w:tcPr>
            <w:tcW w:w="20" w:type="dxa"/>
            <w:vAlign w:val="bottom"/>
            <w:tcBorders>
              <w:bottom w:val="single" w:sz="8" w:color="F2F2F2"/>
            </w:tcBorders>
            <w:shd w:val="clear" w:color="auto" w:fill="F2F2F2"/>
          </w:tcPr>
          <w:p>
            <w:pPr>
              <w:spacing w:after="0"/>
              <w:rPr>
                <w:sz w:val="13"/>
                <w:szCs w:val="13"/>
                <w:color w:val="auto"/>
              </w:rPr>
            </w:pPr>
          </w:p>
        </w:tc>
        <w:tc>
          <w:tcPr>
            <w:tcW w:w="900" w:type="dxa"/>
            <w:vAlign w:val="bottom"/>
            <w:tcBorders>
              <w:bottom w:val="single" w:sz="8" w:color="F2F2F2"/>
            </w:tcBorders>
            <w:shd w:val="clear" w:color="auto" w:fill="F2F2F2"/>
          </w:tcPr>
          <w:p>
            <w:pPr>
              <w:spacing w:after="0"/>
              <w:rPr>
                <w:sz w:val="13"/>
                <w:szCs w:val="13"/>
                <w:color w:val="auto"/>
              </w:rPr>
            </w:pPr>
          </w:p>
        </w:tc>
        <w:tc>
          <w:tcPr>
            <w:tcW w:w="20" w:type="dxa"/>
            <w:vAlign w:val="bottom"/>
            <w:tcBorders>
              <w:bottom w:val="single" w:sz="8" w:color="F2F2F2"/>
            </w:tcBorders>
            <w:shd w:val="clear" w:color="auto" w:fill="F2F2F2"/>
          </w:tcPr>
          <w:p>
            <w:pPr>
              <w:spacing w:after="0"/>
              <w:rPr>
                <w:sz w:val="13"/>
                <w:szCs w:val="13"/>
                <w:color w:val="auto"/>
              </w:rPr>
            </w:pPr>
          </w:p>
        </w:tc>
        <w:tc>
          <w:tcPr>
            <w:tcW w:w="960" w:type="dxa"/>
            <w:vAlign w:val="bottom"/>
            <w:tcBorders>
              <w:bottom w:val="single" w:sz="8" w:color="F2F2F2"/>
            </w:tcBorders>
            <w:shd w:val="clear" w:color="auto" w:fill="F2F2F2"/>
          </w:tcPr>
          <w:p>
            <w:pPr>
              <w:spacing w:after="0"/>
              <w:rPr>
                <w:sz w:val="13"/>
                <w:szCs w:val="13"/>
                <w:color w:val="auto"/>
              </w:rPr>
            </w:pPr>
          </w:p>
        </w:tc>
        <w:tc>
          <w:tcPr>
            <w:tcW w:w="740" w:type="dxa"/>
            <w:vAlign w:val="bottom"/>
            <w:tcBorders>
              <w:bottom w:val="single" w:sz="8" w:color="F2F2F2"/>
            </w:tcBorders>
            <w:shd w:val="clear" w:color="auto" w:fill="F2F2F2"/>
          </w:tcPr>
          <w:p>
            <w:pPr>
              <w:spacing w:after="0"/>
              <w:rPr>
                <w:sz w:val="13"/>
                <w:szCs w:val="13"/>
                <w:color w:val="auto"/>
              </w:rPr>
            </w:pPr>
          </w:p>
        </w:tc>
        <w:tc>
          <w:tcPr>
            <w:tcW w:w="160" w:type="dxa"/>
            <w:vAlign w:val="bottom"/>
            <w:tcBorders>
              <w:bottom w:val="single" w:sz="8" w:color="F2F2F2"/>
            </w:tcBorders>
            <w:shd w:val="clear" w:color="auto" w:fill="F2F2F2"/>
          </w:tcPr>
          <w:p>
            <w:pPr>
              <w:spacing w:after="0"/>
              <w:rPr>
                <w:sz w:val="13"/>
                <w:szCs w:val="13"/>
                <w:color w:val="auto"/>
              </w:rPr>
            </w:pPr>
          </w:p>
        </w:tc>
        <w:tc>
          <w:tcPr>
            <w:tcW w:w="960" w:type="dxa"/>
            <w:vAlign w:val="bottom"/>
            <w:tcBorders>
              <w:bottom w:val="single" w:sz="8" w:color="F2F2F2"/>
            </w:tcBorders>
            <w:shd w:val="clear" w:color="auto" w:fill="F2F2F2"/>
          </w:tcPr>
          <w:p>
            <w:pPr>
              <w:spacing w:after="0"/>
              <w:rPr>
                <w:sz w:val="13"/>
                <w:szCs w:val="13"/>
                <w:color w:val="auto"/>
              </w:rPr>
            </w:pPr>
          </w:p>
        </w:tc>
        <w:tc>
          <w:tcPr>
            <w:tcW w:w="760" w:type="dxa"/>
            <w:vAlign w:val="bottom"/>
            <w:tcBorders>
              <w:bottom w:val="single" w:sz="8" w:color="F2F2F2"/>
            </w:tcBorders>
            <w:shd w:val="clear" w:color="auto" w:fill="F2F2F2"/>
          </w:tcPr>
          <w:p>
            <w:pPr>
              <w:spacing w:after="0"/>
              <w:rPr>
                <w:sz w:val="13"/>
                <w:szCs w:val="13"/>
                <w:color w:val="auto"/>
              </w:rPr>
            </w:pPr>
          </w:p>
        </w:tc>
        <w:tc>
          <w:tcPr>
            <w:tcW w:w="140" w:type="dxa"/>
            <w:vAlign w:val="bottom"/>
            <w:tcBorders>
              <w:bottom w:val="single" w:sz="8" w:color="F2F2F2"/>
            </w:tcBorders>
            <w:shd w:val="clear" w:color="auto" w:fill="F2F2F2"/>
          </w:tcPr>
          <w:p>
            <w:pPr>
              <w:spacing w:after="0"/>
              <w:rPr>
                <w:sz w:val="13"/>
                <w:szCs w:val="13"/>
                <w:color w:val="auto"/>
              </w:rPr>
            </w:pPr>
          </w:p>
        </w:tc>
        <w:tc>
          <w:tcPr>
            <w:tcW w:w="20" w:type="dxa"/>
            <w:vAlign w:val="bottom"/>
            <w:tcBorders>
              <w:bottom w:val="single" w:sz="8" w:color="F2F2F2"/>
            </w:tcBorders>
            <w:shd w:val="clear" w:color="auto" w:fill="F2F2F2"/>
          </w:tcPr>
          <w:p>
            <w:pPr>
              <w:spacing w:after="0"/>
              <w:rPr>
                <w:sz w:val="13"/>
                <w:szCs w:val="13"/>
                <w:color w:val="auto"/>
              </w:rPr>
            </w:pPr>
          </w:p>
        </w:tc>
        <w:tc>
          <w:tcPr>
            <w:tcW w:w="940" w:type="dxa"/>
            <w:vAlign w:val="bottom"/>
            <w:tcBorders>
              <w:bottom w:val="single" w:sz="8" w:color="F2F2F2"/>
            </w:tcBorders>
            <w:shd w:val="clear" w:color="auto" w:fill="F2F2F2"/>
          </w:tcPr>
          <w:p>
            <w:pPr>
              <w:spacing w:after="0"/>
              <w:rPr>
                <w:sz w:val="13"/>
                <w:szCs w:val="13"/>
                <w:color w:val="auto"/>
              </w:rPr>
            </w:pPr>
          </w:p>
        </w:tc>
        <w:tc>
          <w:tcPr>
            <w:tcW w:w="780" w:type="dxa"/>
            <w:vAlign w:val="bottom"/>
            <w:tcBorders>
              <w:bottom w:val="single" w:sz="8" w:color="F2F2F2"/>
            </w:tcBorders>
            <w:shd w:val="clear" w:color="auto" w:fill="F2F2F2"/>
          </w:tcPr>
          <w:p>
            <w:pPr>
              <w:spacing w:after="0"/>
              <w:rPr>
                <w:sz w:val="13"/>
                <w:szCs w:val="13"/>
                <w:color w:val="auto"/>
              </w:rPr>
            </w:pPr>
          </w:p>
        </w:tc>
        <w:tc>
          <w:tcPr>
            <w:tcW w:w="140" w:type="dxa"/>
            <w:vAlign w:val="bottom"/>
            <w:tcBorders>
              <w:bottom w:val="single" w:sz="8" w:color="F2F2F2"/>
            </w:tcBorders>
            <w:shd w:val="clear" w:color="auto" w:fill="F2F2F2"/>
          </w:tcPr>
          <w:p>
            <w:pPr>
              <w:spacing w:after="0"/>
              <w:rPr>
                <w:sz w:val="13"/>
                <w:szCs w:val="13"/>
                <w:color w:val="auto"/>
              </w:rPr>
            </w:pPr>
          </w:p>
        </w:tc>
        <w:tc>
          <w:tcPr>
            <w:tcW w:w="20" w:type="dxa"/>
            <w:vAlign w:val="bottom"/>
            <w:tcBorders>
              <w:bottom w:val="single" w:sz="8" w:color="F2F2F2"/>
            </w:tcBorders>
            <w:shd w:val="clear" w:color="auto" w:fill="F2F2F2"/>
          </w:tcPr>
          <w:p>
            <w:pPr>
              <w:spacing w:after="0"/>
              <w:rPr>
                <w:sz w:val="13"/>
                <w:szCs w:val="13"/>
                <w:color w:val="auto"/>
              </w:rPr>
            </w:pPr>
          </w:p>
        </w:tc>
        <w:tc>
          <w:tcPr>
            <w:tcW w:w="980" w:type="dxa"/>
            <w:vAlign w:val="bottom"/>
            <w:tcBorders>
              <w:bottom w:val="single" w:sz="8" w:color="F2F2F2"/>
            </w:tcBorders>
            <w:shd w:val="clear" w:color="auto" w:fill="F2F2F2"/>
          </w:tcPr>
          <w:p>
            <w:pPr>
              <w:spacing w:after="0"/>
              <w:rPr>
                <w:sz w:val="13"/>
                <w:szCs w:val="13"/>
                <w:color w:val="auto"/>
              </w:rPr>
            </w:pPr>
          </w:p>
        </w:tc>
        <w:tc>
          <w:tcPr>
            <w:tcW w:w="740" w:type="dxa"/>
            <w:vAlign w:val="bottom"/>
            <w:tcBorders>
              <w:bottom w:val="single" w:sz="8" w:color="F2F2F2"/>
            </w:tcBorders>
            <w:shd w:val="clear" w:color="auto" w:fill="F2F2F2"/>
          </w:tcPr>
          <w:p>
            <w:pPr>
              <w:spacing w:after="0"/>
              <w:rPr>
                <w:sz w:val="13"/>
                <w:szCs w:val="13"/>
                <w:color w:val="auto"/>
              </w:rPr>
            </w:pPr>
          </w:p>
        </w:tc>
        <w:tc>
          <w:tcPr>
            <w:tcW w:w="160" w:type="dxa"/>
            <w:vAlign w:val="bottom"/>
            <w:tcBorders>
              <w:bottom w:val="single" w:sz="8" w:color="F2F2F2"/>
            </w:tcBorders>
            <w:shd w:val="clear" w:color="auto" w:fill="F2F2F2"/>
          </w:tcPr>
          <w:p>
            <w:pPr>
              <w:spacing w:after="0"/>
              <w:rPr>
                <w:sz w:val="13"/>
                <w:szCs w:val="13"/>
                <w:color w:val="auto"/>
              </w:rPr>
            </w:pPr>
          </w:p>
        </w:tc>
        <w:tc>
          <w:tcPr>
            <w:tcW w:w="960" w:type="dxa"/>
            <w:vAlign w:val="bottom"/>
            <w:tcBorders>
              <w:bottom w:val="single" w:sz="8" w:color="F2F2F2"/>
              <w:right w:val="single" w:sz="8" w:color="F2F2F2"/>
            </w:tcBorders>
            <w:shd w:val="clear" w:color="auto" w:fill="F2F2F2"/>
          </w:tcPr>
          <w:p>
            <w:pPr>
              <w:spacing w:after="0"/>
              <w:rPr>
                <w:sz w:val="13"/>
                <w:szCs w:val="13"/>
                <w:color w:val="auto"/>
              </w:rPr>
            </w:pPr>
          </w:p>
        </w:tc>
      </w:tr>
      <w:tr>
        <w:trPr>
          <w:trHeight w:val="20"/>
        </w:trPr>
        <w:tc>
          <w:tcPr>
            <w:tcW w:w="920" w:type="dxa"/>
            <w:vAlign w:val="bottom"/>
            <w:shd w:val="clear" w:color="auto" w:fill="003595"/>
          </w:tcPr>
          <w:p>
            <w:pPr>
              <w:spacing w:after="0" w:line="20" w:lineRule="exact"/>
              <w:rPr>
                <w:sz w:val="1"/>
                <w:szCs w:val="1"/>
                <w:color w:val="auto"/>
              </w:rPr>
            </w:pPr>
          </w:p>
        </w:tc>
        <w:tc>
          <w:tcPr>
            <w:tcW w:w="940" w:type="dxa"/>
            <w:vAlign w:val="bottom"/>
            <w:tcBorders>
              <w:left w:val="single" w:sz="8" w:color="003595"/>
            </w:tcBorders>
            <w:shd w:val="clear" w:color="auto" w:fill="003595"/>
          </w:tcPr>
          <w:p>
            <w:pPr>
              <w:spacing w:after="0" w:line="20" w:lineRule="exact"/>
              <w:rPr>
                <w:sz w:val="1"/>
                <w:szCs w:val="1"/>
                <w:color w:val="auto"/>
              </w:rPr>
            </w:pPr>
          </w:p>
        </w:tc>
        <w:tc>
          <w:tcPr>
            <w:tcW w:w="20" w:type="dxa"/>
            <w:vAlign w:val="bottom"/>
            <w:shd w:val="clear" w:color="auto" w:fill="003595"/>
          </w:tcPr>
          <w:p>
            <w:pPr>
              <w:spacing w:after="0" w:line="20" w:lineRule="exact"/>
              <w:rPr>
                <w:sz w:val="1"/>
                <w:szCs w:val="1"/>
                <w:color w:val="auto"/>
              </w:rPr>
            </w:pPr>
          </w:p>
        </w:tc>
        <w:tc>
          <w:tcPr>
            <w:tcW w:w="900" w:type="dxa"/>
            <w:vAlign w:val="bottom"/>
            <w:shd w:val="clear" w:color="auto" w:fill="003595"/>
          </w:tcPr>
          <w:p>
            <w:pPr>
              <w:spacing w:after="0" w:line="20" w:lineRule="exact"/>
              <w:rPr>
                <w:sz w:val="1"/>
                <w:szCs w:val="1"/>
                <w:color w:val="auto"/>
              </w:rPr>
            </w:pPr>
          </w:p>
        </w:tc>
        <w:tc>
          <w:tcPr>
            <w:tcW w:w="20" w:type="dxa"/>
            <w:vAlign w:val="bottom"/>
            <w:shd w:val="clear" w:color="auto" w:fill="003595"/>
          </w:tcPr>
          <w:p>
            <w:pPr>
              <w:spacing w:after="0" w:line="20" w:lineRule="exact"/>
              <w:rPr>
                <w:sz w:val="1"/>
                <w:szCs w:val="1"/>
                <w:color w:val="auto"/>
              </w:rPr>
            </w:pPr>
          </w:p>
        </w:tc>
        <w:tc>
          <w:tcPr>
            <w:tcW w:w="960" w:type="dxa"/>
            <w:vAlign w:val="bottom"/>
            <w:shd w:val="clear" w:color="auto" w:fill="003595"/>
          </w:tcPr>
          <w:p>
            <w:pPr>
              <w:spacing w:after="0" w:line="20" w:lineRule="exact"/>
              <w:rPr>
                <w:sz w:val="1"/>
                <w:szCs w:val="1"/>
                <w:color w:val="auto"/>
              </w:rPr>
            </w:pPr>
          </w:p>
        </w:tc>
        <w:tc>
          <w:tcPr>
            <w:tcW w:w="740" w:type="dxa"/>
            <w:vAlign w:val="bottom"/>
            <w:shd w:val="clear" w:color="auto" w:fill="003595"/>
          </w:tcPr>
          <w:p>
            <w:pPr>
              <w:spacing w:after="0" w:line="20" w:lineRule="exact"/>
              <w:rPr>
                <w:sz w:val="1"/>
                <w:szCs w:val="1"/>
                <w:color w:val="auto"/>
              </w:rPr>
            </w:pPr>
          </w:p>
        </w:tc>
        <w:tc>
          <w:tcPr>
            <w:tcW w:w="160" w:type="dxa"/>
            <w:vAlign w:val="bottom"/>
            <w:shd w:val="clear" w:color="auto" w:fill="003595"/>
          </w:tcPr>
          <w:p>
            <w:pPr>
              <w:spacing w:after="0" w:line="20" w:lineRule="exact"/>
              <w:rPr>
                <w:sz w:val="1"/>
                <w:szCs w:val="1"/>
                <w:color w:val="auto"/>
              </w:rPr>
            </w:pPr>
          </w:p>
        </w:tc>
        <w:tc>
          <w:tcPr>
            <w:tcW w:w="960" w:type="dxa"/>
            <w:vAlign w:val="bottom"/>
            <w:shd w:val="clear" w:color="auto" w:fill="003595"/>
          </w:tcPr>
          <w:p>
            <w:pPr>
              <w:spacing w:after="0" w:line="20" w:lineRule="exact"/>
              <w:rPr>
                <w:sz w:val="1"/>
                <w:szCs w:val="1"/>
                <w:color w:val="auto"/>
              </w:rPr>
            </w:pPr>
          </w:p>
        </w:tc>
        <w:tc>
          <w:tcPr>
            <w:tcW w:w="760" w:type="dxa"/>
            <w:vAlign w:val="bottom"/>
            <w:shd w:val="clear" w:color="auto" w:fill="003595"/>
          </w:tcPr>
          <w:p>
            <w:pPr>
              <w:spacing w:after="0" w:line="20" w:lineRule="exact"/>
              <w:rPr>
                <w:sz w:val="1"/>
                <w:szCs w:val="1"/>
                <w:color w:val="auto"/>
              </w:rPr>
            </w:pPr>
          </w:p>
        </w:tc>
        <w:tc>
          <w:tcPr>
            <w:tcW w:w="140" w:type="dxa"/>
            <w:vAlign w:val="bottom"/>
            <w:shd w:val="clear" w:color="auto" w:fill="003595"/>
          </w:tcPr>
          <w:p>
            <w:pPr>
              <w:spacing w:after="0" w:line="20" w:lineRule="exact"/>
              <w:rPr>
                <w:sz w:val="1"/>
                <w:szCs w:val="1"/>
                <w:color w:val="auto"/>
              </w:rPr>
            </w:pPr>
          </w:p>
        </w:tc>
        <w:tc>
          <w:tcPr>
            <w:tcW w:w="20" w:type="dxa"/>
            <w:vAlign w:val="bottom"/>
            <w:shd w:val="clear" w:color="auto" w:fill="003595"/>
          </w:tcPr>
          <w:p>
            <w:pPr>
              <w:spacing w:after="0" w:line="20" w:lineRule="exact"/>
              <w:rPr>
                <w:sz w:val="1"/>
                <w:szCs w:val="1"/>
                <w:color w:val="auto"/>
              </w:rPr>
            </w:pPr>
          </w:p>
        </w:tc>
        <w:tc>
          <w:tcPr>
            <w:tcW w:w="940" w:type="dxa"/>
            <w:vAlign w:val="bottom"/>
            <w:shd w:val="clear" w:color="auto" w:fill="003595"/>
          </w:tcPr>
          <w:p>
            <w:pPr>
              <w:spacing w:after="0" w:line="20" w:lineRule="exact"/>
              <w:rPr>
                <w:sz w:val="1"/>
                <w:szCs w:val="1"/>
                <w:color w:val="auto"/>
              </w:rPr>
            </w:pPr>
          </w:p>
        </w:tc>
        <w:tc>
          <w:tcPr>
            <w:tcW w:w="780" w:type="dxa"/>
            <w:vAlign w:val="bottom"/>
            <w:shd w:val="clear" w:color="auto" w:fill="003595"/>
          </w:tcPr>
          <w:p>
            <w:pPr>
              <w:spacing w:after="0" w:line="20" w:lineRule="exact"/>
              <w:rPr>
                <w:sz w:val="1"/>
                <w:szCs w:val="1"/>
                <w:color w:val="auto"/>
              </w:rPr>
            </w:pPr>
          </w:p>
        </w:tc>
        <w:tc>
          <w:tcPr>
            <w:tcW w:w="140" w:type="dxa"/>
            <w:vAlign w:val="bottom"/>
            <w:shd w:val="clear" w:color="auto" w:fill="003595"/>
          </w:tcPr>
          <w:p>
            <w:pPr>
              <w:spacing w:after="0" w:line="20" w:lineRule="exact"/>
              <w:rPr>
                <w:sz w:val="1"/>
                <w:szCs w:val="1"/>
                <w:color w:val="auto"/>
              </w:rPr>
            </w:pPr>
          </w:p>
        </w:tc>
        <w:tc>
          <w:tcPr>
            <w:tcW w:w="20" w:type="dxa"/>
            <w:vAlign w:val="bottom"/>
            <w:shd w:val="clear" w:color="auto" w:fill="003595"/>
          </w:tcPr>
          <w:p>
            <w:pPr>
              <w:spacing w:after="0" w:line="20" w:lineRule="exact"/>
              <w:rPr>
                <w:sz w:val="1"/>
                <w:szCs w:val="1"/>
                <w:color w:val="auto"/>
              </w:rPr>
            </w:pPr>
          </w:p>
        </w:tc>
        <w:tc>
          <w:tcPr>
            <w:tcW w:w="980" w:type="dxa"/>
            <w:vAlign w:val="bottom"/>
            <w:shd w:val="clear" w:color="auto" w:fill="003595"/>
          </w:tcPr>
          <w:p>
            <w:pPr>
              <w:spacing w:after="0" w:line="20" w:lineRule="exact"/>
              <w:rPr>
                <w:sz w:val="1"/>
                <w:szCs w:val="1"/>
                <w:color w:val="auto"/>
              </w:rPr>
            </w:pPr>
          </w:p>
        </w:tc>
        <w:tc>
          <w:tcPr>
            <w:tcW w:w="740" w:type="dxa"/>
            <w:vAlign w:val="bottom"/>
            <w:shd w:val="clear" w:color="auto" w:fill="003595"/>
          </w:tcPr>
          <w:p>
            <w:pPr>
              <w:spacing w:after="0" w:line="20" w:lineRule="exact"/>
              <w:rPr>
                <w:sz w:val="1"/>
                <w:szCs w:val="1"/>
                <w:color w:val="auto"/>
              </w:rPr>
            </w:pPr>
          </w:p>
        </w:tc>
        <w:tc>
          <w:tcPr>
            <w:tcW w:w="160" w:type="dxa"/>
            <w:vAlign w:val="bottom"/>
            <w:shd w:val="clear" w:color="auto" w:fill="003595"/>
          </w:tcPr>
          <w:p>
            <w:pPr>
              <w:spacing w:after="0" w:line="20" w:lineRule="exact"/>
              <w:rPr>
                <w:sz w:val="1"/>
                <w:szCs w:val="1"/>
                <w:color w:val="auto"/>
              </w:rPr>
            </w:pPr>
          </w:p>
        </w:tc>
        <w:tc>
          <w:tcPr>
            <w:tcW w:w="960" w:type="dxa"/>
            <w:vAlign w:val="bottom"/>
            <w:tcBorders>
              <w:right w:val="single" w:sz="8" w:color="003595"/>
            </w:tcBorders>
            <w:shd w:val="clear" w:color="auto" w:fill="003595"/>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-3256915</wp:posOffset>
            </wp:positionV>
            <wp:extent cx="7140575" cy="32575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0575" cy="3257550"/>
                    </a:xfrm>
                    <a:prstGeom prst="rect">
                      <a:avLst/>
                    </a:prstGeom>
                    <a:noFill/>
                  </pic:spPr>
                </pic:pic>
              </a:graphicData>
            </a:graphic>
          </wp:anchor>
        </w:drawing>
      </w:r>
    </w:p>
    <w:p>
      <w:pPr>
        <w:spacing w:after="0" w:line="300" w:lineRule="exact"/>
        <w:rPr>
          <w:sz w:val="20"/>
          <w:szCs w:val="20"/>
          <w:color w:val="auto"/>
        </w:rPr>
      </w:pPr>
    </w:p>
    <w:p>
      <w:pPr>
        <w:jc w:val="both"/>
        <w:ind w:right="20" w:firstLine="8"/>
        <w:spacing w:after="0" w:line="251" w:lineRule="auto"/>
        <w:tabs>
          <w:tab w:leader="none" w:pos="189" w:val="left"/>
        </w:tabs>
        <w:numPr>
          <w:ilvl w:val="0"/>
          <w:numId w:val="66"/>
        </w:numPr>
        <w:rPr>
          <w:rFonts w:ascii="Arial" w:cs="Arial" w:eastAsia="Arial" w:hAnsi="Arial"/>
          <w:sz w:val="12"/>
          <w:szCs w:val="12"/>
          <w:color w:val="auto"/>
        </w:rPr>
      </w:pPr>
      <w:r>
        <w:rPr>
          <w:rFonts w:ascii="Arial" w:cs="Arial" w:eastAsia="Arial" w:hAnsi="Arial"/>
          <w:sz w:val="12"/>
          <w:szCs w:val="12"/>
          <w:color w:val="auto"/>
        </w:rPr>
        <w:t>Equity values are calculated in accordance with FASB ASC Topic 718. For PSUs, the grant date fair value of PSUs used for SCT calculations assumes target performance for 2025, 2024, 2023, 2022 and 2021. To determine the year-end fair values used in the "compensation actually paid" calculations, we have updated the performance expectations to reflect the latest performance estimates for unvested and outstanding PSUs at each year end date. For options awards, updated market input assumptions (stock price, risk free interest rate, volatility, expected term, and future dividend yield expectations) have been used to determine the fair values of outstanding awards as of the identified vesting dates and the relevant year end dates using the Black Scholes Merton option pricing model.</w:t>
      </w:r>
    </w:p>
    <w:p>
      <w:pPr>
        <w:spacing w:after="0" w:line="205" w:lineRule="exact"/>
        <w:rPr>
          <w:rFonts w:ascii="Arial" w:cs="Arial" w:eastAsia="Arial" w:hAnsi="Arial"/>
          <w:sz w:val="12"/>
          <w:szCs w:val="12"/>
          <w:color w:val="auto"/>
        </w:rPr>
      </w:pPr>
    </w:p>
    <w:p>
      <w:pPr>
        <w:jc w:val="both"/>
        <w:ind w:right="20" w:firstLine="8"/>
        <w:spacing w:after="0" w:line="233" w:lineRule="auto"/>
        <w:tabs>
          <w:tab w:leader="none" w:pos="195" w:val="left"/>
        </w:tabs>
        <w:numPr>
          <w:ilvl w:val="0"/>
          <w:numId w:val="66"/>
        </w:numPr>
        <w:rPr>
          <w:rFonts w:ascii="Arial" w:cs="Arial" w:eastAsia="Arial" w:hAnsi="Arial"/>
          <w:sz w:val="13"/>
          <w:szCs w:val="13"/>
          <w:color w:val="auto"/>
        </w:rPr>
      </w:pPr>
      <w:r>
        <w:rPr>
          <w:rFonts w:ascii="Arial" w:cs="Arial" w:eastAsia="Arial" w:hAnsi="Arial"/>
          <w:sz w:val="13"/>
          <w:szCs w:val="13"/>
          <w:color w:val="auto"/>
        </w:rPr>
        <w:t>As required under Item 201(e) of Regulation S-K, total shareholder return measures the cumulative value of $100 invested on the last trading day before the earliest year in the table, or December 31, 2020, including the reinvestment of dividends, through and including the end of the applicable year for which total shareholder return is calculated, or December 31, 2021, December 31, 2022 , December 31, 2023, December 31 2024, and December 31, 2025 respectively.</w:t>
      </w:r>
    </w:p>
    <w:p>
      <w:pPr>
        <w:spacing w:after="0" w:line="212" w:lineRule="exact"/>
        <w:rPr>
          <w:rFonts w:ascii="Arial" w:cs="Arial" w:eastAsia="Arial" w:hAnsi="Arial"/>
          <w:sz w:val="13"/>
          <w:szCs w:val="13"/>
          <w:color w:val="auto"/>
        </w:rPr>
      </w:pPr>
    </w:p>
    <w:p>
      <w:pPr>
        <w:jc w:val="both"/>
        <w:ind w:right="20" w:firstLine="8"/>
        <w:spacing w:after="0" w:line="259" w:lineRule="auto"/>
        <w:tabs>
          <w:tab w:leader="none" w:pos="20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peer group used for this purpose is the following published industry index: Nasdaq Biotechnology Total Return (XNBI) Index. Myriad updated its peer group for use in 2025 to better capture Myriad’s biotechnology industry peers and better align with its business for benchmarking stock performance. The previous peer group was the Nasdaq Health Care Index (IXHC). If the IXHC had been used to calculate peer group total shareholder return as of December 31, 2025, the amount shown for 2025, 2024, 2023, 2022, and 2021 would have been $99, $81, $82, $77, and $96, respectively.</w:t>
      </w:r>
    </w:p>
    <w:p>
      <w:pPr>
        <w:spacing w:after="0" w:line="201" w:lineRule="exact"/>
        <w:rPr>
          <w:rFonts w:ascii="Arial" w:cs="Arial" w:eastAsia="Arial" w:hAnsi="Arial"/>
          <w:sz w:val="12"/>
          <w:szCs w:val="12"/>
          <w:color w:val="auto"/>
        </w:rPr>
      </w:pPr>
    </w:p>
    <w:p>
      <w:pPr>
        <w:ind w:left="200" w:hanging="192"/>
        <w:spacing w:after="0"/>
        <w:tabs>
          <w:tab w:leader="none" w:pos="2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Revenue is a GAAP financial measure and does not exclude revenue from divested businesses.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0071CE"/>
        </w:rPr>
        <w:t>Most Important Performance Measures</w:t>
      </w:r>
    </w:p>
    <w:p>
      <w:pPr>
        <w:spacing w:after="0" w:line="275"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The table below represents the most important financial and non-financial performance measures used by us to link compensation actually paid to our NEOs to Company performance for 2025, as discussed further above under the heading "Compensation Discussion and Analysis - 2025 Named Executive Officer Compensation".</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6"/>
          <w:szCs w:val="16"/>
          <w:color w:val="FFFFFF"/>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-115570</wp:posOffset>
            </wp:positionV>
            <wp:extent cx="1397635" cy="1045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97635" cy="1045845"/>
                    </a:xfrm>
                    <a:prstGeom prst="rect">
                      <a:avLst/>
                    </a:prstGeom>
                    <a:noFill/>
                  </pic:spPr>
                </pic:pic>
              </a:graphicData>
            </a:graphic>
          </wp:anchor>
        </w:drawing>
      </w:r>
    </w:p>
    <w:p>
      <w:pPr>
        <w:spacing w:after="0" w:line="39" w:lineRule="exact"/>
        <w:rPr>
          <w:sz w:val="20"/>
          <w:szCs w:val="20"/>
          <w:color w:val="auto"/>
        </w:rPr>
      </w:pPr>
    </w:p>
    <w:p>
      <w:pPr>
        <w:ind w:left="5000"/>
        <w:spacing w:after="0"/>
        <w:rPr>
          <w:sz w:val="20"/>
          <w:szCs w:val="20"/>
          <w:color w:val="auto"/>
        </w:rPr>
      </w:pPr>
      <w:r>
        <w:rPr>
          <w:rFonts w:ascii="Arial" w:cs="Arial" w:eastAsia="Arial" w:hAnsi="Arial"/>
          <w:sz w:val="16"/>
          <w:szCs w:val="16"/>
          <w:color w:val="FFFFFF"/>
        </w:rPr>
        <w:t>Adjusted operating income</w:t>
      </w:r>
    </w:p>
    <w:p>
      <w:pPr>
        <w:spacing w:after="0" w:line="59" w:lineRule="exact"/>
        <w:rPr>
          <w:sz w:val="20"/>
          <w:szCs w:val="20"/>
          <w:color w:val="auto"/>
        </w:rPr>
      </w:pPr>
    </w:p>
    <w:p>
      <w:pPr>
        <w:ind w:left="5460"/>
        <w:spacing w:after="0"/>
        <w:rPr>
          <w:sz w:val="20"/>
          <w:szCs w:val="20"/>
          <w:color w:val="auto"/>
        </w:rPr>
      </w:pPr>
      <w:r>
        <w:rPr>
          <w:rFonts w:ascii="Arial" w:cs="Arial" w:eastAsia="Arial" w:hAnsi="Arial"/>
          <w:sz w:val="16"/>
          <w:szCs w:val="16"/>
          <w:color w:val="FFFFFF"/>
        </w:rPr>
        <w:t>Adjusted EPS</w:t>
      </w:r>
    </w:p>
    <w:p>
      <w:pPr>
        <w:spacing w:after="0" w:line="59" w:lineRule="exact"/>
        <w:rPr>
          <w:sz w:val="20"/>
          <w:szCs w:val="20"/>
          <w:color w:val="auto"/>
        </w:rPr>
      </w:pPr>
    </w:p>
    <w:p>
      <w:pPr>
        <w:ind w:left="5040"/>
        <w:spacing w:after="0"/>
        <w:rPr>
          <w:sz w:val="20"/>
          <w:szCs w:val="20"/>
          <w:color w:val="auto"/>
        </w:rPr>
      </w:pPr>
      <w:r>
        <w:rPr>
          <w:rFonts w:ascii="Arial" w:cs="Arial" w:eastAsia="Arial" w:hAnsi="Arial"/>
          <w:sz w:val="16"/>
          <w:szCs w:val="16"/>
          <w:color w:val="FFFFFF"/>
        </w:rPr>
        <w:t>Relative total stockholder</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6"/>
          <w:szCs w:val="16"/>
          <w:color w:val="FFFFFF"/>
        </w:rPr>
        <w:t>return</w:t>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6"/>
          <w:szCs w:val="16"/>
          <w:color w:val="FFFFFF"/>
        </w:rPr>
        <w:t>Engagement score</w:t>
      </w:r>
      <w:r>
        <w:rPr>
          <w:rFonts w:ascii="Arial" w:cs="Arial" w:eastAsia="Arial" w:hAnsi="Arial"/>
          <w:sz w:val="21"/>
          <w:szCs w:val="21"/>
          <w:color w:val="FFFFFF"/>
          <w:vertAlign w:val="superscript"/>
        </w:rPr>
        <w:t>1</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6"/>
          <w:szCs w:val="16"/>
          <w:color w:val="FFFFFF"/>
        </w:rPr>
        <w:t>Customer NPS</w:t>
      </w:r>
      <w:r>
        <w:rPr>
          <w:rFonts w:ascii="Arial" w:cs="Arial" w:eastAsia="Arial" w:hAnsi="Arial"/>
          <w:sz w:val="21"/>
          <w:szCs w:val="21"/>
          <w:color w:val="FFFFFF"/>
          <w:vertAlign w:val="superscript"/>
        </w:rPr>
        <w:t>1</w:t>
      </w:r>
    </w:p>
    <w:p>
      <w:pPr>
        <w:spacing w:after="0" w:line="295" w:lineRule="exact"/>
        <w:rPr>
          <w:sz w:val="20"/>
          <w:szCs w:val="20"/>
          <w:color w:val="auto"/>
        </w:rPr>
      </w:pPr>
    </w:p>
    <w:p>
      <w:pPr>
        <w:ind w:right="560" w:firstLine="8"/>
        <w:spacing w:after="0" w:line="264" w:lineRule="auto"/>
        <w:tabs>
          <w:tab w:leader="none" w:pos="189" w:val="left"/>
        </w:tabs>
        <w:numPr>
          <w:ilvl w:val="0"/>
          <w:numId w:val="67"/>
        </w:numPr>
        <w:rPr>
          <w:rFonts w:ascii="Arial" w:cs="Arial" w:eastAsia="Arial" w:hAnsi="Arial"/>
          <w:sz w:val="13"/>
          <w:szCs w:val="13"/>
          <w:color w:val="auto"/>
        </w:rPr>
      </w:pPr>
      <w:r>
        <w:rPr>
          <w:rFonts w:ascii="Arial" w:cs="Arial" w:eastAsia="Arial" w:hAnsi="Arial"/>
          <w:sz w:val="13"/>
          <w:szCs w:val="13"/>
          <w:color w:val="auto"/>
        </w:rPr>
        <w:t>Engagement score and Customer NPS are non-financial quantitative metrics designed to support our efforts to retain employees and improve employee engagement and enhance customer experiences.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497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0071CE"/>
        </w:rPr>
        <w:t>Description of Compensation Actually Paid Versus Company Performance</w:t>
      </w:r>
    </w:p>
    <w:p>
      <w:pPr>
        <w:spacing w:after="0" w:line="27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charts below illustrate the relationship between compensation actually paid and the total shareholder return of Myriad and the XNBI for the periods presented which shows what the cumulative value of $100 would be, including the reinvestment of dividends, if such amount were invested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121920</wp:posOffset>
            </wp:positionV>
            <wp:extent cx="6086475" cy="3566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8647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8"/>
        <w:spacing w:after="0" w:line="264" w:lineRule="auto"/>
        <w:tabs>
          <w:tab w:leader="none" w:pos="189" w:val="left"/>
        </w:tabs>
        <w:numPr>
          <w:ilvl w:val="0"/>
          <w:numId w:val="68"/>
        </w:numPr>
        <w:rPr>
          <w:rFonts w:ascii="Arial" w:cs="Arial" w:eastAsia="Arial" w:hAnsi="Arial"/>
          <w:sz w:val="13"/>
          <w:szCs w:val="13"/>
          <w:color w:val="auto"/>
        </w:rPr>
      </w:pPr>
      <w:r>
        <w:rPr>
          <w:rFonts w:ascii="Arial" w:cs="Arial" w:eastAsia="Arial" w:hAnsi="Arial"/>
          <w:sz w:val="13"/>
          <w:szCs w:val="13"/>
          <w:color w:val="auto"/>
        </w:rPr>
        <w:t>PEO data for 2025 represents the sum of Mr. Diaz’s and Mr. Raha’s compensation actually paid in this year. PEO data for 2024, 2023, 2022, and 2021 represent the compensation actually paid to Mr. Diaz only in those years.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The charts below illustrate the relationship between compensation actually paid and net income or loss and revenue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175260</wp:posOffset>
            </wp:positionV>
            <wp:extent cx="6086475" cy="71920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86475" cy="719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8"/>
        <w:spacing w:after="0" w:line="243" w:lineRule="auto"/>
        <w:tabs>
          <w:tab w:leader="none" w:pos="189" w:val="left"/>
        </w:tabs>
        <w:numPr>
          <w:ilvl w:val="0"/>
          <w:numId w:val="69"/>
        </w:numPr>
        <w:rPr>
          <w:rFonts w:ascii="Arial" w:cs="Arial" w:eastAsia="Arial" w:hAnsi="Arial"/>
          <w:sz w:val="13"/>
          <w:szCs w:val="13"/>
          <w:color w:val="auto"/>
        </w:rPr>
      </w:pPr>
      <w:r>
        <w:rPr>
          <w:rFonts w:ascii="Arial" w:cs="Arial" w:eastAsia="Arial" w:hAnsi="Arial"/>
          <w:sz w:val="13"/>
          <w:szCs w:val="13"/>
          <w:color w:val="auto"/>
        </w:rPr>
        <w:t>PEO data for 2025 represents the sum of Mr. Diaz’s and Mr. Raha’s compensation actually paid in this year. PEO data for 2024, 2023, 2022, and 2021 represent the compensation actually paid to Mr. Diaz only in those years.</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69" w:name="page70"/>
    <w:bookmarkEnd w:id="69"/>
    <w:p>
      <w:pPr>
        <w:jc w:val="both"/>
        <w:spacing w:after="0" w:line="247" w:lineRule="auto"/>
        <w:rPr>
          <w:sz w:val="20"/>
          <w:szCs w:val="20"/>
          <w:color w:val="auto"/>
        </w:rPr>
      </w:pPr>
      <w:r>
        <w:rPr>
          <w:rFonts w:ascii="Arial" w:cs="Arial" w:eastAsia="Arial" w:hAnsi="Arial"/>
          <w:sz w:val="16"/>
          <w:szCs w:val="16"/>
          <w:color w:val="auto"/>
        </w:rPr>
        <w:t>As discussed above in our "Compensation Discussion and Analysis" section of this proxy statement, our compensation program seeks to align compensation with Company performance and reward our executive officers for their contribution to our growth, profitability and increased stockholder value. Additional details on the elements of our executive compensation program and our pay-for-performance compensation philosophy are set forth above in the "Compensation Discussion and Analysis" section. The compensation actually paid to our PEOs and the other NEOs in each of the periods reported above and over the 5-year cumulative period shows how the compensation actually paid fluctuated year-over-year. The fluctuations in compensation actually paid were primarily due to changes in our stock price measured as of the last day of each listed period, which we believe demonstrates the "pay-for-performance" nature of our executive compensation program. As the tables above illustrate, the compensation actually paid to our PEO and the other NEOs was higher when our stock price performed well and lower when our stock price did not perform well. We believe this correlation between compensation actually paid and total shareholder return over the applicable measurement periods also shows that our performance-based equity incentives build alignment between the compensation of our executives and stockholder returns.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Director Compensation</w:t>
      </w:r>
    </w:p>
    <w:p>
      <w:pPr>
        <w:spacing w:after="0" w:line="25"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The following table shows the total compensation paid or accrued during the year ended December 31, 2025 to each of our non-employee directors who served during 2025. Directors who are employed by us are not compensated for their service on our Board.</w:t>
      </w:r>
    </w:p>
    <w:p>
      <w:pPr>
        <w:spacing w:after="0" w:line="266" w:lineRule="exact"/>
        <w:rPr>
          <w:sz w:val="20"/>
          <w:szCs w:val="20"/>
          <w:color w:val="auto"/>
        </w:rPr>
      </w:pPr>
    </w:p>
    <w:tbl>
      <w:tblPr>
        <w:tblLayout w:type="fixed"/>
        <w:tblInd w:w="1540" w:type="dxa"/>
        <w:tblCellMar>
          <w:top w:w="0" w:type="dxa"/>
          <w:left w:w="0" w:type="dxa"/>
          <w:bottom w:w="0" w:type="dxa"/>
          <w:right w:w="0" w:type="dxa"/>
        </w:tblCellMar>
      </w:tblPr>
      <w:tr>
        <w:trPr>
          <w:trHeight w:val="203"/>
        </w:trPr>
        <w:tc>
          <w:tcPr>
            <w:tcW w:w="3380" w:type="dxa"/>
            <w:vAlign w:val="bottom"/>
            <w:shd w:val="clear" w:color="auto" w:fill="003595"/>
          </w:tcPr>
          <w:p>
            <w:pPr>
              <w:spacing w:after="0"/>
              <w:rPr>
                <w:sz w:val="17"/>
                <w:szCs w:val="17"/>
                <w:color w:val="auto"/>
              </w:rPr>
            </w:pPr>
          </w:p>
        </w:tc>
        <w:tc>
          <w:tcPr>
            <w:tcW w:w="1880" w:type="dxa"/>
            <w:vAlign w:val="bottom"/>
            <w:shd w:val="clear" w:color="auto" w:fill="003595"/>
          </w:tcPr>
          <w:p>
            <w:pPr>
              <w:ind w:left="400"/>
              <w:spacing w:after="0"/>
              <w:rPr>
                <w:sz w:val="20"/>
                <w:szCs w:val="20"/>
                <w:color w:val="auto"/>
              </w:rPr>
            </w:pPr>
            <w:r>
              <w:rPr>
                <w:rFonts w:ascii="Arial" w:cs="Arial" w:eastAsia="Arial" w:hAnsi="Arial"/>
                <w:sz w:val="14"/>
                <w:szCs w:val="14"/>
                <w:b w:val="1"/>
                <w:bCs w:val="1"/>
                <w:color w:val="FFFFFF"/>
              </w:rPr>
              <w:t>Fees Earned or</w:t>
            </w:r>
          </w:p>
        </w:tc>
        <w:tc>
          <w:tcPr>
            <w:tcW w:w="1720" w:type="dxa"/>
            <w:vAlign w:val="bottom"/>
            <w:shd w:val="clear" w:color="auto" w:fill="003595"/>
          </w:tcPr>
          <w:p>
            <w:pPr>
              <w:jc w:val="right"/>
              <w:ind w:right="341"/>
              <w:spacing w:after="0"/>
              <w:rPr>
                <w:sz w:val="20"/>
                <w:szCs w:val="20"/>
                <w:color w:val="auto"/>
              </w:rPr>
            </w:pPr>
            <w:r>
              <w:rPr>
                <w:rFonts w:ascii="Arial" w:cs="Arial" w:eastAsia="Arial" w:hAnsi="Arial"/>
                <w:sz w:val="14"/>
                <w:szCs w:val="14"/>
                <w:b w:val="1"/>
                <w:bCs w:val="1"/>
                <w:color w:val="FFFFFF"/>
              </w:rPr>
              <w:t>Stock</w:t>
            </w:r>
          </w:p>
        </w:tc>
        <w:tc>
          <w:tcPr>
            <w:tcW w:w="1200" w:type="dxa"/>
            <w:vAlign w:val="bottom"/>
            <w:shd w:val="clear" w:color="auto" w:fill="003595"/>
          </w:tcPr>
          <w:p>
            <w:pPr>
              <w:spacing w:after="0"/>
              <w:rPr>
                <w:sz w:val="17"/>
                <w:szCs w:val="17"/>
                <w:color w:val="auto"/>
              </w:rPr>
            </w:pPr>
          </w:p>
        </w:tc>
      </w:tr>
      <w:tr>
        <w:trPr>
          <w:trHeight w:val="250"/>
        </w:trPr>
        <w:tc>
          <w:tcPr>
            <w:tcW w:w="3380" w:type="dxa"/>
            <w:vAlign w:val="bottom"/>
            <w:tcBorders>
              <w:bottom w:val="single" w:sz="8" w:color="003595"/>
            </w:tcBorders>
            <w:shd w:val="clear" w:color="auto" w:fill="003595"/>
          </w:tcPr>
          <w:p>
            <w:pPr>
              <w:ind w:left="20"/>
              <w:spacing w:after="0"/>
              <w:rPr>
                <w:sz w:val="20"/>
                <w:szCs w:val="20"/>
                <w:color w:val="auto"/>
              </w:rPr>
            </w:pPr>
            <w:r>
              <w:rPr>
                <w:rFonts w:ascii="Arial" w:cs="Arial" w:eastAsia="Arial" w:hAnsi="Arial"/>
                <w:sz w:val="14"/>
                <w:szCs w:val="14"/>
                <w:b w:val="1"/>
                <w:bCs w:val="1"/>
                <w:color w:val="FFFFFF"/>
              </w:rPr>
              <w:t>Name</w:t>
            </w:r>
          </w:p>
        </w:tc>
        <w:tc>
          <w:tcPr>
            <w:tcW w:w="1880" w:type="dxa"/>
            <w:vAlign w:val="bottom"/>
            <w:tcBorders>
              <w:bottom w:val="single" w:sz="8" w:color="003595"/>
            </w:tcBorders>
            <w:shd w:val="clear" w:color="auto" w:fill="003595"/>
          </w:tcPr>
          <w:p>
            <w:pPr>
              <w:ind w:left="380"/>
              <w:spacing w:after="0"/>
              <w:rPr>
                <w:sz w:val="20"/>
                <w:szCs w:val="20"/>
                <w:color w:val="auto"/>
              </w:rPr>
            </w:pPr>
            <w:r>
              <w:rPr>
                <w:rFonts w:ascii="Arial" w:cs="Arial" w:eastAsia="Arial" w:hAnsi="Arial"/>
                <w:sz w:val="14"/>
                <w:szCs w:val="14"/>
                <w:b w:val="1"/>
                <w:bCs w:val="1"/>
                <w:color w:val="FFFFFF"/>
              </w:rPr>
              <w:t>Paid in Cash ($)</w:t>
            </w:r>
          </w:p>
        </w:tc>
        <w:tc>
          <w:tcPr>
            <w:tcW w:w="1720" w:type="dxa"/>
            <w:vAlign w:val="bottom"/>
            <w:tcBorders>
              <w:bottom w:val="single" w:sz="8" w:color="003595"/>
            </w:tcBorders>
            <w:shd w:val="clear" w:color="auto" w:fill="003595"/>
          </w:tcPr>
          <w:p>
            <w:pPr>
              <w:jc w:val="right"/>
              <w:ind w:right="161"/>
              <w:spacing w:after="0"/>
              <w:rPr>
                <w:sz w:val="20"/>
                <w:szCs w:val="20"/>
                <w:color w:val="auto"/>
              </w:rPr>
            </w:pPr>
            <w:r>
              <w:rPr>
                <w:rFonts w:ascii="Arial" w:cs="Arial" w:eastAsia="Arial" w:hAnsi="Arial"/>
                <w:sz w:val="14"/>
                <w:szCs w:val="14"/>
                <w:b w:val="1"/>
                <w:bCs w:val="1"/>
                <w:color w:val="FFFFFF"/>
              </w:rPr>
              <w:t>Awards ($)</w:t>
            </w:r>
          </w:p>
        </w:tc>
        <w:tc>
          <w:tcPr>
            <w:tcW w:w="120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4"/>
                <w:szCs w:val="14"/>
                <w:b w:val="1"/>
                <w:bCs w:val="1"/>
                <w:color w:val="FFFFFF"/>
                <w:w w:val="99"/>
              </w:rPr>
              <w:t>Total ($)</w:t>
            </w:r>
          </w:p>
        </w:tc>
      </w:tr>
      <w:tr>
        <w:trPr>
          <w:trHeight w:val="243"/>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Paul Bisaro</w:t>
            </w:r>
          </w:p>
        </w:tc>
        <w:tc>
          <w:tcPr>
            <w:tcW w:w="18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$89,251</w:t>
            </w:r>
          </w:p>
        </w:tc>
        <w:tc>
          <w:tcPr>
            <w:tcW w:w="1720" w:type="dxa"/>
            <w:vAlign w:val="bottom"/>
            <w:tcBorders>
              <w:bottom w:val="single" w:sz="8" w:color="003595"/>
            </w:tcBorders>
          </w:tcPr>
          <w:p>
            <w:pPr>
              <w:jc w:val="right"/>
              <w:ind w:right="381"/>
              <w:spacing w:after="0"/>
              <w:rPr>
                <w:sz w:val="20"/>
                <w:szCs w:val="20"/>
                <w:color w:val="auto"/>
              </w:rPr>
            </w:pPr>
            <w:r>
              <w:rPr>
                <w:rFonts w:ascii="Arial" w:cs="Arial" w:eastAsia="Arial" w:hAnsi="Arial"/>
                <w:sz w:val="16"/>
                <w:szCs w:val="16"/>
                <w:color w:val="auto"/>
              </w:rPr>
              <w:t xml:space="preserve">$244,996 </w:t>
            </w:r>
            <w:r>
              <w:rPr>
                <w:rFonts w:ascii="Arial" w:cs="Arial" w:eastAsia="Arial" w:hAnsi="Arial"/>
                <w:sz w:val="21"/>
                <w:szCs w:val="21"/>
                <w:color w:val="auto"/>
                <w:vertAlign w:val="superscript"/>
              </w:rPr>
              <w:t>(1)</w:t>
            </w:r>
          </w:p>
        </w:tc>
        <w:tc>
          <w:tcPr>
            <w:tcW w:w="12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$334,247</w:t>
            </w:r>
          </w:p>
        </w:tc>
      </w:tr>
      <w:tr>
        <w:trPr>
          <w:trHeight w:val="237"/>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Mark S. Davis</w:t>
            </w:r>
          </w:p>
        </w:tc>
        <w:tc>
          <w:tcPr>
            <w:tcW w:w="18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$93,124</w:t>
            </w:r>
          </w:p>
        </w:tc>
        <w:tc>
          <w:tcPr>
            <w:tcW w:w="1720" w:type="dxa"/>
            <w:vAlign w:val="bottom"/>
            <w:tcBorders>
              <w:bottom w:val="single" w:sz="8" w:color="003595"/>
            </w:tcBorders>
          </w:tcPr>
          <w:p>
            <w:pPr>
              <w:jc w:val="right"/>
              <w:ind w:right="381"/>
              <w:spacing w:after="0" w:line="237" w:lineRule="exact"/>
              <w:rPr>
                <w:sz w:val="20"/>
                <w:szCs w:val="20"/>
                <w:color w:val="auto"/>
              </w:rPr>
            </w:pPr>
            <w:r>
              <w:rPr>
                <w:rFonts w:ascii="Arial" w:cs="Arial" w:eastAsia="Arial" w:hAnsi="Arial"/>
                <w:sz w:val="16"/>
                <w:szCs w:val="16"/>
                <w:color w:val="auto"/>
              </w:rPr>
              <w:t xml:space="preserve">$118,808 </w:t>
            </w:r>
            <w:r>
              <w:rPr>
                <w:rFonts w:ascii="Arial" w:cs="Arial" w:eastAsia="Arial" w:hAnsi="Arial"/>
                <w:sz w:val="21"/>
                <w:szCs w:val="21"/>
                <w:color w:val="auto"/>
                <w:vertAlign w:val="superscript"/>
              </w:rPr>
              <w:t>(2)</w:t>
            </w:r>
          </w:p>
        </w:tc>
        <w:tc>
          <w:tcPr>
            <w:tcW w:w="12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8"/>
              </w:rPr>
              <w:t>$211,932</w:t>
            </w:r>
          </w:p>
        </w:tc>
      </w:tr>
      <w:tr>
        <w:trPr>
          <w:trHeight w:val="236"/>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Heiner Dreismann, Ph.D.</w:t>
            </w:r>
          </w:p>
        </w:tc>
        <w:tc>
          <w:tcPr>
            <w:tcW w:w="18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$93,500</w:t>
            </w:r>
          </w:p>
        </w:tc>
        <w:tc>
          <w:tcPr>
            <w:tcW w:w="1720" w:type="dxa"/>
            <w:vAlign w:val="bottom"/>
            <w:tcBorders>
              <w:bottom w:val="single" w:sz="8" w:color="003595"/>
            </w:tcBorders>
          </w:tcPr>
          <w:p>
            <w:pPr>
              <w:jc w:val="right"/>
              <w:ind w:right="381"/>
              <w:spacing w:after="0" w:line="237" w:lineRule="exact"/>
              <w:rPr>
                <w:sz w:val="20"/>
                <w:szCs w:val="20"/>
                <w:color w:val="auto"/>
              </w:rPr>
            </w:pPr>
            <w:r>
              <w:rPr>
                <w:rFonts w:ascii="Arial" w:cs="Arial" w:eastAsia="Arial" w:hAnsi="Arial"/>
                <w:sz w:val="16"/>
                <w:szCs w:val="16"/>
                <w:color w:val="auto"/>
              </w:rPr>
              <w:t xml:space="preserve">$244,996 </w:t>
            </w:r>
            <w:r>
              <w:rPr>
                <w:rFonts w:ascii="Arial" w:cs="Arial" w:eastAsia="Arial" w:hAnsi="Arial"/>
                <w:sz w:val="21"/>
                <w:szCs w:val="21"/>
                <w:color w:val="auto"/>
                <w:vertAlign w:val="superscript"/>
              </w:rPr>
              <w:t>(1)</w:t>
            </w:r>
          </w:p>
        </w:tc>
        <w:tc>
          <w:tcPr>
            <w:tcW w:w="12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$338,496</w:t>
            </w:r>
          </w:p>
        </w:tc>
      </w:tr>
      <w:tr>
        <w:trPr>
          <w:trHeight w:val="237"/>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Rashmi Kumar</w:t>
            </w:r>
          </w:p>
        </w:tc>
        <w:tc>
          <w:tcPr>
            <w:tcW w:w="18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$83,500</w:t>
            </w:r>
          </w:p>
        </w:tc>
        <w:tc>
          <w:tcPr>
            <w:tcW w:w="1720" w:type="dxa"/>
            <w:vAlign w:val="bottom"/>
            <w:tcBorders>
              <w:bottom w:val="single" w:sz="8" w:color="003595"/>
            </w:tcBorders>
          </w:tcPr>
          <w:p>
            <w:pPr>
              <w:jc w:val="right"/>
              <w:ind w:right="381"/>
              <w:spacing w:after="0" w:line="237" w:lineRule="exact"/>
              <w:rPr>
                <w:sz w:val="20"/>
                <w:szCs w:val="20"/>
                <w:color w:val="auto"/>
              </w:rPr>
            </w:pPr>
            <w:r>
              <w:rPr>
                <w:rFonts w:ascii="Arial" w:cs="Arial" w:eastAsia="Arial" w:hAnsi="Arial"/>
                <w:sz w:val="16"/>
                <w:szCs w:val="16"/>
                <w:color w:val="auto"/>
              </w:rPr>
              <w:t xml:space="preserve">$244,996 </w:t>
            </w:r>
            <w:r>
              <w:rPr>
                <w:rFonts w:ascii="Arial" w:cs="Arial" w:eastAsia="Arial" w:hAnsi="Arial"/>
                <w:sz w:val="21"/>
                <w:szCs w:val="21"/>
                <w:color w:val="auto"/>
                <w:vertAlign w:val="superscript"/>
              </w:rPr>
              <w:t>(1)</w:t>
            </w:r>
          </w:p>
        </w:tc>
        <w:tc>
          <w:tcPr>
            <w:tcW w:w="12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$328,496</w:t>
            </w:r>
          </w:p>
        </w:tc>
      </w:tr>
      <w:tr>
        <w:trPr>
          <w:trHeight w:val="237"/>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Lee N. Newcomer, M.D.</w:t>
            </w:r>
          </w:p>
        </w:tc>
        <w:tc>
          <w:tcPr>
            <w:tcW w:w="18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$98,000</w:t>
            </w:r>
          </w:p>
        </w:tc>
        <w:tc>
          <w:tcPr>
            <w:tcW w:w="1720" w:type="dxa"/>
            <w:vAlign w:val="bottom"/>
            <w:tcBorders>
              <w:bottom w:val="single" w:sz="8" w:color="003595"/>
            </w:tcBorders>
          </w:tcPr>
          <w:p>
            <w:pPr>
              <w:jc w:val="right"/>
              <w:ind w:right="381"/>
              <w:spacing w:after="0" w:line="237" w:lineRule="exact"/>
              <w:rPr>
                <w:sz w:val="20"/>
                <w:szCs w:val="20"/>
                <w:color w:val="auto"/>
              </w:rPr>
            </w:pPr>
            <w:r>
              <w:rPr>
                <w:rFonts w:ascii="Arial" w:cs="Arial" w:eastAsia="Arial" w:hAnsi="Arial"/>
                <w:sz w:val="16"/>
                <w:szCs w:val="16"/>
                <w:color w:val="auto"/>
              </w:rPr>
              <w:t xml:space="preserve">$244,996 </w:t>
            </w:r>
            <w:r>
              <w:rPr>
                <w:rFonts w:ascii="Arial" w:cs="Arial" w:eastAsia="Arial" w:hAnsi="Arial"/>
                <w:sz w:val="21"/>
                <w:szCs w:val="21"/>
                <w:color w:val="auto"/>
                <w:vertAlign w:val="superscript"/>
              </w:rPr>
              <w:t>(1)</w:t>
            </w:r>
          </w:p>
        </w:tc>
        <w:tc>
          <w:tcPr>
            <w:tcW w:w="12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$342,996</w:t>
            </w:r>
          </w:p>
        </w:tc>
      </w:tr>
      <w:tr>
        <w:trPr>
          <w:trHeight w:val="237"/>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S. Louise Phanstiel</w:t>
            </w:r>
          </w:p>
        </w:tc>
        <w:tc>
          <w:tcPr>
            <w:tcW w:w="18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$206,000</w:t>
            </w:r>
          </w:p>
        </w:tc>
        <w:tc>
          <w:tcPr>
            <w:tcW w:w="1720" w:type="dxa"/>
            <w:vAlign w:val="bottom"/>
            <w:tcBorders>
              <w:bottom w:val="single" w:sz="8" w:color="003595"/>
            </w:tcBorders>
          </w:tcPr>
          <w:p>
            <w:pPr>
              <w:jc w:val="right"/>
              <w:ind w:right="381"/>
              <w:spacing w:after="0" w:line="237" w:lineRule="exact"/>
              <w:rPr>
                <w:sz w:val="20"/>
                <w:szCs w:val="20"/>
                <w:color w:val="auto"/>
              </w:rPr>
            </w:pPr>
            <w:r>
              <w:rPr>
                <w:rFonts w:ascii="Arial" w:cs="Arial" w:eastAsia="Arial" w:hAnsi="Arial"/>
                <w:sz w:val="16"/>
                <w:szCs w:val="16"/>
                <w:color w:val="auto"/>
              </w:rPr>
              <w:t xml:space="preserve">$244,996 </w:t>
            </w:r>
            <w:r>
              <w:rPr>
                <w:rFonts w:ascii="Arial" w:cs="Arial" w:eastAsia="Arial" w:hAnsi="Arial"/>
                <w:sz w:val="21"/>
                <w:szCs w:val="21"/>
                <w:color w:val="auto"/>
                <w:vertAlign w:val="superscript"/>
              </w:rPr>
              <w:t>(1)</w:t>
            </w:r>
          </w:p>
        </w:tc>
        <w:tc>
          <w:tcPr>
            <w:tcW w:w="12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$450,996</w:t>
            </w:r>
          </w:p>
        </w:tc>
      </w:tr>
      <w:tr>
        <w:trPr>
          <w:trHeight w:val="236"/>
        </w:trPr>
        <w:tc>
          <w:tcPr>
            <w:tcW w:w="33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Colleen F. Reitan</w:t>
            </w:r>
          </w:p>
        </w:tc>
        <w:tc>
          <w:tcPr>
            <w:tcW w:w="188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$93,500</w:t>
            </w:r>
          </w:p>
        </w:tc>
        <w:tc>
          <w:tcPr>
            <w:tcW w:w="1720" w:type="dxa"/>
            <w:vAlign w:val="bottom"/>
            <w:tcBorders>
              <w:bottom w:val="single" w:sz="8" w:color="003595"/>
            </w:tcBorders>
          </w:tcPr>
          <w:p>
            <w:pPr>
              <w:jc w:val="right"/>
              <w:ind w:right="381"/>
              <w:spacing w:after="0" w:line="237" w:lineRule="exact"/>
              <w:rPr>
                <w:sz w:val="20"/>
                <w:szCs w:val="20"/>
                <w:color w:val="auto"/>
              </w:rPr>
            </w:pPr>
            <w:r>
              <w:rPr>
                <w:rFonts w:ascii="Arial" w:cs="Arial" w:eastAsia="Arial" w:hAnsi="Arial"/>
                <w:sz w:val="16"/>
                <w:szCs w:val="16"/>
                <w:color w:val="auto"/>
              </w:rPr>
              <w:t xml:space="preserve">$244,996 </w:t>
            </w:r>
            <w:r>
              <w:rPr>
                <w:rFonts w:ascii="Arial" w:cs="Arial" w:eastAsia="Arial" w:hAnsi="Arial"/>
                <w:sz w:val="21"/>
                <w:szCs w:val="21"/>
                <w:color w:val="auto"/>
                <w:vertAlign w:val="superscript"/>
              </w:rPr>
              <w:t>(1)</w:t>
            </w:r>
          </w:p>
        </w:tc>
        <w:tc>
          <w:tcPr>
            <w:tcW w:w="120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$338,496</w:t>
            </w:r>
          </w:p>
        </w:tc>
      </w:tr>
      <w:tr>
        <w:trPr>
          <w:trHeight w:val="278"/>
        </w:trPr>
        <w:tc>
          <w:tcPr>
            <w:tcW w:w="3380" w:type="dxa"/>
            <w:vAlign w:val="bottom"/>
          </w:tcPr>
          <w:p>
            <w:pPr>
              <w:ind w:left="20"/>
              <w:spacing w:after="0"/>
              <w:rPr>
                <w:sz w:val="20"/>
                <w:szCs w:val="20"/>
                <w:color w:val="auto"/>
              </w:rPr>
            </w:pPr>
            <w:r>
              <w:rPr>
                <w:rFonts w:ascii="Arial" w:cs="Arial" w:eastAsia="Arial" w:hAnsi="Arial"/>
                <w:sz w:val="16"/>
                <w:szCs w:val="16"/>
                <w:color w:val="auto"/>
              </w:rPr>
              <w:t>Daniel M. Skovronsky, M.D., Ph.D.</w:t>
            </w:r>
          </w:p>
        </w:tc>
        <w:tc>
          <w:tcPr>
            <w:tcW w:w="1880" w:type="dxa"/>
            <w:vAlign w:val="bottom"/>
          </w:tcPr>
          <w:p>
            <w:pPr>
              <w:jc w:val="center"/>
              <w:spacing w:after="0"/>
              <w:rPr>
                <w:sz w:val="20"/>
                <w:szCs w:val="20"/>
                <w:color w:val="auto"/>
              </w:rPr>
            </w:pPr>
            <w:r>
              <w:rPr>
                <w:rFonts w:ascii="Arial" w:cs="Arial" w:eastAsia="Arial" w:hAnsi="Arial"/>
                <w:sz w:val="16"/>
                <w:szCs w:val="16"/>
                <w:color w:val="auto"/>
              </w:rPr>
              <w:t>$83,500</w:t>
            </w:r>
          </w:p>
        </w:tc>
        <w:tc>
          <w:tcPr>
            <w:tcW w:w="1720" w:type="dxa"/>
            <w:vAlign w:val="bottom"/>
          </w:tcPr>
          <w:p>
            <w:pPr>
              <w:jc w:val="right"/>
              <w:ind w:right="381"/>
              <w:spacing w:after="0"/>
              <w:rPr>
                <w:sz w:val="20"/>
                <w:szCs w:val="20"/>
                <w:color w:val="auto"/>
              </w:rPr>
            </w:pPr>
            <w:r>
              <w:rPr>
                <w:rFonts w:ascii="Arial" w:cs="Arial" w:eastAsia="Arial" w:hAnsi="Arial"/>
                <w:sz w:val="16"/>
                <w:szCs w:val="16"/>
                <w:color w:val="auto"/>
              </w:rPr>
              <w:t xml:space="preserve">$244,996 </w:t>
            </w:r>
            <w:r>
              <w:rPr>
                <w:rFonts w:ascii="Arial" w:cs="Arial" w:eastAsia="Arial" w:hAnsi="Arial"/>
                <w:sz w:val="21"/>
                <w:szCs w:val="21"/>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6"/>
                <w:szCs w:val="16"/>
                <w:color w:val="auto"/>
              </w:rPr>
              <w:t>$328,496</w:t>
            </w:r>
          </w:p>
        </w:tc>
      </w:tr>
    </w:tbl>
    <w:p>
      <w:pPr>
        <w:spacing w:after="0" w:line="75" w:lineRule="exact"/>
        <w:rPr>
          <w:sz w:val="20"/>
          <w:szCs w:val="20"/>
          <w:color w:val="auto"/>
        </w:rPr>
      </w:pPr>
    </w:p>
    <w:p>
      <w:pPr>
        <w:jc w:val="both"/>
        <w:ind w:left="1560" w:right="1540" w:hanging="9"/>
        <w:spacing w:after="0" w:line="239" w:lineRule="auto"/>
        <w:tabs>
          <w:tab w:leader="none" w:pos="1757" w:val="left"/>
        </w:tabs>
        <w:numPr>
          <w:ilvl w:val="0"/>
          <w:numId w:val="70"/>
        </w:numPr>
        <w:rPr>
          <w:rFonts w:ascii="Arial" w:cs="Arial" w:eastAsia="Arial" w:hAnsi="Arial"/>
          <w:sz w:val="13"/>
          <w:szCs w:val="13"/>
          <w:color w:val="auto"/>
        </w:rPr>
      </w:pPr>
      <w:r>
        <w:rPr>
          <w:rFonts w:ascii="Arial" w:cs="Arial" w:eastAsia="Arial" w:hAnsi="Arial"/>
          <w:sz w:val="13"/>
          <w:szCs w:val="13"/>
          <w:color w:val="auto"/>
        </w:rPr>
        <w:t>Amounts shown reflect the grant date fair value of an award of 49,796 RSUs calculated in accordance with FASB ASC Topic 718. The grant date fair value was determined by multiplying the number of shares by $4.92, the closing price of our common stock on the Nasdaq Global Select Market on June 5, 2025, the date of the grant. These RSUs awarded to certain of our non-employee directors following the 2025 Annual Meeting of Stockholders held on June 5, 2025 vest upon the earlier of (i) one year of service on the Board following the date of grant or (ii) the date of the next annual meeting of stockholders following such grant.</w:t>
      </w:r>
    </w:p>
    <w:p>
      <w:pPr>
        <w:spacing w:after="0" w:line="38" w:lineRule="exact"/>
        <w:rPr>
          <w:rFonts w:ascii="Arial" w:cs="Arial" w:eastAsia="Arial" w:hAnsi="Arial"/>
          <w:sz w:val="13"/>
          <w:szCs w:val="13"/>
          <w:color w:val="auto"/>
        </w:rPr>
      </w:pPr>
    </w:p>
    <w:p>
      <w:pPr>
        <w:jc w:val="both"/>
        <w:ind w:left="1560" w:right="1540" w:hanging="9"/>
        <w:spacing w:after="0" w:line="239" w:lineRule="auto"/>
        <w:tabs>
          <w:tab w:leader="none" w:pos="1751" w:val="left"/>
        </w:tabs>
        <w:numPr>
          <w:ilvl w:val="0"/>
          <w:numId w:val="70"/>
        </w:numPr>
        <w:rPr>
          <w:rFonts w:ascii="Arial" w:cs="Arial" w:eastAsia="Arial" w:hAnsi="Arial"/>
          <w:sz w:val="13"/>
          <w:szCs w:val="13"/>
          <w:color w:val="auto"/>
        </w:rPr>
      </w:pPr>
      <w:r>
        <w:rPr>
          <w:rFonts w:ascii="Arial" w:cs="Arial" w:eastAsia="Arial" w:hAnsi="Arial"/>
          <w:sz w:val="13"/>
          <w:szCs w:val="13"/>
          <w:color w:val="auto"/>
        </w:rPr>
        <w:t>Amount shown reflects the grant date fair value of a pro rated award of 24,148 RSUs calculated in accordance with FASB ASC Topic 718. The grant date fair value was determined by multiplying the number of shares by $4.92, the closing price of our common stock on the Nasdaq Global Select Market on June 5, 2025, the date of the grant. These RSUs awarded to Mr. Davis following the 2025 Annual Meeting of Stockholders held on June 5, 2025 vest upon the earlier of (i) one year of service on the Board following the date of grant or (ii) the date of the next annual meeting of stockholders following such grant.</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unvested RSUs for each non-employee director as of December 31, 2025.</w:t>
      </w:r>
    </w:p>
    <w:p>
      <w:pPr>
        <w:spacing w:after="0" w:line="289" w:lineRule="exact"/>
        <w:rPr>
          <w:sz w:val="20"/>
          <w:szCs w:val="20"/>
          <w:color w:val="auto"/>
        </w:rPr>
      </w:pPr>
    </w:p>
    <w:tbl>
      <w:tblPr>
        <w:tblLayout w:type="fixed"/>
        <w:tblInd w:w="3240" w:type="dxa"/>
        <w:tblCellMar>
          <w:top w:w="0" w:type="dxa"/>
          <w:left w:w="0" w:type="dxa"/>
          <w:bottom w:w="0" w:type="dxa"/>
          <w:right w:w="0" w:type="dxa"/>
        </w:tblCellMar>
      </w:tblPr>
      <w:tr>
        <w:trPr>
          <w:trHeight w:val="243"/>
        </w:trPr>
        <w:tc>
          <w:tcPr>
            <w:tcW w:w="2980" w:type="dxa"/>
            <w:vAlign w:val="bottom"/>
            <w:shd w:val="clear" w:color="auto" w:fill="003595"/>
          </w:tcPr>
          <w:p>
            <w:pPr>
              <w:spacing w:after="0"/>
              <w:rPr>
                <w:sz w:val="21"/>
                <w:szCs w:val="21"/>
                <w:color w:val="auto"/>
              </w:rPr>
            </w:pPr>
          </w:p>
        </w:tc>
        <w:tc>
          <w:tcPr>
            <w:tcW w:w="1800" w:type="dxa"/>
            <w:vAlign w:val="bottom"/>
            <w:shd w:val="clear" w:color="auto" w:fill="003595"/>
          </w:tcPr>
          <w:p>
            <w:pPr>
              <w:jc w:val="center"/>
              <w:spacing w:after="0"/>
              <w:rPr>
                <w:sz w:val="20"/>
                <w:szCs w:val="20"/>
                <w:color w:val="auto"/>
              </w:rPr>
            </w:pPr>
            <w:r>
              <w:rPr>
                <w:rFonts w:ascii="Arial" w:cs="Arial" w:eastAsia="Arial" w:hAnsi="Arial"/>
                <w:sz w:val="16"/>
                <w:szCs w:val="16"/>
                <w:b w:val="1"/>
                <w:bCs w:val="1"/>
                <w:color w:val="FFFFFF"/>
              </w:rPr>
              <w:t>Unvested</w:t>
            </w:r>
          </w:p>
        </w:tc>
      </w:tr>
      <w:tr>
        <w:trPr>
          <w:trHeight w:val="250"/>
        </w:trPr>
        <w:tc>
          <w:tcPr>
            <w:tcW w:w="2980" w:type="dxa"/>
            <w:vAlign w:val="bottom"/>
            <w:tcBorders>
              <w:bottom w:val="single" w:sz="8" w:color="003595"/>
            </w:tcBorders>
            <w:shd w:val="clear" w:color="auto" w:fill="003595"/>
          </w:tcPr>
          <w:p>
            <w:pPr>
              <w:ind w:left="20"/>
              <w:spacing w:after="0"/>
              <w:rPr>
                <w:sz w:val="20"/>
                <w:szCs w:val="20"/>
                <w:color w:val="auto"/>
              </w:rPr>
            </w:pPr>
            <w:r>
              <w:rPr>
                <w:rFonts w:ascii="Arial" w:cs="Arial" w:eastAsia="Arial" w:hAnsi="Arial"/>
                <w:sz w:val="16"/>
                <w:szCs w:val="16"/>
                <w:b w:val="1"/>
                <w:bCs w:val="1"/>
                <w:color w:val="FFFFFF"/>
              </w:rPr>
              <w:t>Name</w:t>
            </w:r>
          </w:p>
        </w:tc>
        <w:tc>
          <w:tcPr>
            <w:tcW w:w="180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6"/>
                <w:szCs w:val="16"/>
                <w:b w:val="1"/>
                <w:bCs w:val="1"/>
                <w:color w:val="FFFFFF"/>
                <w:w w:val="98"/>
              </w:rPr>
              <w:t>RSUs</w:t>
            </w: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Paul Bisaro</w:t>
            </w:r>
          </w:p>
        </w:tc>
        <w:tc>
          <w:tcPr>
            <w:tcW w:w="1800" w:type="dxa"/>
            <w:vAlign w:val="bottom"/>
          </w:tcPr>
          <w:p>
            <w:pPr>
              <w:jc w:val="center"/>
              <w:spacing w:after="0"/>
              <w:rPr>
                <w:sz w:val="20"/>
                <w:szCs w:val="20"/>
                <w:color w:val="auto"/>
              </w:rPr>
            </w:pPr>
            <w:r>
              <w:rPr>
                <w:rFonts w:ascii="Arial" w:cs="Arial" w:eastAsia="Arial" w:hAnsi="Arial"/>
                <w:sz w:val="16"/>
                <w:szCs w:val="16"/>
                <w:color w:val="auto"/>
              </w:rPr>
              <w:t>49,796</w:t>
            </w:r>
          </w:p>
        </w:tc>
      </w:tr>
      <w:tr>
        <w:trPr>
          <w:trHeight w:val="28"/>
        </w:trPr>
        <w:tc>
          <w:tcPr>
            <w:tcW w:w="298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6"/>
                <w:szCs w:val="16"/>
                <w:color w:val="auto"/>
              </w:rPr>
              <w:t>Heiner Dreismann, Ph.D.</w:t>
            </w:r>
          </w:p>
        </w:tc>
        <w:tc>
          <w:tcPr>
            <w:tcW w:w="1800" w:type="dxa"/>
            <w:vAlign w:val="bottom"/>
          </w:tcPr>
          <w:p>
            <w:pPr>
              <w:jc w:val="center"/>
              <w:spacing w:after="0"/>
              <w:rPr>
                <w:sz w:val="20"/>
                <w:szCs w:val="20"/>
                <w:color w:val="auto"/>
              </w:rPr>
            </w:pPr>
            <w:r>
              <w:rPr>
                <w:rFonts w:ascii="Arial" w:cs="Arial" w:eastAsia="Arial" w:hAnsi="Arial"/>
                <w:sz w:val="16"/>
                <w:szCs w:val="16"/>
                <w:color w:val="auto"/>
              </w:rPr>
              <w:t>49,796</w:t>
            </w:r>
          </w:p>
        </w:tc>
      </w:tr>
      <w:tr>
        <w:trPr>
          <w:trHeight w:val="28"/>
        </w:trPr>
        <w:tc>
          <w:tcPr>
            <w:tcW w:w="298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6"/>
                <w:szCs w:val="16"/>
                <w:color w:val="auto"/>
              </w:rPr>
              <w:t>Rashmi Kumar</w:t>
            </w:r>
          </w:p>
        </w:tc>
        <w:tc>
          <w:tcPr>
            <w:tcW w:w="1800" w:type="dxa"/>
            <w:vAlign w:val="bottom"/>
          </w:tcPr>
          <w:p>
            <w:pPr>
              <w:jc w:val="center"/>
              <w:spacing w:after="0"/>
              <w:rPr>
                <w:sz w:val="20"/>
                <w:szCs w:val="20"/>
                <w:color w:val="auto"/>
              </w:rPr>
            </w:pPr>
            <w:r>
              <w:rPr>
                <w:rFonts w:ascii="Arial" w:cs="Arial" w:eastAsia="Arial" w:hAnsi="Arial"/>
                <w:sz w:val="16"/>
                <w:szCs w:val="16"/>
                <w:color w:val="auto"/>
              </w:rPr>
              <w:t>49,796</w:t>
            </w:r>
          </w:p>
        </w:tc>
      </w:tr>
      <w:tr>
        <w:trPr>
          <w:trHeight w:val="28"/>
        </w:trPr>
        <w:tc>
          <w:tcPr>
            <w:tcW w:w="298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6"/>
                <w:szCs w:val="16"/>
                <w:color w:val="auto"/>
              </w:rPr>
              <w:t>Lee N. Newcomer, M.D.</w:t>
            </w:r>
          </w:p>
        </w:tc>
        <w:tc>
          <w:tcPr>
            <w:tcW w:w="1800" w:type="dxa"/>
            <w:vAlign w:val="bottom"/>
          </w:tcPr>
          <w:p>
            <w:pPr>
              <w:jc w:val="center"/>
              <w:spacing w:after="0"/>
              <w:rPr>
                <w:sz w:val="20"/>
                <w:szCs w:val="20"/>
                <w:color w:val="auto"/>
              </w:rPr>
            </w:pPr>
            <w:r>
              <w:rPr>
                <w:rFonts w:ascii="Arial" w:cs="Arial" w:eastAsia="Arial" w:hAnsi="Arial"/>
                <w:sz w:val="16"/>
                <w:szCs w:val="16"/>
                <w:color w:val="auto"/>
              </w:rPr>
              <w:t>49,796</w:t>
            </w:r>
          </w:p>
        </w:tc>
      </w:tr>
      <w:tr>
        <w:trPr>
          <w:trHeight w:val="28"/>
        </w:trPr>
        <w:tc>
          <w:tcPr>
            <w:tcW w:w="298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6"/>
                <w:szCs w:val="16"/>
                <w:color w:val="auto"/>
              </w:rPr>
              <w:t>S. Louise Phanstiel</w:t>
            </w:r>
          </w:p>
        </w:tc>
        <w:tc>
          <w:tcPr>
            <w:tcW w:w="1800" w:type="dxa"/>
            <w:vAlign w:val="bottom"/>
          </w:tcPr>
          <w:p>
            <w:pPr>
              <w:jc w:val="center"/>
              <w:spacing w:after="0"/>
              <w:rPr>
                <w:sz w:val="20"/>
                <w:szCs w:val="20"/>
                <w:color w:val="auto"/>
              </w:rPr>
            </w:pPr>
            <w:r>
              <w:rPr>
                <w:rFonts w:ascii="Arial" w:cs="Arial" w:eastAsia="Arial" w:hAnsi="Arial"/>
                <w:sz w:val="16"/>
                <w:szCs w:val="16"/>
                <w:color w:val="auto"/>
              </w:rPr>
              <w:t>49,796</w:t>
            </w:r>
          </w:p>
        </w:tc>
      </w:tr>
      <w:tr>
        <w:trPr>
          <w:trHeight w:val="28"/>
        </w:trPr>
        <w:tc>
          <w:tcPr>
            <w:tcW w:w="298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6"/>
                <w:szCs w:val="16"/>
                <w:color w:val="auto"/>
              </w:rPr>
              <w:t>Colleen F. Reitan</w:t>
            </w:r>
          </w:p>
        </w:tc>
        <w:tc>
          <w:tcPr>
            <w:tcW w:w="1800" w:type="dxa"/>
            <w:vAlign w:val="bottom"/>
          </w:tcPr>
          <w:p>
            <w:pPr>
              <w:jc w:val="center"/>
              <w:spacing w:after="0"/>
              <w:rPr>
                <w:sz w:val="20"/>
                <w:szCs w:val="20"/>
                <w:color w:val="auto"/>
              </w:rPr>
            </w:pPr>
            <w:r>
              <w:rPr>
                <w:rFonts w:ascii="Arial" w:cs="Arial" w:eastAsia="Arial" w:hAnsi="Arial"/>
                <w:sz w:val="16"/>
                <w:szCs w:val="16"/>
                <w:color w:val="auto"/>
              </w:rPr>
              <w:t>49,796</w:t>
            </w:r>
          </w:p>
        </w:tc>
      </w:tr>
      <w:tr>
        <w:trPr>
          <w:trHeight w:val="28"/>
        </w:trPr>
        <w:tc>
          <w:tcPr>
            <w:tcW w:w="298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6"/>
                <w:szCs w:val="16"/>
                <w:color w:val="auto"/>
              </w:rPr>
              <w:t>Daniel M. Skovronsky, M.D., Ph.D.</w:t>
            </w:r>
          </w:p>
        </w:tc>
        <w:tc>
          <w:tcPr>
            <w:tcW w:w="1800" w:type="dxa"/>
            <w:vAlign w:val="bottom"/>
          </w:tcPr>
          <w:p>
            <w:pPr>
              <w:jc w:val="center"/>
              <w:spacing w:after="0"/>
              <w:rPr>
                <w:sz w:val="20"/>
                <w:szCs w:val="20"/>
                <w:color w:val="auto"/>
              </w:rPr>
            </w:pPr>
            <w:r>
              <w:rPr>
                <w:rFonts w:ascii="Arial" w:cs="Arial" w:eastAsia="Arial" w:hAnsi="Arial"/>
                <w:sz w:val="16"/>
                <w:szCs w:val="16"/>
                <w:color w:val="auto"/>
              </w:rPr>
              <w:t>49,796</w:t>
            </w:r>
          </w:p>
        </w:tc>
      </w:tr>
      <w:tr>
        <w:trPr>
          <w:trHeight w:val="28"/>
        </w:trPr>
        <w:tc>
          <w:tcPr>
            <w:tcW w:w="298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6"/>
                <w:szCs w:val="16"/>
                <w:color w:val="auto"/>
              </w:rPr>
              <w:t>Mark S. Davis</w:t>
            </w:r>
          </w:p>
        </w:tc>
        <w:tc>
          <w:tcPr>
            <w:tcW w:w="1800" w:type="dxa"/>
            <w:vAlign w:val="bottom"/>
          </w:tcPr>
          <w:p>
            <w:pPr>
              <w:jc w:val="center"/>
              <w:spacing w:after="0"/>
              <w:rPr>
                <w:sz w:val="20"/>
                <w:szCs w:val="20"/>
                <w:color w:val="auto"/>
              </w:rPr>
            </w:pPr>
            <w:r>
              <w:rPr>
                <w:rFonts w:ascii="Arial" w:cs="Arial" w:eastAsia="Arial" w:hAnsi="Arial"/>
                <w:sz w:val="16"/>
                <w:szCs w:val="16"/>
                <w:color w:val="auto"/>
              </w:rPr>
              <w:t>24,148</w:t>
            </w:r>
          </w:p>
        </w:tc>
      </w:tr>
      <w:tr>
        <w:trPr>
          <w:trHeight w:val="28"/>
        </w:trPr>
        <w:tc>
          <w:tcPr>
            <w:tcW w:w="298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Director Compensation Policy</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non-employee directors are compensated on a role-based model and are paid cash fees based on annual retainers (25% paid following each quarter of service) for their service on our Board. Mr. Raha, our Chief Executive Officer, is a member of our Board but is employed by us, and, as such, he receives no additional compensation for his service on our Board.</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Attracting and retaining qualified non-employee directors is critical to the governance and long-term success of the Company. As a result, the CHCC, in consultation with its outside compensation consultant, regularly reviews our director compensation to ensure that it is competitive with our peer group of companies.</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70" w:name="page71"/>
    <w:bookmarkEnd w:id="70"/>
    <w:p>
      <w:pPr>
        <w:jc w:val="both"/>
        <w:spacing w:after="0" w:line="286" w:lineRule="auto"/>
        <w:rPr>
          <w:sz w:val="20"/>
          <w:szCs w:val="20"/>
          <w:color w:val="auto"/>
        </w:rPr>
      </w:pPr>
      <w:r>
        <w:rPr>
          <w:rFonts w:ascii="Arial" w:cs="Arial" w:eastAsia="Arial" w:hAnsi="Arial"/>
          <w:sz w:val="16"/>
          <w:szCs w:val="16"/>
          <w:color w:val="auto"/>
        </w:rPr>
        <w:t>The following is a description of the standard compensation arrangements under which our non-employee directors are compensated for their service as directors, including as members of the various Board committees: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Annual retainer</w:t>
      </w:r>
    </w:p>
    <w:p>
      <w:pPr>
        <w:spacing w:after="0" w:line="267" w:lineRule="exact"/>
        <w:rPr>
          <w:sz w:val="20"/>
          <w:szCs w:val="20"/>
          <w:color w:val="auto"/>
        </w:rPr>
      </w:pPr>
    </w:p>
    <w:tbl>
      <w:tblPr>
        <w:tblLayout w:type="fixed"/>
        <w:tblInd w:w="2280" w:type="dxa"/>
        <w:tblCellMar>
          <w:top w:w="0" w:type="dxa"/>
          <w:left w:w="0" w:type="dxa"/>
          <w:bottom w:w="0" w:type="dxa"/>
          <w:right w:w="0" w:type="dxa"/>
        </w:tblCellMar>
      </w:tblPr>
      <w:tr>
        <w:trPr>
          <w:trHeight w:val="228"/>
        </w:trPr>
        <w:tc>
          <w:tcPr>
            <w:tcW w:w="4900" w:type="dxa"/>
            <w:vAlign w:val="bottom"/>
            <w:tcBorders>
              <w:top w:val="single" w:sz="8" w:color="003595"/>
            </w:tcBorders>
          </w:tcPr>
          <w:p>
            <w:pPr>
              <w:ind w:left="20"/>
              <w:spacing w:after="0"/>
              <w:rPr>
                <w:sz w:val="20"/>
                <w:szCs w:val="20"/>
                <w:color w:val="auto"/>
              </w:rPr>
            </w:pPr>
            <w:r>
              <w:rPr>
                <w:rFonts w:ascii="Arial" w:cs="Arial" w:eastAsia="Arial" w:hAnsi="Arial"/>
                <w:sz w:val="16"/>
                <w:szCs w:val="16"/>
                <w:color w:val="auto"/>
              </w:rPr>
              <w:t>All members</w:t>
            </w:r>
          </w:p>
        </w:tc>
        <w:tc>
          <w:tcPr>
            <w:tcW w:w="1800" w:type="dxa"/>
            <w:vAlign w:val="bottom"/>
            <w:tcBorders>
              <w:top w:val="single" w:sz="8" w:color="003595"/>
            </w:tcBorders>
          </w:tcPr>
          <w:p>
            <w:pPr>
              <w:ind w:left="240"/>
              <w:spacing w:after="0"/>
              <w:rPr>
                <w:sz w:val="20"/>
                <w:szCs w:val="20"/>
                <w:color w:val="auto"/>
              </w:rPr>
            </w:pPr>
            <w:r>
              <w:rPr>
                <w:rFonts w:ascii="Arial" w:cs="Arial" w:eastAsia="Arial" w:hAnsi="Arial"/>
                <w:sz w:val="16"/>
                <w:szCs w:val="16"/>
                <w:color w:val="auto"/>
              </w:rPr>
              <w:t>$60,000</w:t>
            </w:r>
          </w:p>
        </w:tc>
      </w:tr>
      <w:tr>
        <w:trPr>
          <w:trHeight w:val="28"/>
        </w:trPr>
        <w:tc>
          <w:tcPr>
            <w:tcW w:w="490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6"/>
                <w:szCs w:val="16"/>
                <w:color w:val="auto"/>
              </w:rPr>
              <w:t>Chair of the Board</w:t>
            </w:r>
          </w:p>
        </w:tc>
        <w:tc>
          <w:tcPr>
            <w:tcW w:w="1800" w:type="dxa"/>
            <w:vAlign w:val="bottom"/>
          </w:tcPr>
          <w:p>
            <w:pPr>
              <w:ind w:left="240"/>
              <w:spacing w:after="0"/>
              <w:rPr>
                <w:sz w:val="20"/>
                <w:szCs w:val="20"/>
                <w:color w:val="auto"/>
              </w:rPr>
            </w:pPr>
            <w:r>
              <w:rPr>
                <w:rFonts w:ascii="Arial" w:cs="Arial" w:eastAsia="Arial" w:hAnsi="Arial"/>
                <w:sz w:val="16"/>
                <w:szCs w:val="16"/>
                <w:color w:val="auto"/>
              </w:rPr>
              <w:t>$120,000 additional</w:t>
            </w:r>
          </w:p>
        </w:tc>
      </w:tr>
      <w:tr>
        <w:trPr>
          <w:trHeight w:val="28"/>
        </w:trPr>
        <w:tc>
          <w:tcPr>
            <w:tcW w:w="490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6"/>
                <w:szCs w:val="16"/>
                <w:color w:val="auto"/>
              </w:rPr>
              <w:t>Chair of the Audit and Finance Committee</w:t>
            </w:r>
          </w:p>
        </w:tc>
        <w:tc>
          <w:tcPr>
            <w:tcW w:w="1800" w:type="dxa"/>
            <w:vAlign w:val="bottom"/>
          </w:tcPr>
          <w:p>
            <w:pPr>
              <w:ind w:left="240"/>
              <w:spacing w:after="0"/>
              <w:rPr>
                <w:sz w:val="20"/>
                <w:szCs w:val="20"/>
                <w:color w:val="auto"/>
              </w:rPr>
            </w:pPr>
            <w:r>
              <w:rPr>
                <w:rFonts w:ascii="Arial" w:cs="Arial" w:eastAsia="Arial" w:hAnsi="Arial"/>
                <w:sz w:val="16"/>
                <w:szCs w:val="16"/>
                <w:color w:val="auto"/>
              </w:rPr>
              <w:t>$28,000 additional</w:t>
            </w:r>
          </w:p>
        </w:tc>
      </w:tr>
      <w:tr>
        <w:trPr>
          <w:trHeight w:val="28"/>
        </w:trPr>
        <w:tc>
          <w:tcPr>
            <w:tcW w:w="490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6"/>
                <w:szCs w:val="16"/>
                <w:color w:val="auto"/>
              </w:rPr>
              <w:t>Chair of the Compensation and Human Capital Committee</w:t>
            </w:r>
          </w:p>
        </w:tc>
        <w:tc>
          <w:tcPr>
            <w:tcW w:w="1800" w:type="dxa"/>
            <w:vAlign w:val="bottom"/>
          </w:tcPr>
          <w:p>
            <w:pPr>
              <w:ind w:left="240"/>
              <w:spacing w:after="0"/>
              <w:rPr>
                <w:sz w:val="20"/>
                <w:szCs w:val="20"/>
                <w:color w:val="auto"/>
              </w:rPr>
            </w:pPr>
            <w:r>
              <w:rPr>
                <w:rFonts w:ascii="Arial" w:cs="Arial" w:eastAsia="Arial" w:hAnsi="Arial"/>
                <w:sz w:val="16"/>
                <w:szCs w:val="16"/>
                <w:color w:val="auto"/>
              </w:rPr>
              <w:t>$20,000 additional</w:t>
            </w:r>
          </w:p>
        </w:tc>
      </w:tr>
      <w:tr>
        <w:trPr>
          <w:trHeight w:val="28"/>
        </w:trPr>
        <w:tc>
          <w:tcPr>
            <w:tcW w:w="490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6"/>
                <w:szCs w:val="16"/>
                <w:color w:val="auto"/>
              </w:rPr>
              <w:t>Chair of the Nominating and Governance Committee</w:t>
            </w:r>
          </w:p>
        </w:tc>
        <w:tc>
          <w:tcPr>
            <w:tcW w:w="1800" w:type="dxa"/>
            <w:vAlign w:val="bottom"/>
          </w:tcPr>
          <w:p>
            <w:pPr>
              <w:ind w:left="240"/>
              <w:spacing w:after="0"/>
              <w:rPr>
                <w:sz w:val="20"/>
                <w:szCs w:val="20"/>
                <w:color w:val="auto"/>
              </w:rPr>
            </w:pPr>
            <w:r>
              <w:rPr>
                <w:rFonts w:ascii="Arial" w:cs="Arial" w:eastAsia="Arial" w:hAnsi="Arial"/>
                <w:sz w:val="16"/>
                <w:szCs w:val="16"/>
                <w:color w:val="auto"/>
              </w:rPr>
              <w:t>$20,000 additional</w:t>
            </w:r>
          </w:p>
        </w:tc>
      </w:tr>
      <w:tr>
        <w:trPr>
          <w:trHeight w:val="28"/>
        </w:trPr>
        <w:tc>
          <w:tcPr>
            <w:tcW w:w="490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6"/>
                <w:szCs w:val="16"/>
                <w:color w:val="auto"/>
              </w:rPr>
              <w:t>Chair of the Research and Product Innovation Committee</w:t>
            </w:r>
          </w:p>
        </w:tc>
        <w:tc>
          <w:tcPr>
            <w:tcW w:w="1800" w:type="dxa"/>
            <w:vAlign w:val="bottom"/>
          </w:tcPr>
          <w:p>
            <w:pPr>
              <w:ind w:left="240"/>
              <w:spacing w:after="0"/>
              <w:rPr>
                <w:sz w:val="20"/>
                <w:szCs w:val="20"/>
                <w:color w:val="auto"/>
              </w:rPr>
            </w:pPr>
            <w:r>
              <w:rPr>
                <w:rFonts w:ascii="Arial" w:cs="Arial" w:eastAsia="Arial" w:hAnsi="Arial"/>
                <w:sz w:val="16"/>
                <w:szCs w:val="16"/>
                <w:color w:val="auto"/>
              </w:rPr>
              <w:t>$28,000 additional</w:t>
            </w:r>
          </w:p>
        </w:tc>
      </w:tr>
      <w:tr>
        <w:trPr>
          <w:trHeight w:val="28"/>
        </w:trPr>
        <w:tc>
          <w:tcPr>
            <w:tcW w:w="4900" w:type="dxa"/>
            <w:vAlign w:val="bottom"/>
            <w:tcBorders>
              <w:bottom w:val="single" w:sz="8" w:color="003595"/>
            </w:tcBorders>
          </w:tcPr>
          <w:p>
            <w:pPr>
              <w:spacing w:after="0"/>
              <w:rPr>
                <w:sz w:val="2"/>
                <w:szCs w:val="2"/>
                <w:color w:val="auto"/>
              </w:rPr>
            </w:pPr>
          </w:p>
        </w:tc>
        <w:tc>
          <w:tcPr>
            <w:tcW w:w="1800" w:type="dxa"/>
            <w:vAlign w:val="bottom"/>
            <w:tcBorders>
              <w:bottom w:val="single" w:sz="8" w:color="003595"/>
            </w:tcBorders>
          </w:tcPr>
          <w:p>
            <w:pPr>
              <w:spacing w:after="0"/>
              <w:rPr>
                <w:sz w:val="2"/>
                <w:szCs w:val="2"/>
                <w:color w:val="auto"/>
              </w:rPr>
            </w:pPr>
          </w:p>
        </w:tc>
      </w:tr>
      <w:tr>
        <w:trPr>
          <w:trHeight w:val="237"/>
        </w:trPr>
        <w:tc>
          <w:tcPr>
            <w:tcW w:w="490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Members of the Audit and Finance Committee </w:t>
            </w:r>
            <w:r>
              <w:rPr>
                <w:rFonts w:ascii="Arial" w:cs="Arial" w:eastAsia="Arial" w:hAnsi="Arial"/>
                <w:sz w:val="21"/>
                <w:szCs w:val="21"/>
                <w:color w:val="auto"/>
                <w:vertAlign w:val="superscript"/>
              </w:rPr>
              <w:t>(1)</w:t>
            </w:r>
          </w:p>
        </w:tc>
        <w:tc>
          <w:tcPr>
            <w:tcW w:w="1800" w:type="dxa"/>
            <w:vAlign w:val="bottom"/>
            <w:tcBorders>
              <w:bottom w:val="single" w:sz="8" w:color="003595"/>
            </w:tcBorders>
          </w:tcPr>
          <w:p>
            <w:pPr>
              <w:ind w:left="240"/>
              <w:spacing w:after="0"/>
              <w:rPr>
                <w:sz w:val="20"/>
                <w:szCs w:val="20"/>
                <w:color w:val="auto"/>
              </w:rPr>
            </w:pPr>
            <w:r>
              <w:rPr>
                <w:rFonts w:ascii="Arial" w:cs="Arial" w:eastAsia="Arial" w:hAnsi="Arial"/>
                <w:sz w:val="16"/>
                <w:szCs w:val="16"/>
                <w:color w:val="auto"/>
              </w:rPr>
              <w:t>$13,500 additional</w:t>
            </w:r>
          </w:p>
        </w:tc>
      </w:tr>
      <w:tr>
        <w:trPr>
          <w:trHeight w:val="237"/>
        </w:trPr>
        <w:tc>
          <w:tcPr>
            <w:tcW w:w="490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Members of the Compensation and Human Capital Committee </w:t>
            </w:r>
            <w:r>
              <w:rPr>
                <w:rFonts w:ascii="Arial" w:cs="Arial" w:eastAsia="Arial" w:hAnsi="Arial"/>
                <w:sz w:val="21"/>
                <w:szCs w:val="21"/>
                <w:color w:val="auto"/>
                <w:vertAlign w:val="superscript"/>
              </w:rPr>
              <w:t>(1)</w:t>
            </w:r>
          </w:p>
        </w:tc>
        <w:tc>
          <w:tcPr>
            <w:tcW w:w="1800" w:type="dxa"/>
            <w:vAlign w:val="bottom"/>
            <w:tcBorders>
              <w:bottom w:val="single" w:sz="8" w:color="003595"/>
            </w:tcBorders>
          </w:tcPr>
          <w:p>
            <w:pPr>
              <w:ind w:left="240"/>
              <w:spacing w:after="0"/>
              <w:rPr>
                <w:sz w:val="20"/>
                <w:szCs w:val="20"/>
                <w:color w:val="auto"/>
              </w:rPr>
            </w:pPr>
            <w:r>
              <w:rPr>
                <w:rFonts w:ascii="Arial" w:cs="Arial" w:eastAsia="Arial" w:hAnsi="Arial"/>
                <w:sz w:val="16"/>
                <w:szCs w:val="16"/>
                <w:color w:val="auto"/>
              </w:rPr>
              <w:t>$10,000 additional</w:t>
            </w:r>
          </w:p>
        </w:tc>
      </w:tr>
      <w:tr>
        <w:trPr>
          <w:trHeight w:val="237"/>
        </w:trPr>
        <w:tc>
          <w:tcPr>
            <w:tcW w:w="490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Members of the Nominating and Governance Committee </w:t>
            </w:r>
            <w:r>
              <w:rPr>
                <w:rFonts w:ascii="Arial" w:cs="Arial" w:eastAsia="Arial" w:hAnsi="Arial"/>
                <w:sz w:val="21"/>
                <w:szCs w:val="21"/>
                <w:color w:val="auto"/>
                <w:vertAlign w:val="superscript"/>
              </w:rPr>
              <w:t>(1)</w:t>
            </w:r>
          </w:p>
        </w:tc>
        <w:tc>
          <w:tcPr>
            <w:tcW w:w="1800" w:type="dxa"/>
            <w:vAlign w:val="bottom"/>
            <w:tcBorders>
              <w:bottom w:val="single" w:sz="8" w:color="003595"/>
            </w:tcBorders>
          </w:tcPr>
          <w:p>
            <w:pPr>
              <w:ind w:left="240"/>
              <w:spacing w:after="0"/>
              <w:rPr>
                <w:sz w:val="20"/>
                <w:szCs w:val="20"/>
                <w:color w:val="auto"/>
              </w:rPr>
            </w:pPr>
            <w:r>
              <w:rPr>
                <w:rFonts w:ascii="Arial" w:cs="Arial" w:eastAsia="Arial" w:hAnsi="Arial"/>
                <w:sz w:val="16"/>
                <w:szCs w:val="16"/>
                <w:color w:val="auto"/>
              </w:rPr>
              <w:t>$10,000 additional</w:t>
            </w:r>
          </w:p>
        </w:tc>
      </w:tr>
      <w:tr>
        <w:trPr>
          <w:trHeight w:val="236"/>
        </w:trPr>
        <w:tc>
          <w:tcPr>
            <w:tcW w:w="490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Members of the Research and Product Innovation Committee </w:t>
            </w:r>
            <w:r>
              <w:rPr>
                <w:rFonts w:ascii="Arial" w:cs="Arial" w:eastAsia="Arial" w:hAnsi="Arial"/>
                <w:sz w:val="21"/>
                <w:szCs w:val="21"/>
                <w:color w:val="auto"/>
                <w:vertAlign w:val="superscript"/>
              </w:rPr>
              <w:t>(1)</w:t>
            </w:r>
          </w:p>
        </w:tc>
        <w:tc>
          <w:tcPr>
            <w:tcW w:w="1800" w:type="dxa"/>
            <w:vAlign w:val="bottom"/>
            <w:tcBorders>
              <w:bottom w:val="single" w:sz="8" w:color="003595"/>
            </w:tcBorders>
          </w:tcPr>
          <w:p>
            <w:pPr>
              <w:ind w:left="240"/>
              <w:spacing w:after="0"/>
              <w:rPr>
                <w:sz w:val="20"/>
                <w:szCs w:val="20"/>
                <w:color w:val="auto"/>
              </w:rPr>
            </w:pPr>
            <w:r>
              <w:rPr>
                <w:rFonts w:ascii="Arial" w:cs="Arial" w:eastAsia="Arial" w:hAnsi="Arial"/>
                <w:sz w:val="16"/>
                <w:szCs w:val="16"/>
                <w:color w:val="auto"/>
              </w:rPr>
              <w:t>$13,500 additional</w:t>
            </w:r>
          </w:p>
        </w:tc>
      </w:tr>
      <w:tr>
        <w:trPr>
          <w:trHeight w:val="169"/>
        </w:trPr>
        <w:tc>
          <w:tcPr>
            <w:tcW w:w="4900" w:type="dxa"/>
            <w:vAlign w:val="bottom"/>
          </w:tcPr>
          <w:p>
            <w:pPr>
              <w:ind w:left="20"/>
              <w:spacing w:after="0"/>
              <w:rPr>
                <w:sz w:val="20"/>
                <w:szCs w:val="20"/>
                <w:color w:val="auto"/>
              </w:rPr>
            </w:pPr>
            <w:r>
              <w:rPr>
                <w:rFonts w:ascii="Arial" w:cs="Arial" w:eastAsia="Arial" w:hAnsi="Arial"/>
                <w:sz w:val="13"/>
                <w:szCs w:val="13"/>
                <w:color w:val="auto"/>
              </w:rPr>
              <w:t>(1) Other than the chairperson of such committee</w:t>
            </w:r>
          </w:p>
        </w:tc>
        <w:tc>
          <w:tcPr>
            <w:tcW w:w="1800" w:type="dxa"/>
            <w:vAlign w:val="bottom"/>
          </w:tcPr>
          <w:p>
            <w:pPr>
              <w:spacing w:after="0"/>
              <w:rPr>
                <w:sz w:val="14"/>
                <w:szCs w:val="14"/>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Attendance</w:t>
      </w:r>
    </w:p>
    <w:p>
      <w:pPr>
        <w:spacing w:after="0" w:line="23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Non-employee directors do not receive any fees (other than the retainers outlined above) for attending Board or committee meetings. However, all directors are reimbursed for their out-of-pocket expenses incurred in attending Board and committee meetings.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Equity Awards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Under our 2017 Plan, our non-employee directors may receive an award of equity in the Company. As recommended and determined by our CHCC, and approved by our Board, we may grant to each non-employee director equity awards under the 2017 Plan upon his or her initial appointment to the Board and/or on the date of each annual meeting of stockholders. Provided, however, that if a newly appointed director receives an equity award upon his or her initial appointment to the Board, such director will receive a prorated equity award on the date of the next annual meeting of stockholders. The prorated equity award will be calculated by dividing the number of days that such director has served as a director of the Company prior to the date of the next annual meeting of stockholders by 365. Except in the case of a prorated equity award, the number of shares of restricted stock, restricted stock units and/or other equity awards granted will be determined by dividing $350,000 by the closing price of our common stock on the Nasdaq Global Select Market on the date of the applicable annual meeting of stockholders or the date that such new non-employee director is appointed to the Board, as applicable. In the case of a prorated equity award, the number of shares of restricted stock, restricted stock units and/or other equity awards granted will be determined by dividing the value of the prorated award by the closing price of our common stock on the Nasdaq Global Select Market on the date of the applicable annual meeting of stockholders. In 2025, the Board and the CHCC determined that each non-employee director should receive only 70% of the $350,000 target grant value, or in the case of Mr. Davis, 70% of the value of his prorated equity award. Notwithstanding the foregoing, in no event will a non-employee director receive equity awards under the 2017 Plan with an aggregate grant date fair value in excess of $500,000 during any calendar year.</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Restricted stock, restricted stock units, and other equity awards granted to our non-employee directors may vest, in the discretion of the Board and/or the CHCC, (1) in the case of awards granted on the date of our annual meeting of stockholders, upon the earlier of (i) one year of service on the Board following the date of grant or (ii) the date of the next annual meeting of stockholders following such grant, , provided that such next annual meeting is at least one year from the date of grant, and (2) in the case of awards granted on the date that a new non-employee director is appointed to the Board, on the date that is one year following the date of such grant. In accordance with the 2017 Plan, no equity award shall vest less than one year from the date of grant, except in the case of death, disability, or a Change of Control.</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Equity Compensation Plan Information</w:t>
      </w:r>
    </w:p>
    <w:p>
      <w:pPr>
        <w:spacing w:after="0" w:line="25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following table provides certain aggregate information with respect to all of the Company’s equity compensation plans in effect as of December 31,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shd w:val="clear" w:color="auto" w:fill="003595"/>
          </w:tcPr>
          <w:p>
            <w:pPr>
              <w:spacing w:after="0"/>
              <w:rPr>
                <w:sz w:val="17"/>
                <w:szCs w:val="17"/>
                <w:color w:val="auto"/>
              </w:rPr>
            </w:pPr>
          </w:p>
        </w:tc>
        <w:tc>
          <w:tcPr>
            <w:tcW w:w="206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w w:val="93"/>
              </w:rPr>
              <w:t>(a)</w:t>
            </w:r>
          </w:p>
        </w:tc>
        <w:tc>
          <w:tcPr>
            <w:tcW w:w="160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(b)</w:t>
            </w:r>
          </w:p>
        </w:tc>
        <w:tc>
          <w:tcPr>
            <w:tcW w:w="2400" w:type="dxa"/>
            <w:vAlign w:val="bottom"/>
            <w:shd w:val="clear" w:color="auto" w:fill="003595"/>
          </w:tcPr>
          <w:p>
            <w:pPr>
              <w:jc w:val="center"/>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81"/>
        </w:trPr>
        <w:tc>
          <w:tcPr>
            <w:tcW w:w="5180" w:type="dxa"/>
            <w:vAlign w:val="bottom"/>
            <w:shd w:val="clear" w:color="auto" w:fill="003595"/>
          </w:tcPr>
          <w:p>
            <w:pPr>
              <w:spacing w:after="0"/>
              <w:rPr>
                <w:sz w:val="7"/>
                <w:szCs w:val="7"/>
                <w:color w:val="auto"/>
              </w:rPr>
            </w:pPr>
          </w:p>
        </w:tc>
        <w:tc>
          <w:tcPr>
            <w:tcW w:w="2060" w:type="dxa"/>
            <w:vAlign w:val="bottom"/>
            <w:vMerge w:val="continue"/>
            <w:shd w:val="clear" w:color="auto" w:fill="003595"/>
          </w:tcPr>
          <w:p>
            <w:pPr>
              <w:spacing w:after="0"/>
              <w:rPr>
                <w:sz w:val="7"/>
                <w:szCs w:val="7"/>
                <w:color w:val="auto"/>
              </w:rPr>
            </w:pPr>
          </w:p>
        </w:tc>
        <w:tc>
          <w:tcPr>
            <w:tcW w:w="1600" w:type="dxa"/>
            <w:vAlign w:val="bottom"/>
            <w:vMerge w:val="continue"/>
            <w:shd w:val="clear" w:color="auto" w:fill="003595"/>
          </w:tcPr>
          <w:p>
            <w:pPr>
              <w:spacing w:after="0"/>
              <w:rPr>
                <w:sz w:val="7"/>
                <w:szCs w:val="7"/>
                <w:color w:val="auto"/>
              </w:rPr>
            </w:pPr>
          </w:p>
        </w:tc>
        <w:tc>
          <w:tcPr>
            <w:tcW w:w="240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Number of securities remaining</w:t>
            </w:r>
          </w:p>
        </w:tc>
        <w:tc>
          <w:tcPr>
            <w:tcW w:w="0" w:type="dxa"/>
            <w:vAlign w:val="bottom"/>
          </w:tcPr>
          <w:p>
            <w:pPr>
              <w:spacing w:after="0"/>
              <w:rPr>
                <w:sz w:val="1"/>
                <w:szCs w:val="1"/>
                <w:color w:val="auto"/>
              </w:rPr>
            </w:pPr>
          </w:p>
        </w:tc>
      </w:tr>
      <w:tr>
        <w:trPr>
          <w:trHeight w:val="95"/>
        </w:trPr>
        <w:tc>
          <w:tcPr>
            <w:tcW w:w="5180" w:type="dxa"/>
            <w:vAlign w:val="bottom"/>
            <w:shd w:val="clear" w:color="auto" w:fill="003595"/>
          </w:tcPr>
          <w:p>
            <w:pPr>
              <w:spacing w:after="0"/>
              <w:rPr>
                <w:sz w:val="8"/>
                <w:szCs w:val="8"/>
                <w:color w:val="auto"/>
              </w:rPr>
            </w:pPr>
          </w:p>
        </w:tc>
        <w:tc>
          <w:tcPr>
            <w:tcW w:w="206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Number of securities to be</w:t>
            </w:r>
          </w:p>
        </w:tc>
        <w:tc>
          <w:tcPr>
            <w:tcW w:w="160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2400" w:type="dxa"/>
            <w:vAlign w:val="bottom"/>
            <w:vMerge w:val="continue"/>
            <w:shd w:val="clear" w:color="auto" w:fill="003595"/>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80" w:type="dxa"/>
            <w:vAlign w:val="bottom"/>
            <w:vMerge w:val="restart"/>
            <w:shd w:val="clear" w:color="auto" w:fill="003595"/>
          </w:tcPr>
          <w:p>
            <w:pPr>
              <w:ind w:left="2040"/>
              <w:spacing w:after="0"/>
              <w:rPr>
                <w:sz w:val="20"/>
                <w:szCs w:val="20"/>
                <w:color w:val="auto"/>
              </w:rPr>
            </w:pPr>
            <w:r>
              <w:rPr>
                <w:rFonts w:ascii="Arial" w:cs="Arial" w:eastAsia="Arial" w:hAnsi="Arial"/>
                <w:sz w:val="16"/>
                <w:szCs w:val="16"/>
                <w:b w:val="1"/>
                <w:bCs w:val="1"/>
                <w:color w:val="FFFFFF"/>
              </w:rPr>
              <w:t>Plan Category</w:t>
            </w:r>
          </w:p>
        </w:tc>
        <w:tc>
          <w:tcPr>
            <w:tcW w:w="2060" w:type="dxa"/>
            <w:vAlign w:val="bottom"/>
            <w:vMerge w:val="continue"/>
            <w:shd w:val="clear" w:color="auto" w:fill="003595"/>
          </w:tcPr>
          <w:p>
            <w:pPr>
              <w:spacing w:after="0"/>
              <w:rPr>
                <w:sz w:val="7"/>
                <w:szCs w:val="7"/>
                <w:color w:val="auto"/>
              </w:rPr>
            </w:pPr>
          </w:p>
        </w:tc>
        <w:tc>
          <w:tcPr>
            <w:tcW w:w="1600" w:type="dxa"/>
            <w:vAlign w:val="bottom"/>
            <w:vMerge w:val="continue"/>
            <w:shd w:val="clear" w:color="auto" w:fill="003595"/>
          </w:tcPr>
          <w:p>
            <w:pPr>
              <w:spacing w:after="0"/>
              <w:rPr>
                <w:sz w:val="7"/>
                <w:szCs w:val="7"/>
                <w:color w:val="auto"/>
              </w:rPr>
            </w:pPr>
          </w:p>
        </w:tc>
        <w:tc>
          <w:tcPr>
            <w:tcW w:w="240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available for future issuance</w:t>
            </w:r>
          </w:p>
        </w:tc>
        <w:tc>
          <w:tcPr>
            <w:tcW w:w="0" w:type="dxa"/>
            <w:vAlign w:val="bottom"/>
          </w:tcPr>
          <w:p>
            <w:pPr>
              <w:spacing w:after="0"/>
              <w:rPr>
                <w:sz w:val="1"/>
                <w:szCs w:val="1"/>
                <w:color w:val="auto"/>
              </w:rPr>
            </w:pPr>
          </w:p>
        </w:tc>
      </w:tr>
      <w:tr>
        <w:trPr>
          <w:trHeight w:val="94"/>
        </w:trPr>
        <w:tc>
          <w:tcPr>
            <w:tcW w:w="5180" w:type="dxa"/>
            <w:vAlign w:val="bottom"/>
            <w:vMerge w:val="continue"/>
            <w:shd w:val="clear" w:color="auto" w:fill="003595"/>
          </w:tcPr>
          <w:p>
            <w:pPr>
              <w:spacing w:after="0"/>
              <w:rPr>
                <w:sz w:val="8"/>
                <w:szCs w:val="8"/>
                <w:color w:val="auto"/>
              </w:rPr>
            </w:pPr>
          </w:p>
        </w:tc>
        <w:tc>
          <w:tcPr>
            <w:tcW w:w="206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issued upon exercise of</w:t>
            </w:r>
          </w:p>
        </w:tc>
        <w:tc>
          <w:tcPr>
            <w:tcW w:w="160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400" w:type="dxa"/>
            <w:vAlign w:val="bottom"/>
            <w:vMerge w:val="continue"/>
            <w:shd w:val="clear" w:color="auto" w:fill="003595"/>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80" w:type="dxa"/>
            <w:vAlign w:val="bottom"/>
            <w:vMerge w:val="continue"/>
            <w:shd w:val="clear" w:color="auto" w:fill="003595"/>
          </w:tcPr>
          <w:p>
            <w:pPr>
              <w:spacing w:after="0"/>
              <w:rPr>
                <w:sz w:val="7"/>
                <w:szCs w:val="7"/>
                <w:color w:val="auto"/>
              </w:rPr>
            </w:pPr>
          </w:p>
        </w:tc>
        <w:tc>
          <w:tcPr>
            <w:tcW w:w="2060" w:type="dxa"/>
            <w:vAlign w:val="bottom"/>
            <w:vMerge w:val="continue"/>
            <w:shd w:val="clear" w:color="auto" w:fill="003595"/>
          </w:tcPr>
          <w:p>
            <w:pPr>
              <w:spacing w:after="0"/>
              <w:rPr>
                <w:sz w:val="7"/>
                <w:szCs w:val="7"/>
                <w:color w:val="auto"/>
              </w:rPr>
            </w:pPr>
          </w:p>
        </w:tc>
        <w:tc>
          <w:tcPr>
            <w:tcW w:w="1600" w:type="dxa"/>
            <w:vAlign w:val="bottom"/>
            <w:vMerge w:val="continue"/>
            <w:shd w:val="clear" w:color="auto" w:fill="003595"/>
          </w:tcPr>
          <w:p>
            <w:pPr>
              <w:spacing w:after="0"/>
              <w:rPr>
                <w:sz w:val="7"/>
                <w:szCs w:val="7"/>
                <w:color w:val="auto"/>
              </w:rPr>
            </w:pPr>
          </w:p>
        </w:tc>
        <w:tc>
          <w:tcPr>
            <w:tcW w:w="240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under equity compensation plans</w:t>
            </w:r>
          </w:p>
        </w:tc>
        <w:tc>
          <w:tcPr>
            <w:tcW w:w="0" w:type="dxa"/>
            <w:vAlign w:val="bottom"/>
          </w:tcPr>
          <w:p>
            <w:pPr>
              <w:spacing w:after="0"/>
              <w:rPr>
                <w:sz w:val="1"/>
                <w:szCs w:val="1"/>
                <w:color w:val="auto"/>
              </w:rPr>
            </w:pPr>
          </w:p>
        </w:tc>
      </w:tr>
      <w:tr>
        <w:trPr>
          <w:trHeight w:val="144"/>
        </w:trPr>
        <w:tc>
          <w:tcPr>
            <w:tcW w:w="5180" w:type="dxa"/>
            <w:vAlign w:val="bottom"/>
            <w:shd w:val="clear" w:color="auto" w:fill="003595"/>
          </w:tcPr>
          <w:p>
            <w:pPr>
              <w:spacing w:after="0"/>
              <w:rPr>
                <w:sz w:val="12"/>
                <w:szCs w:val="12"/>
                <w:color w:val="auto"/>
              </w:rPr>
            </w:pPr>
          </w:p>
        </w:tc>
        <w:tc>
          <w:tcPr>
            <w:tcW w:w="2060" w:type="dxa"/>
            <w:vAlign w:val="bottom"/>
            <w:shd w:val="clear" w:color="auto" w:fill="003595"/>
          </w:tcPr>
          <w:p>
            <w:pPr>
              <w:jc w:val="center"/>
              <w:spacing w:after="0" w:line="145" w:lineRule="exact"/>
              <w:rPr>
                <w:sz w:val="20"/>
                <w:szCs w:val="20"/>
                <w:color w:val="auto"/>
              </w:rPr>
            </w:pPr>
            <w:r>
              <w:rPr>
                <w:rFonts w:ascii="Arial" w:cs="Arial" w:eastAsia="Arial" w:hAnsi="Arial"/>
                <w:sz w:val="14"/>
                <w:szCs w:val="14"/>
                <w:b w:val="1"/>
                <w:bCs w:val="1"/>
                <w:color w:val="FFFFFF"/>
              </w:rPr>
              <w:t>outstanding options,</w:t>
            </w:r>
          </w:p>
        </w:tc>
        <w:tc>
          <w:tcPr>
            <w:tcW w:w="1600" w:type="dxa"/>
            <w:vAlign w:val="bottom"/>
            <w:shd w:val="clear" w:color="auto" w:fill="003595"/>
          </w:tcPr>
          <w:p>
            <w:pPr>
              <w:jc w:val="center"/>
              <w:spacing w:after="0" w:line="145" w:lineRule="exact"/>
              <w:rPr>
                <w:sz w:val="20"/>
                <w:szCs w:val="20"/>
                <w:color w:val="auto"/>
              </w:rPr>
            </w:pPr>
            <w:r>
              <w:rPr>
                <w:rFonts w:ascii="Arial" w:cs="Arial" w:eastAsia="Arial" w:hAnsi="Arial"/>
                <w:sz w:val="14"/>
                <w:szCs w:val="14"/>
                <w:b w:val="1"/>
                <w:bCs w:val="1"/>
                <w:color w:val="FFFFFF"/>
              </w:rPr>
              <w:t>outstanding options,</w:t>
            </w:r>
          </w:p>
        </w:tc>
        <w:tc>
          <w:tcPr>
            <w:tcW w:w="2400" w:type="dxa"/>
            <w:vAlign w:val="bottom"/>
            <w:vMerge w:val="continue"/>
            <w:shd w:val="clear" w:color="auto" w:fill="003595"/>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5180" w:type="dxa"/>
            <w:vAlign w:val="bottom"/>
            <w:shd w:val="clear" w:color="auto" w:fill="003595"/>
          </w:tcPr>
          <w:p>
            <w:pPr>
              <w:spacing w:after="0"/>
              <w:rPr>
                <w:sz w:val="9"/>
                <w:szCs w:val="9"/>
                <w:color w:val="auto"/>
              </w:rPr>
            </w:pPr>
          </w:p>
        </w:tc>
        <w:tc>
          <w:tcPr>
            <w:tcW w:w="206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160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400" w:type="dxa"/>
            <w:vAlign w:val="bottom"/>
            <w:shd w:val="clear" w:color="auto" w:fill="003595"/>
          </w:tcPr>
          <w:p>
            <w:pPr>
              <w:jc w:val="center"/>
              <w:spacing w:after="0" w:line="113" w:lineRule="exact"/>
              <w:rPr>
                <w:sz w:val="20"/>
                <w:szCs w:val="20"/>
                <w:color w:val="auto"/>
              </w:rPr>
            </w:pPr>
            <w:r>
              <w:rPr>
                <w:rFonts w:ascii="Arial" w:cs="Arial" w:eastAsia="Arial" w:hAnsi="Arial"/>
                <w:sz w:val="13"/>
                <w:szCs w:val="13"/>
                <w:b w:val="1"/>
                <w:bCs w:val="1"/>
                <w:color w:val="FFFFFF"/>
              </w:rPr>
              <w:t>(excluding securities reflected in</w:t>
            </w:r>
          </w:p>
        </w:tc>
        <w:tc>
          <w:tcPr>
            <w:tcW w:w="0" w:type="dxa"/>
            <w:vAlign w:val="bottom"/>
          </w:tcPr>
          <w:p>
            <w:pPr>
              <w:spacing w:after="0"/>
              <w:rPr>
                <w:sz w:val="1"/>
                <w:szCs w:val="1"/>
                <w:color w:val="auto"/>
              </w:rPr>
            </w:pPr>
          </w:p>
        </w:tc>
      </w:tr>
      <w:tr>
        <w:trPr>
          <w:trHeight w:val="115"/>
        </w:trPr>
        <w:tc>
          <w:tcPr>
            <w:tcW w:w="5180" w:type="dxa"/>
            <w:vAlign w:val="bottom"/>
            <w:shd w:val="clear" w:color="auto" w:fill="003595"/>
          </w:tcPr>
          <w:p>
            <w:pPr>
              <w:spacing w:after="0"/>
              <w:rPr>
                <w:sz w:val="10"/>
                <w:szCs w:val="10"/>
                <w:color w:val="auto"/>
              </w:rPr>
            </w:pPr>
          </w:p>
        </w:tc>
        <w:tc>
          <w:tcPr>
            <w:tcW w:w="2060" w:type="dxa"/>
            <w:vAlign w:val="bottom"/>
            <w:vMerge w:val="continue"/>
            <w:shd w:val="clear" w:color="auto" w:fill="003595"/>
          </w:tcPr>
          <w:p>
            <w:pPr>
              <w:spacing w:after="0"/>
              <w:rPr>
                <w:sz w:val="10"/>
                <w:szCs w:val="10"/>
                <w:color w:val="auto"/>
              </w:rPr>
            </w:pPr>
          </w:p>
        </w:tc>
        <w:tc>
          <w:tcPr>
            <w:tcW w:w="1600" w:type="dxa"/>
            <w:vAlign w:val="bottom"/>
            <w:vMerge w:val="continue"/>
            <w:shd w:val="clear" w:color="auto" w:fill="003595"/>
          </w:tcPr>
          <w:p>
            <w:pPr>
              <w:spacing w:after="0"/>
              <w:rPr>
                <w:sz w:val="10"/>
                <w:szCs w:val="10"/>
                <w:color w:val="auto"/>
              </w:rPr>
            </w:pPr>
          </w:p>
        </w:tc>
        <w:tc>
          <w:tcPr>
            <w:tcW w:w="2400" w:type="dxa"/>
            <w:vAlign w:val="bottom"/>
            <w:vMerge w:val="restart"/>
            <w:shd w:val="clear" w:color="auto" w:fill="003595"/>
          </w:tcPr>
          <w:p>
            <w:pPr>
              <w:jc w:val="center"/>
              <w:spacing w:after="0"/>
              <w:rPr>
                <w:sz w:val="20"/>
                <w:szCs w:val="20"/>
                <w:color w:val="auto"/>
              </w:rPr>
            </w:pPr>
            <w:r>
              <w:rPr>
                <w:rFonts w:ascii="Arial" w:cs="Arial" w:eastAsia="Arial" w:hAnsi="Arial"/>
                <w:sz w:val="14"/>
                <w:szCs w:val="14"/>
                <w:b w:val="1"/>
                <w:bCs w:val="1"/>
                <w:color w:val="FFFFFF"/>
              </w:rPr>
              <w:t>column (a)) (3)</w:t>
            </w:r>
          </w:p>
        </w:tc>
        <w:tc>
          <w:tcPr>
            <w:tcW w:w="0" w:type="dxa"/>
            <w:vAlign w:val="bottom"/>
          </w:tcPr>
          <w:p>
            <w:pPr>
              <w:spacing w:after="0"/>
              <w:rPr>
                <w:sz w:val="1"/>
                <w:szCs w:val="1"/>
                <w:color w:val="auto"/>
              </w:rPr>
            </w:pPr>
          </w:p>
        </w:tc>
      </w:tr>
      <w:tr>
        <w:trPr>
          <w:trHeight w:val="90"/>
        </w:trPr>
        <w:tc>
          <w:tcPr>
            <w:tcW w:w="5180" w:type="dxa"/>
            <w:vAlign w:val="bottom"/>
            <w:tcBorders>
              <w:bottom w:val="single" w:sz="8" w:color="003595"/>
            </w:tcBorders>
            <w:shd w:val="clear" w:color="auto" w:fill="003595"/>
          </w:tcPr>
          <w:p>
            <w:pPr>
              <w:spacing w:after="0"/>
              <w:rPr>
                <w:sz w:val="7"/>
                <w:szCs w:val="7"/>
                <w:color w:val="auto"/>
              </w:rPr>
            </w:pPr>
          </w:p>
        </w:tc>
        <w:tc>
          <w:tcPr>
            <w:tcW w:w="2060" w:type="dxa"/>
            <w:vAlign w:val="bottom"/>
            <w:tcBorders>
              <w:bottom w:val="single" w:sz="8" w:color="003595"/>
            </w:tcBorders>
            <w:shd w:val="clear" w:color="auto" w:fill="003595"/>
          </w:tcPr>
          <w:p>
            <w:pPr>
              <w:spacing w:after="0"/>
              <w:rPr>
                <w:sz w:val="7"/>
                <w:szCs w:val="7"/>
                <w:color w:val="auto"/>
              </w:rPr>
            </w:pPr>
          </w:p>
        </w:tc>
        <w:tc>
          <w:tcPr>
            <w:tcW w:w="1600" w:type="dxa"/>
            <w:vAlign w:val="bottom"/>
            <w:tcBorders>
              <w:bottom w:val="single" w:sz="8" w:color="003595"/>
            </w:tcBorders>
            <w:shd w:val="clear" w:color="auto" w:fill="003595"/>
          </w:tcPr>
          <w:p>
            <w:pPr>
              <w:spacing w:after="0"/>
              <w:rPr>
                <w:sz w:val="7"/>
                <w:szCs w:val="7"/>
                <w:color w:val="auto"/>
              </w:rPr>
            </w:pPr>
          </w:p>
        </w:tc>
        <w:tc>
          <w:tcPr>
            <w:tcW w:w="2400" w:type="dxa"/>
            <w:vAlign w:val="bottom"/>
            <w:tcBorders>
              <w:bottom w:val="single" w:sz="8" w:color="003595"/>
            </w:tcBorders>
            <w:vMerge w:val="continue"/>
            <w:shd w:val="clear" w:color="auto" w:fill="003595"/>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180" w:type="dxa"/>
            <w:vAlign w:val="bottom"/>
          </w:tcPr>
          <w:p>
            <w:pPr>
              <w:ind w:left="20"/>
              <w:spacing w:after="0"/>
              <w:rPr>
                <w:sz w:val="20"/>
                <w:szCs w:val="20"/>
                <w:color w:val="auto"/>
              </w:rPr>
            </w:pPr>
            <w:r>
              <w:rPr>
                <w:rFonts w:ascii="Arial" w:cs="Arial" w:eastAsia="Arial" w:hAnsi="Arial"/>
                <w:sz w:val="14"/>
                <w:szCs w:val="14"/>
                <w:color w:val="auto"/>
              </w:rPr>
              <w:t>Equity compensation plans approved by security holders (1)</w:t>
            </w:r>
          </w:p>
        </w:tc>
        <w:tc>
          <w:tcPr>
            <w:tcW w:w="2060" w:type="dxa"/>
            <w:vAlign w:val="bottom"/>
          </w:tcPr>
          <w:p>
            <w:pPr>
              <w:jc w:val="center"/>
              <w:spacing w:after="0"/>
              <w:rPr>
                <w:sz w:val="20"/>
                <w:szCs w:val="20"/>
                <w:color w:val="auto"/>
              </w:rPr>
            </w:pPr>
            <w:r>
              <w:rPr>
                <w:rFonts w:ascii="Arial" w:cs="Arial" w:eastAsia="Arial" w:hAnsi="Arial"/>
                <w:sz w:val="14"/>
                <w:szCs w:val="14"/>
                <w:color w:val="auto"/>
              </w:rPr>
              <w:t>6,597,587</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0" w:type="dxa"/>
            <w:vAlign w:val="bottom"/>
          </w:tcPr>
          <w:p>
            <w:pPr>
              <w:jc w:val="center"/>
              <w:spacing w:after="0"/>
              <w:rPr>
                <w:sz w:val="20"/>
                <w:szCs w:val="20"/>
                <w:color w:val="auto"/>
              </w:rPr>
            </w:pPr>
            <w:r>
              <w:rPr>
                <w:rFonts w:ascii="Arial" w:cs="Arial" w:eastAsia="Arial" w:hAnsi="Arial"/>
                <w:sz w:val="14"/>
                <w:szCs w:val="14"/>
                <w:color w:val="auto"/>
              </w:rPr>
              <w:t>5,284,660</w:t>
            </w:r>
          </w:p>
        </w:tc>
        <w:tc>
          <w:tcPr>
            <w:tcW w:w="0" w:type="dxa"/>
            <w:vAlign w:val="bottom"/>
          </w:tcPr>
          <w:p>
            <w:pPr>
              <w:spacing w:after="0"/>
              <w:rPr>
                <w:sz w:val="1"/>
                <w:szCs w:val="1"/>
                <w:color w:val="auto"/>
              </w:rPr>
            </w:pPr>
          </w:p>
        </w:tc>
      </w:tr>
      <w:tr>
        <w:trPr>
          <w:trHeight w:val="21"/>
        </w:trPr>
        <w:tc>
          <w:tcPr>
            <w:tcW w:w="5180" w:type="dxa"/>
            <w:vAlign w:val="bottom"/>
            <w:tcBorders>
              <w:bottom w:val="single" w:sz="8" w:color="003595"/>
            </w:tcBorders>
          </w:tcPr>
          <w:p>
            <w:pPr>
              <w:spacing w:after="0" w:line="20" w:lineRule="exact"/>
              <w:rPr>
                <w:sz w:val="1"/>
                <w:szCs w:val="1"/>
                <w:color w:val="auto"/>
              </w:rPr>
            </w:pPr>
          </w:p>
        </w:tc>
        <w:tc>
          <w:tcPr>
            <w:tcW w:w="2060" w:type="dxa"/>
            <w:vAlign w:val="bottom"/>
            <w:tcBorders>
              <w:bottom w:val="single" w:sz="8" w:color="003595"/>
            </w:tcBorders>
          </w:tcPr>
          <w:p>
            <w:pPr>
              <w:spacing w:after="0" w:line="20" w:lineRule="exact"/>
              <w:rPr>
                <w:sz w:val="1"/>
                <w:szCs w:val="1"/>
                <w:color w:val="auto"/>
              </w:rPr>
            </w:pPr>
          </w:p>
        </w:tc>
        <w:tc>
          <w:tcPr>
            <w:tcW w:w="1600" w:type="dxa"/>
            <w:vAlign w:val="bottom"/>
            <w:tcBorders>
              <w:bottom w:val="single" w:sz="8" w:color="003595"/>
            </w:tcBorders>
          </w:tcPr>
          <w:p>
            <w:pPr>
              <w:spacing w:after="0" w:line="20" w:lineRule="exact"/>
              <w:rPr>
                <w:sz w:val="1"/>
                <w:szCs w:val="1"/>
                <w:color w:val="auto"/>
              </w:rPr>
            </w:pPr>
          </w:p>
        </w:tc>
        <w:tc>
          <w:tcPr>
            <w:tcW w:w="2400" w:type="dxa"/>
            <w:vAlign w:val="bottom"/>
            <w:tcBorders>
              <w:bottom w:val="single" w:sz="8" w:color="003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180" w:type="dxa"/>
            <w:vAlign w:val="bottom"/>
          </w:tcPr>
          <w:p>
            <w:pPr>
              <w:ind w:left="20"/>
              <w:spacing w:after="0"/>
              <w:rPr>
                <w:sz w:val="20"/>
                <w:szCs w:val="20"/>
                <w:color w:val="auto"/>
              </w:rPr>
            </w:pPr>
            <w:r>
              <w:rPr>
                <w:rFonts w:ascii="Arial" w:cs="Arial" w:eastAsia="Arial" w:hAnsi="Arial"/>
                <w:sz w:val="14"/>
                <w:szCs w:val="14"/>
                <w:color w:val="auto"/>
              </w:rPr>
              <w:t>Equity compensation plans not approved by security holders (2)</w:t>
            </w:r>
          </w:p>
        </w:tc>
        <w:tc>
          <w:tcPr>
            <w:tcW w:w="2060" w:type="dxa"/>
            <w:vAlign w:val="bottom"/>
          </w:tcPr>
          <w:p>
            <w:pPr>
              <w:jc w:val="center"/>
              <w:spacing w:after="0"/>
              <w:rPr>
                <w:sz w:val="20"/>
                <w:szCs w:val="20"/>
                <w:color w:val="auto"/>
              </w:rPr>
            </w:pPr>
            <w:r>
              <w:rPr>
                <w:rFonts w:ascii="Arial" w:cs="Arial" w:eastAsia="Arial" w:hAnsi="Arial"/>
                <w:sz w:val="14"/>
                <w:szCs w:val="14"/>
                <w:color w:val="auto"/>
              </w:rPr>
              <w:t>1,187,200</w:t>
            </w:r>
          </w:p>
        </w:tc>
        <w:tc>
          <w:tcPr>
            <w:tcW w:w="1600" w:type="dxa"/>
            <w:vAlign w:val="bottom"/>
          </w:tcPr>
          <w:p>
            <w:pPr>
              <w:jc w:val="center"/>
              <w:spacing w:after="0"/>
              <w:rPr>
                <w:sz w:val="20"/>
                <w:szCs w:val="20"/>
                <w:color w:val="auto"/>
              </w:rPr>
            </w:pPr>
            <w:r>
              <w:rPr>
                <w:rFonts w:ascii="Arial" w:cs="Arial" w:eastAsia="Arial" w:hAnsi="Arial"/>
                <w:sz w:val="14"/>
                <w:szCs w:val="14"/>
                <w:color w:val="auto"/>
              </w:rPr>
              <w:t>$13.38</w:t>
            </w:r>
          </w:p>
        </w:tc>
        <w:tc>
          <w:tcPr>
            <w:tcW w:w="2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
        </w:trPr>
        <w:tc>
          <w:tcPr>
            <w:tcW w:w="5180" w:type="dxa"/>
            <w:vAlign w:val="bottom"/>
            <w:tcBorders>
              <w:bottom w:val="single" w:sz="8" w:color="003595"/>
            </w:tcBorders>
          </w:tcPr>
          <w:p>
            <w:pPr>
              <w:spacing w:after="0" w:line="20" w:lineRule="exact"/>
              <w:rPr>
                <w:sz w:val="1"/>
                <w:szCs w:val="1"/>
                <w:color w:val="auto"/>
              </w:rPr>
            </w:pPr>
          </w:p>
        </w:tc>
        <w:tc>
          <w:tcPr>
            <w:tcW w:w="2060" w:type="dxa"/>
            <w:vAlign w:val="bottom"/>
            <w:tcBorders>
              <w:bottom w:val="single" w:sz="8" w:color="003595"/>
            </w:tcBorders>
          </w:tcPr>
          <w:p>
            <w:pPr>
              <w:spacing w:after="0" w:line="20" w:lineRule="exact"/>
              <w:rPr>
                <w:sz w:val="1"/>
                <w:szCs w:val="1"/>
                <w:color w:val="auto"/>
              </w:rPr>
            </w:pPr>
          </w:p>
        </w:tc>
        <w:tc>
          <w:tcPr>
            <w:tcW w:w="1600" w:type="dxa"/>
            <w:vAlign w:val="bottom"/>
            <w:tcBorders>
              <w:bottom w:val="single" w:sz="8" w:color="003595"/>
            </w:tcBorders>
          </w:tcPr>
          <w:p>
            <w:pPr>
              <w:spacing w:after="0" w:line="20" w:lineRule="exact"/>
              <w:rPr>
                <w:sz w:val="1"/>
                <w:szCs w:val="1"/>
                <w:color w:val="auto"/>
              </w:rPr>
            </w:pPr>
          </w:p>
        </w:tc>
        <w:tc>
          <w:tcPr>
            <w:tcW w:w="2400" w:type="dxa"/>
            <w:vAlign w:val="bottom"/>
            <w:tcBorders>
              <w:bottom w:val="single" w:sz="8" w:color="003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180" w:type="dxa"/>
            <w:vAlign w:val="bottom"/>
          </w:tcPr>
          <w:p>
            <w:pPr>
              <w:ind w:left="220"/>
              <w:spacing w:after="0"/>
              <w:rPr>
                <w:sz w:val="20"/>
                <w:szCs w:val="20"/>
                <w:color w:val="auto"/>
              </w:rPr>
            </w:pPr>
            <w:r>
              <w:rPr>
                <w:rFonts w:ascii="Arial" w:cs="Arial" w:eastAsia="Arial" w:hAnsi="Arial"/>
                <w:sz w:val="14"/>
                <w:szCs w:val="14"/>
                <w:color w:val="auto"/>
              </w:rPr>
              <w:t>Total</w:t>
            </w:r>
          </w:p>
        </w:tc>
        <w:tc>
          <w:tcPr>
            <w:tcW w:w="2060" w:type="dxa"/>
            <w:vAlign w:val="bottom"/>
          </w:tcPr>
          <w:p>
            <w:pPr>
              <w:jc w:val="center"/>
              <w:spacing w:after="0"/>
              <w:rPr>
                <w:sz w:val="20"/>
                <w:szCs w:val="20"/>
                <w:color w:val="auto"/>
              </w:rPr>
            </w:pPr>
            <w:r>
              <w:rPr>
                <w:rFonts w:ascii="Arial" w:cs="Arial" w:eastAsia="Arial" w:hAnsi="Arial"/>
                <w:sz w:val="14"/>
                <w:szCs w:val="14"/>
                <w:color w:val="auto"/>
              </w:rPr>
              <w:t>7,784,787</w:t>
            </w:r>
          </w:p>
        </w:tc>
        <w:tc>
          <w:tcPr>
            <w:tcW w:w="1600" w:type="dxa"/>
            <w:vAlign w:val="bottom"/>
          </w:tcPr>
          <w:p>
            <w:pPr>
              <w:jc w:val="center"/>
              <w:spacing w:after="0"/>
              <w:rPr>
                <w:sz w:val="20"/>
                <w:szCs w:val="20"/>
                <w:color w:val="auto"/>
              </w:rPr>
            </w:pPr>
            <w:r>
              <w:rPr>
                <w:rFonts w:ascii="Arial" w:cs="Arial" w:eastAsia="Arial" w:hAnsi="Arial"/>
                <w:sz w:val="14"/>
                <w:szCs w:val="14"/>
                <w:color w:val="auto"/>
              </w:rPr>
              <w:t>$13.38</w:t>
            </w:r>
          </w:p>
        </w:tc>
        <w:tc>
          <w:tcPr>
            <w:tcW w:w="2400" w:type="dxa"/>
            <w:vAlign w:val="bottom"/>
          </w:tcPr>
          <w:p>
            <w:pPr>
              <w:jc w:val="center"/>
              <w:spacing w:after="0"/>
              <w:rPr>
                <w:sz w:val="20"/>
                <w:szCs w:val="20"/>
                <w:color w:val="auto"/>
              </w:rPr>
            </w:pPr>
            <w:r>
              <w:rPr>
                <w:rFonts w:ascii="Arial" w:cs="Arial" w:eastAsia="Arial" w:hAnsi="Arial"/>
                <w:sz w:val="14"/>
                <w:szCs w:val="14"/>
                <w:color w:val="auto"/>
              </w:rPr>
              <w:t>5,284,660</w:t>
            </w:r>
          </w:p>
        </w:tc>
        <w:tc>
          <w:tcPr>
            <w:tcW w:w="0" w:type="dxa"/>
            <w:vAlign w:val="bottom"/>
          </w:tcPr>
          <w:p>
            <w:pPr>
              <w:spacing w:after="0"/>
              <w:rPr>
                <w:sz w:val="1"/>
                <w:szCs w:val="1"/>
                <w:color w:val="auto"/>
              </w:rPr>
            </w:pPr>
          </w:p>
        </w:tc>
      </w:tr>
      <w:tr>
        <w:trPr>
          <w:trHeight w:val="21"/>
        </w:trPr>
        <w:tc>
          <w:tcPr>
            <w:tcW w:w="5180" w:type="dxa"/>
            <w:vAlign w:val="bottom"/>
            <w:tcBorders>
              <w:bottom w:val="single" w:sz="8" w:color="003595"/>
            </w:tcBorders>
          </w:tcPr>
          <w:p>
            <w:pPr>
              <w:spacing w:after="0" w:line="20" w:lineRule="exact"/>
              <w:rPr>
                <w:sz w:val="1"/>
                <w:szCs w:val="1"/>
                <w:color w:val="auto"/>
              </w:rPr>
            </w:pPr>
          </w:p>
        </w:tc>
        <w:tc>
          <w:tcPr>
            <w:tcW w:w="2060" w:type="dxa"/>
            <w:vAlign w:val="bottom"/>
            <w:tcBorders>
              <w:bottom w:val="single" w:sz="8" w:color="003595"/>
            </w:tcBorders>
          </w:tcPr>
          <w:p>
            <w:pPr>
              <w:spacing w:after="0" w:line="20" w:lineRule="exact"/>
              <w:rPr>
                <w:sz w:val="1"/>
                <w:szCs w:val="1"/>
                <w:color w:val="auto"/>
              </w:rPr>
            </w:pPr>
          </w:p>
        </w:tc>
        <w:tc>
          <w:tcPr>
            <w:tcW w:w="1600" w:type="dxa"/>
            <w:vAlign w:val="bottom"/>
            <w:tcBorders>
              <w:bottom w:val="single" w:sz="8" w:color="003595"/>
            </w:tcBorders>
          </w:tcPr>
          <w:p>
            <w:pPr>
              <w:spacing w:after="0" w:line="20" w:lineRule="exact"/>
              <w:rPr>
                <w:sz w:val="1"/>
                <w:szCs w:val="1"/>
                <w:color w:val="auto"/>
              </w:rPr>
            </w:pPr>
          </w:p>
        </w:tc>
        <w:tc>
          <w:tcPr>
            <w:tcW w:w="2400" w:type="dxa"/>
            <w:vAlign w:val="bottom"/>
            <w:tcBorders>
              <w:bottom w:val="single" w:sz="8" w:color="003595"/>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71" w:name="page72"/>
    <w:bookmarkEnd w:id="71"/>
    <w:p>
      <w:pPr>
        <w:ind w:left="340" w:hanging="332"/>
        <w:spacing w:after="0" w:line="264" w:lineRule="auto"/>
        <w:tabs>
          <w:tab w:leader="none" w:pos="332"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These plans consist of our 2017 Plan, and our Employee Stock Purchase Plan, as amended (the “Employee Stock Purchase Plan”). Column (a) consists of 6,597,587 shares of common stock available for issuance under the 2017 Plan upon the vesting of time-based and performance-based restricted stock unit awards.</w:t>
      </w:r>
    </w:p>
    <w:p>
      <w:pPr>
        <w:spacing w:after="0" w:line="211" w:lineRule="exact"/>
        <w:rPr>
          <w:rFonts w:ascii="Arial" w:cs="Arial" w:eastAsia="Arial" w:hAnsi="Arial"/>
          <w:sz w:val="13"/>
          <w:szCs w:val="13"/>
          <w:color w:val="auto"/>
        </w:rPr>
      </w:pPr>
    </w:p>
    <w:p>
      <w:pPr>
        <w:jc w:val="both"/>
        <w:ind w:left="340" w:hanging="332"/>
        <w:spacing w:after="0" w:line="248" w:lineRule="auto"/>
        <w:tabs>
          <w:tab w:leader="none" w:pos="332"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These awards were granted as inducement awards material to Mr. Diaz and Mr. Donnelly entering into employment with us pursuant to Nasdaq Rule 5635(c)(4). In connection with the commencement of his employment with us on August 13, 2020, Mr. Diaz received the following grants of non-qualified stock options: (a) 342,040 shares of common stock available for issuance upon the exercise of time-based non-qualified stock options and (b) 339,088 shares of common stock available for issuance upon the exercise of performance-based non-qualified stock options. On May 1, 2025, in connection with the commencement of his employment with us, Mr. Donnelly received the following grants of restricted stock units and performance restricted stock units: (a) 269,905 restricted stock units that vest in four equal annual installments beginning on the first anniversary of the grant date, and (b) 236,167 performance based restricted stock units representing the maximum number of shares that may vest based on the achievement of specified stock price milestones.</w:t>
      </w:r>
    </w:p>
    <w:p>
      <w:pPr>
        <w:spacing w:after="0" w:line="234" w:lineRule="exact"/>
        <w:rPr>
          <w:rFonts w:ascii="Arial" w:cs="Arial" w:eastAsia="Arial" w:hAnsi="Arial"/>
          <w:sz w:val="13"/>
          <w:szCs w:val="13"/>
          <w:color w:val="auto"/>
        </w:rPr>
      </w:pPr>
    </w:p>
    <w:p>
      <w:pPr>
        <w:ind w:left="340" w:hanging="332"/>
        <w:spacing w:after="0" w:line="264" w:lineRule="auto"/>
        <w:tabs>
          <w:tab w:leader="none" w:pos="332" w:val="left"/>
        </w:tabs>
        <w:numPr>
          <w:ilvl w:val="0"/>
          <w:numId w:val="71"/>
        </w:numPr>
        <w:rPr>
          <w:rFonts w:ascii="Arial" w:cs="Arial" w:eastAsia="Arial" w:hAnsi="Arial"/>
          <w:sz w:val="13"/>
          <w:szCs w:val="13"/>
          <w:color w:val="auto"/>
        </w:rPr>
      </w:pPr>
      <w:r>
        <w:rPr>
          <w:rFonts w:ascii="Arial" w:cs="Arial" w:eastAsia="Arial" w:hAnsi="Arial"/>
          <w:sz w:val="13"/>
          <w:szCs w:val="13"/>
          <w:color w:val="auto"/>
        </w:rPr>
        <w:t>Consists of 5,284,660 shares of common stock available for future issuance under the 2017 Plan. As of December 31, 2025, there were no shares available for future issuance under the Employee Stock Purchase Plan.</w:t>
      </w:r>
    </w:p>
    <w:p>
      <w:pPr>
        <w:spacing w:after="0" w:line="20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For additional information about our equity compensation plans, please refer to Note 8 of Notes to Consolidated Financial Statements included in Part II, Item 8 of our Annual Report on Form 10-K for the year ended December 31, 2025.</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Additional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Pension Benefits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qualified or nonqualified defined pension benefit plans.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Nonqualified Deferred Compensation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nonqualified defined contribution plans or other deferred compensation plans.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25"/>
          <w:szCs w:val="25"/>
          <w:b w:val="1"/>
          <w:bCs w:val="1"/>
          <w:color w:val="003595"/>
        </w:rPr>
        <w:t>Security Ownership of Certain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595"/>
        </w:rPr>
        <w:t>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9005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39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April 8, 2026 for (a) each stockholder that we know to be the beneficial owner of more than 5% of our common stock, (b) each of the individuals named in the Summary Compensation Table of this proxy statement (the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April 8, 2026 pursuant to the exercise of options and the vesting of restricted stock unit awards to be outstanding for the purpose of computing the percentage ownership of an individual or group, but such shares are not deemed to be outstanding for the purpose of computing the percentage ownership of any other person shown in the table. Except as indicated in footnotes, we believe that the stockholders named in this table have sole voting and investment power with respect to all shares of common stock shown to be beneficially owned by them based on information provided to us by such stockholders or reported in Schedules 13G filed with the SEC. The percentage of ownership is based on 94,443,029 shares of common stock outstanding on April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158750</wp:posOffset>
            </wp:positionV>
            <wp:extent cx="242570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25700" cy="154305"/>
                    </a:xfrm>
                    <a:prstGeom prst="rect">
                      <a:avLst/>
                    </a:prstGeom>
                    <a:noFill/>
                  </pic:spPr>
                </pic:pic>
              </a:graphicData>
            </a:graphic>
          </wp:anchor>
        </w:drawing>
      </w:r>
    </w:p>
    <w:p>
      <w:pPr>
        <w:spacing w:after="0" w:line="243"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FFFFFF"/>
        </w:rPr>
        <w:t>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29210</wp:posOffset>
            </wp:positionV>
            <wp:extent cx="2425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20" w:type="dxa"/>
            <w:vAlign w:val="bottom"/>
            <w:shd w:val="clear" w:color="auto" w:fill="003595"/>
          </w:tcPr>
          <w:p>
            <w:pPr>
              <w:ind w:left="20"/>
              <w:spacing w:after="0"/>
              <w:rPr>
                <w:sz w:val="20"/>
                <w:szCs w:val="20"/>
                <w:color w:val="auto"/>
              </w:rPr>
            </w:pPr>
            <w:r>
              <w:rPr>
                <w:rFonts w:ascii="Arial" w:cs="Arial" w:eastAsia="Arial" w:hAnsi="Arial"/>
                <w:sz w:val="16"/>
                <w:szCs w:val="16"/>
                <w:b w:val="1"/>
                <w:bCs w:val="1"/>
                <w:color w:val="FFFFFF"/>
              </w:rPr>
              <w:t>Name and Address**</w:t>
            </w:r>
          </w:p>
        </w:tc>
        <w:tc>
          <w:tcPr>
            <w:tcW w:w="2060" w:type="dxa"/>
            <w:vAlign w:val="bottom"/>
            <w:shd w:val="clear" w:color="auto" w:fill="003595"/>
          </w:tcPr>
          <w:p>
            <w:pPr>
              <w:ind w:left="760"/>
              <w:spacing w:after="0"/>
              <w:rPr>
                <w:sz w:val="20"/>
                <w:szCs w:val="20"/>
                <w:color w:val="auto"/>
              </w:rPr>
            </w:pPr>
            <w:r>
              <w:rPr>
                <w:rFonts w:ascii="Arial" w:cs="Arial" w:eastAsia="Arial" w:hAnsi="Arial"/>
                <w:sz w:val="16"/>
                <w:szCs w:val="16"/>
                <w:b w:val="1"/>
                <w:bCs w:val="1"/>
                <w:color w:val="FFFFFF"/>
              </w:rPr>
              <w:t>Number</w:t>
            </w:r>
          </w:p>
        </w:tc>
        <w:tc>
          <w:tcPr>
            <w:tcW w:w="1760" w:type="dxa"/>
            <w:vAlign w:val="bottom"/>
            <w:shd w:val="clear" w:color="auto" w:fill="003595"/>
          </w:tcPr>
          <w:p>
            <w:pPr>
              <w:ind w:left="620"/>
              <w:spacing w:after="0"/>
              <w:rPr>
                <w:sz w:val="20"/>
                <w:szCs w:val="20"/>
                <w:color w:val="auto"/>
              </w:rPr>
            </w:pPr>
            <w:r>
              <w:rPr>
                <w:rFonts w:ascii="Arial" w:cs="Arial" w:eastAsia="Arial" w:hAnsi="Arial"/>
                <w:sz w:val="16"/>
                <w:szCs w:val="16"/>
                <w:b w:val="1"/>
                <w:bCs w:val="1"/>
                <w:color w:val="FFFFFF"/>
              </w:rPr>
              <w:t>Percent</w:t>
            </w:r>
          </w:p>
        </w:tc>
      </w:tr>
      <w:tr>
        <w:trPr>
          <w:trHeight w:val="254"/>
        </w:trPr>
        <w:tc>
          <w:tcPr>
            <w:tcW w:w="7420" w:type="dxa"/>
            <w:vAlign w:val="bottom"/>
            <w:tcBorders>
              <w:bottom w:val="single" w:sz="8" w:color="003595"/>
            </w:tcBorders>
            <w:shd w:val="clear" w:color="auto" w:fill="003595"/>
          </w:tcPr>
          <w:p>
            <w:pPr>
              <w:ind w:left="20"/>
              <w:spacing w:after="0"/>
              <w:rPr>
                <w:sz w:val="20"/>
                <w:szCs w:val="20"/>
                <w:color w:val="auto"/>
              </w:rPr>
            </w:pPr>
            <w:r>
              <w:rPr>
                <w:rFonts w:ascii="Arial" w:cs="Arial" w:eastAsia="Arial" w:hAnsi="Arial"/>
                <w:sz w:val="16"/>
                <w:szCs w:val="16"/>
                <w:b w:val="1"/>
                <w:bCs w:val="1"/>
                <w:color w:val="FFFFFF"/>
              </w:rPr>
              <w:t>Beneficial Owners of More Than 5% of Our Common Stock</w:t>
            </w:r>
          </w:p>
        </w:tc>
        <w:tc>
          <w:tcPr>
            <w:tcW w:w="2060" w:type="dxa"/>
            <w:vAlign w:val="bottom"/>
            <w:tcBorders>
              <w:bottom w:val="single" w:sz="8" w:color="0A2299"/>
            </w:tcBorders>
            <w:shd w:val="clear" w:color="auto" w:fill="003595"/>
          </w:tcPr>
          <w:p>
            <w:pPr>
              <w:spacing w:after="0"/>
              <w:rPr>
                <w:sz w:val="22"/>
                <w:szCs w:val="22"/>
                <w:color w:val="auto"/>
              </w:rPr>
            </w:pPr>
          </w:p>
        </w:tc>
        <w:tc>
          <w:tcPr>
            <w:tcW w:w="1760" w:type="dxa"/>
            <w:vAlign w:val="bottom"/>
            <w:tcBorders>
              <w:bottom w:val="single" w:sz="8" w:color="0A2299"/>
            </w:tcBorders>
            <w:shd w:val="clear" w:color="auto" w:fill="003595"/>
          </w:tcPr>
          <w:p>
            <w:pPr>
              <w:spacing w:after="0"/>
              <w:rPr>
                <w:sz w:val="22"/>
                <w:szCs w:val="22"/>
                <w:color w:val="auto"/>
              </w:rPr>
            </w:pPr>
          </w:p>
        </w:tc>
      </w:tr>
      <w:tr>
        <w:trPr>
          <w:trHeight w:val="267"/>
        </w:trPr>
        <w:tc>
          <w:tcPr>
            <w:tcW w:w="7420" w:type="dxa"/>
            <w:vAlign w:val="bottom"/>
          </w:tcPr>
          <w:p>
            <w:pPr>
              <w:ind w:left="20"/>
              <w:spacing w:after="0"/>
              <w:rPr>
                <w:sz w:val="20"/>
                <w:szCs w:val="20"/>
                <w:color w:val="auto"/>
              </w:rPr>
            </w:pPr>
            <w:r>
              <w:rPr>
                <w:rFonts w:ascii="Arial" w:cs="Arial" w:eastAsia="Arial" w:hAnsi="Arial"/>
                <w:sz w:val="16"/>
                <w:szCs w:val="16"/>
                <w:color w:val="auto"/>
              </w:rPr>
              <w:t xml:space="preserve">BlackRock, Inc. </w:t>
            </w:r>
            <w:r>
              <w:rPr>
                <w:rFonts w:ascii="Arial" w:cs="Arial" w:eastAsia="Arial" w:hAnsi="Arial"/>
                <w:sz w:val="21"/>
                <w:szCs w:val="21"/>
                <w:color w:val="auto"/>
                <w:vertAlign w:val="superscript"/>
              </w:rPr>
              <w:t>(1)</w:t>
            </w:r>
          </w:p>
        </w:tc>
        <w:tc>
          <w:tcPr>
            <w:tcW w:w="2060" w:type="dxa"/>
            <w:vAlign w:val="bottom"/>
          </w:tcPr>
          <w:p>
            <w:pPr>
              <w:jc w:val="center"/>
              <w:ind w:left="19"/>
              <w:spacing w:after="0"/>
              <w:rPr>
                <w:sz w:val="20"/>
                <w:szCs w:val="20"/>
                <w:color w:val="auto"/>
              </w:rPr>
            </w:pPr>
            <w:r>
              <w:rPr>
                <w:rFonts w:ascii="Arial" w:cs="Arial" w:eastAsia="Arial" w:hAnsi="Arial"/>
                <w:sz w:val="16"/>
                <w:szCs w:val="16"/>
                <w:color w:val="auto"/>
              </w:rPr>
              <w:t>7,976,163</w:t>
            </w:r>
          </w:p>
        </w:tc>
        <w:tc>
          <w:tcPr>
            <w:tcW w:w="1760" w:type="dxa"/>
            <w:vAlign w:val="bottom"/>
          </w:tcPr>
          <w:p>
            <w:pPr>
              <w:jc w:val="center"/>
              <w:spacing w:after="0"/>
              <w:rPr>
                <w:sz w:val="20"/>
                <w:szCs w:val="20"/>
                <w:color w:val="auto"/>
              </w:rPr>
            </w:pPr>
            <w:r>
              <w:rPr>
                <w:rFonts w:ascii="Arial" w:cs="Arial" w:eastAsia="Arial" w:hAnsi="Arial"/>
                <w:sz w:val="16"/>
                <w:szCs w:val="16"/>
                <w:color w:val="auto"/>
                <w:w w:val="98"/>
              </w:rPr>
              <w:t>8.4%</w:t>
            </w:r>
          </w:p>
        </w:tc>
      </w:tr>
      <w:tr>
        <w:trPr>
          <w:trHeight w:val="215"/>
        </w:trPr>
        <w:tc>
          <w:tcPr>
            <w:tcW w:w="7420" w:type="dxa"/>
            <w:vAlign w:val="bottom"/>
          </w:tcPr>
          <w:p>
            <w:pPr>
              <w:ind w:left="120"/>
              <w:spacing w:after="0"/>
              <w:rPr>
                <w:sz w:val="20"/>
                <w:szCs w:val="20"/>
                <w:color w:val="auto"/>
              </w:rPr>
            </w:pPr>
            <w:r>
              <w:rPr>
                <w:rFonts w:ascii="Arial" w:cs="Arial" w:eastAsia="Arial" w:hAnsi="Arial"/>
                <w:sz w:val="16"/>
                <w:szCs w:val="16"/>
                <w:color w:val="auto"/>
              </w:rPr>
              <w:t>50 Hudson Yards</w:t>
            </w:r>
          </w:p>
        </w:tc>
        <w:tc>
          <w:tcPr>
            <w:tcW w:w="20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52"/>
        </w:trPr>
        <w:tc>
          <w:tcPr>
            <w:tcW w:w="7420" w:type="dxa"/>
            <w:vAlign w:val="bottom"/>
            <w:tcBorders>
              <w:bottom w:val="single" w:sz="8" w:color="003595"/>
            </w:tcBorders>
          </w:tcPr>
          <w:p>
            <w:pPr>
              <w:ind w:left="120"/>
              <w:spacing w:after="0"/>
              <w:rPr>
                <w:sz w:val="20"/>
                <w:szCs w:val="20"/>
                <w:color w:val="auto"/>
              </w:rPr>
            </w:pPr>
            <w:r>
              <w:rPr>
                <w:rFonts w:ascii="Arial" w:cs="Arial" w:eastAsia="Arial" w:hAnsi="Arial"/>
                <w:sz w:val="16"/>
                <w:szCs w:val="16"/>
                <w:color w:val="auto"/>
              </w:rPr>
              <w:t>New York, NY 10001</w:t>
            </w:r>
          </w:p>
        </w:tc>
        <w:tc>
          <w:tcPr>
            <w:tcW w:w="2060" w:type="dxa"/>
            <w:vAlign w:val="bottom"/>
            <w:tcBorders>
              <w:bottom w:val="single" w:sz="8" w:color="003595"/>
            </w:tcBorders>
          </w:tcPr>
          <w:p>
            <w:pPr>
              <w:spacing w:after="0"/>
              <w:rPr>
                <w:sz w:val="21"/>
                <w:szCs w:val="21"/>
                <w:color w:val="auto"/>
              </w:rPr>
            </w:pPr>
          </w:p>
        </w:tc>
        <w:tc>
          <w:tcPr>
            <w:tcW w:w="1760" w:type="dxa"/>
            <w:vAlign w:val="bottom"/>
            <w:tcBorders>
              <w:bottom w:val="single" w:sz="8" w:color="003595"/>
            </w:tcBorders>
          </w:tcPr>
          <w:p>
            <w:pPr>
              <w:spacing w:after="0"/>
              <w:rPr>
                <w:sz w:val="21"/>
                <w:szCs w:val="21"/>
                <w:color w:val="auto"/>
              </w:rPr>
            </w:pPr>
          </w:p>
        </w:tc>
      </w:tr>
      <w:tr>
        <w:trPr>
          <w:trHeight w:val="256"/>
        </w:trPr>
        <w:tc>
          <w:tcPr>
            <w:tcW w:w="7420" w:type="dxa"/>
            <w:vAlign w:val="bottom"/>
          </w:tcPr>
          <w:p>
            <w:pPr>
              <w:ind w:left="20"/>
              <w:spacing w:after="0"/>
              <w:rPr>
                <w:sz w:val="20"/>
                <w:szCs w:val="20"/>
                <w:color w:val="auto"/>
              </w:rPr>
            </w:pPr>
            <w:r>
              <w:rPr>
                <w:rFonts w:ascii="Arial" w:cs="Arial" w:eastAsia="Arial" w:hAnsi="Arial"/>
                <w:sz w:val="16"/>
                <w:szCs w:val="16"/>
                <w:color w:val="auto"/>
              </w:rPr>
              <w:t xml:space="preserve">The Vanguard Group </w:t>
            </w:r>
            <w:r>
              <w:rPr>
                <w:rFonts w:ascii="Arial" w:cs="Arial" w:eastAsia="Arial" w:hAnsi="Arial"/>
                <w:sz w:val="21"/>
                <w:szCs w:val="21"/>
                <w:color w:val="auto"/>
                <w:vertAlign w:val="superscript"/>
              </w:rPr>
              <w:t>(2)</w:t>
            </w:r>
          </w:p>
        </w:tc>
        <w:tc>
          <w:tcPr>
            <w:tcW w:w="2060" w:type="dxa"/>
            <w:vAlign w:val="bottom"/>
          </w:tcPr>
          <w:p>
            <w:pPr>
              <w:jc w:val="center"/>
              <w:ind w:left="19"/>
              <w:spacing w:after="0"/>
              <w:rPr>
                <w:sz w:val="20"/>
                <w:szCs w:val="20"/>
                <w:color w:val="auto"/>
              </w:rPr>
            </w:pPr>
            <w:r>
              <w:rPr>
                <w:rFonts w:ascii="Arial" w:cs="Arial" w:eastAsia="Arial" w:hAnsi="Arial"/>
                <w:sz w:val="16"/>
                <w:szCs w:val="16"/>
                <w:color w:val="auto"/>
              </w:rPr>
              <w:t>7,882,515</w:t>
            </w:r>
          </w:p>
        </w:tc>
        <w:tc>
          <w:tcPr>
            <w:tcW w:w="1760" w:type="dxa"/>
            <w:vAlign w:val="bottom"/>
          </w:tcPr>
          <w:p>
            <w:pPr>
              <w:jc w:val="center"/>
              <w:spacing w:after="0"/>
              <w:rPr>
                <w:sz w:val="20"/>
                <w:szCs w:val="20"/>
                <w:color w:val="auto"/>
              </w:rPr>
            </w:pPr>
            <w:r>
              <w:rPr>
                <w:rFonts w:ascii="Arial" w:cs="Arial" w:eastAsia="Arial" w:hAnsi="Arial"/>
                <w:sz w:val="16"/>
                <w:szCs w:val="16"/>
                <w:color w:val="auto"/>
                <w:w w:val="98"/>
              </w:rPr>
              <w:t>8.3%</w:t>
            </w:r>
          </w:p>
        </w:tc>
      </w:tr>
      <w:tr>
        <w:trPr>
          <w:trHeight w:val="215"/>
        </w:trPr>
        <w:tc>
          <w:tcPr>
            <w:tcW w:w="7420" w:type="dxa"/>
            <w:vAlign w:val="bottom"/>
          </w:tcPr>
          <w:p>
            <w:pPr>
              <w:ind w:left="120"/>
              <w:spacing w:after="0"/>
              <w:rPr>
                <w:sz w:val="20"/>
                <w:szCs w:val="20"/>
                <w:color w:val="auto"/>
              </w:rPr>
            </w:pPr>
            <w:r>
              <w:rPr>
                <w:rFonts w:ascii="Arial" w:cs="Arial" w:eastAsia="Arial" w:hAnsi="Arial"/>
                <w:sz w:val="16"/>
                <w:szCs w:val="16"/>
                <w:color w:val="auto"/>
              </w:rPr>
              <w:t>100 Vanguard Blvd.</w:t>
            </w:r>
          </w:p>
        </w:tc>
        <w:tc>
          <w:tcPr>
            <w:tcW w:w="20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52"/>
        </w:trPr>
        <w:tc>
          <w:tcPr>
            <w:tcW w:w="7420" w:type="dxa"/>
            <w:vAlign w:val="bottom"/>
            <w:tcBorders>
              <w:bottom w:val="single" w:sz="8" w:color="003595"/>
            </w:tcBorders>
          </w:tcPr>
          <w:p>
            <w:pPr>
              <w:ind w:left="120"/>
              <w:spacing w:after="0"/>
              <w:rPr>
                <w:sz w:val="20"/>
                <w:szCs w:val="20"/>
                <w:color w:val="auto"/>
              </w:rPr>
            </w:pPr>
            <w:r>
              <w:rPr>
                <w:rFonts w:ascii="Arial" w:cs="Arial" w:eastAsia="Arial" w:hAnsi="Arial"/>
                <w:sz w:val="16"/>
                <w:szCs w:val="16"/>
                <w:color w:val="auto"/>
              </w:rPr>
              <w:t>Malvern, PA 19355</w:t>
            </w:r>
          </w:p>
        </w:tc>
        <w:tc>
          <w:tcPr>
            <w:tcW w:w="2060" w:type="dxa"/>
            <w:vAlign w:val="bottom"/>
            <w:tcBorders>
              <w:bottom w:val="single" w:sz="8" w:color="003595"/>
            </w:tcBorders>
          </w:tcPr>
          <w:p>
            <w:pPr>
              <w:spacing w:after="0"/>
              <w:rPr>
                <w:sz w:val="21"/>
                <w:szCs w:val="21"/>
                <w:color w:val="auto"/>
              </w:rPr>
            </w:pPr>
          </w:p>
        </w:tc>
        <w:tc>
          <w:tcPr>
            <w:tcW w:w="1760" w:type="dxa"/>
            <w:vAlign w:val="bottom"/>
            <w:tcBorders>
              <w:bottom w:val="single" w:sz="8" w:color="003595"/>
            </w:tcBorders>
          </w:tcPr>
          <w:p>
            <w:pPr>
              <w:spacing w:after="0"/>
              <w:rPr>
                <w:sz w:val="21"/>
                <w:szCs w:val="21"/>
                <w:color w:val="auto"/>
              </w:rPr>
            </w:pPr>
          </w:p>
        </w:tc>
      </w:tr>
      <w:tr>
        <w:trPr>
          <w:trHeight w:val="256"/>
        </w:trPr>
        <w:tc>
          <w:tcPr>
            <w:tcW w:w="7420" w:type="dxa"/>
            <w:vAlign w:val="bottom"/>
          </w:tcPr>
          <w:p>
            <w:pPr>
              <w:ind w:left="20"/>
              <w:spacing w:after="0"/>
              <w:rPr>
                <w:sz w:val="20"/>
                <w:szCs w:val="20"/>
                <w:color w:val="auto"/>
              </w:rPr>
            </w:pPr>
            <w:r>
              <w:rPr>
                <w:rFonts w:ascii="Arial" w:cs="Arial" w:eastAsia="Arial" w:hAnsi="Arial"/>
                <w:sz w:val="16"/>
                <w:szCs w:val="16"/>
                <w:color w:val="auto"/>
              </w:rPr>
              <w:t xml:space="preserve">Millennium Management LLC </w:t>
            </w:r>
            <w:r>
              <w:rPr>
                <w:rFonts w:ascii="Arial" w:cs="Arial" w:eastAsia="Arial" w:hAnsi="Arial"/>
                <w:sz w:val="21"/>
                <w:szCs w:val="21"/>
                <w:color w:val="auto"/>
                <w:vertAlign w:val="superscript"/>
              </w:rPr>
              <w:t>(3)</w:t>
            </w:r>
          </w:p>
        </w:tc>
        <w:tc>
          <w:tcPr>
            <w:tcW w:w="2060" w:type="dxa"/>
            <w:vAlign w:val="bottom"/>
          </w:tcPr>
          <w:p>
            <w:pPr>
              <w:jc w:val="center"/>
              <w:ind w:left="19"/>
              <w:spacing w:after="0"/>
              <w:rPr>
                <w:sz w:val="20"/>
                <w:szCs w:val="20"/>
                <w:color w:val="auto"/>
              </w:rPr>
            </w:pPr>
            <w:r>
              <w:rPr>
                <w:rFonts w:ascii="Arial" w:cs="Arial" w:eastAsia="Arial" w:hAnsi="Arial"/>
                <w:sz w:val="16"/>
                <w:szCs w:val="16"/>
                <w:color w:val="auto"/>
              </w:rPr>
              <w:t>6,700,158</w:t>
            </w:r>
          </w:p>
        </w:tc>
        <w:tc>
          <w:tcPr>
            <w:tcW w:w="1760" w:type="dxa"/>
            <w:vAlign w:val="bottom"/>
          </w:tcPr>
          <w:p>
            <w:pPr>
              <w:jc w:val="center"/>
              <w:spacing w:after="0"/>
              <w:rPr>
                <w:sz w:val="20"/>
                <w:szCs w:val="20"/>
                <w:color w:val="auto"/>
              </w:rPr>
            </w:pPr>
            <w:r>
              <w:rPr>
                <w:rFonts w:ascii="Arial" w:cs="Arial" w:eastAsia="Arial" w:hAnsi="Arial"/>
                <w:sz w:val="16"/>
                <w:szCs w:val="16"/>
                <w:color w:val="auto"/>
                <w:w w:val="98"/>
              </w:rPr>
              <w:t>7.1%</w:t>
            </w:r>
          </w:p>
        </w:tc>
      </w:tr>
      <w:tr>
        <w:trPr>
          <w:trHeight w:val="215"/>
        </w:trPr>
        <w:tc>
          <w:tcPr>
            <w:tcW w:w="7420" w:type="dxa"/>
            <w:vAlign w:val="bottom"/>
          </w:tcPr>
          <w:p>
            <w:pPr>
              <w:ind w:left="80"/>
              <w:spacing w:after="0"/>
              <w:rPr>
                <w:sz w:val="20"/>
                <w:szCs w:val="20"/>
                <w:color w:val="auto"/>
              </w:rPr>
            </w:pPr>
            <w:r>
              <w:rPr>
                <w:rFonts w:ascii="Arial" w:cs="Arial" w:eastAsia="Arial" w:hAnsi="Arial"/>
                <w:sz w:val="16"/>
                <w:szCs w:val="16"/>
                <w:color w:val="auto"/>
              </w:rPr>
              <w:t>399 Park Avenue</w:t>
            </w:r>
          </w:p>
        </w:tc>
        <w:tc>
          <w:tcPr>
            <w:tcW w:w="20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52"/>
        </w:trPr>
        <w:tc>
          <w:tcPr>
            <w:tcW w:w="7420" w:type="dxa"/>
            <w:vAlign w:val="bottom"/>
            <w:tcBorders>
              <w:bottom w:val="single" w:sz="8" w:color="003595"/>
            </w:tcBorders>
          </w:tcPr>
          <w:p>
            <w:pPr>
              <w:ind w:left="120"/>
              <w:spacing w:after="0"/>
              <w:rPr>
                <w:sz w:val="20"/>
                <w:szCs w:val="20"/>
                <w:color w:val="auto"/>
              </w:rPr>
            </w:pPr>
            <w:r>
              <w:rPr>
                <w:rFonts w:ascii="Arial" w:cs="Arial" w:eastAsia="Arial" w:hAnsi="Arial"/>
                <w:sz w:val="16"/>
                <w:szCs w:val="16"/>
                <w:color w:val="auto"/>
              </w:rPr>
              <w:t>New York, NY 10022</w:t>
            </w:r>
          </w:p>
        </w:tc>
        <w:tc>
          <w:tcPr>
            <w:tcW w:w="2060" w:type="dxa"/>
            <w:vAlign w:val="bottom"/>
            <w:tcBorders>
              <w:bottom w:val="single" w:sz="8" w:color="003595"/>
            </w:tcBorders>
          </w:tcPr>
          <w:p>
            <w:pPr>
              <w:spacing w:after="0"/>
              <w:rPr>
                <w:sz w:val="21"/>
                <w:szCs w:val="21"/>
                <w:color w:val="auto"/>
              </w:rPr>
            </w:pPr>
          </w:p>
        </w:tc>
        <w:tc>
          <w:tcPr>
            <w:tcW w:w="1760" w:type="dxa"/>
            <w:vAlign w:val="bottom"/>
            <w:tcBorders>
              <w:bottom w:val="single" w:sz="8" w:color="003595"/>
            </w:tcBorders>
          </w:tcPr>
          <w:p>
            <w:pPr>
              <w:spacing w:after="0"/>
              <w:rPr>
                <w:sz w:val="21"/>
                <w:szCs w:val="21"/>
                <w:color w:val="auto"/>
              </w:rPr>
            </w:pPr>
          </w:p>
        </w:tc>
      </w:tr>
      <w:tr>
        <w:trPr>
          <w:trHeight w:val="256"/>
        </w:trPr>
        <w:tc>
          <w:tcPr>
            <w:tcW w:w="7420" w:type="dxa"/>
            <w:vAlign w:val="bottom"/>
          </w:tcPr>
          <w:p>
            <w:pPr>
              <w:ind w:left="20"/>
              <w:spacing w:after="0"/>
              <w:rPr>
                <w:sz w:val="20"/>
                <w:szCs w:val="20"/>
                <w:color w:val="auto"/>
              </w:rPr>
            </w:pPr>
            <w:r>
              <w:rPr>
                <w:rFonts w:ascii="Arial" w:cs="Arial" w:eastAsia="Arial" w:hAnsi="Arial"/>
                <w:sz w:val="16"/>
                <w:szCs w:val="16"/>
                <w:color w:val="auto"/>
              </w:rPr>
              <w:t xml:space="preserve">State Street Corporation </w:t>
            </w:r>
            <w:r>
              <w:rPr>
                <w:rFonts w:ascii="Arial" w:cs="Arial" w:eastAsia="Arial" w:hAnsi="Arial"/>
                <w:sz w:val="21"/>
                <w:szCs w:val="21"/>
                <w:color w:val="auto"/>
                <w:vertAlign w:val="superscript"/>
              </w:rPr>
              <w:t>(4)</w:t>
            </w:r>
          </w:p>
        </w:tc>
        <w:tc>
          <w:tcPr>
            <w:tcW w:w="2060" w:type="dxa"/>
            <w:vAlign w:val="bottom"/>
          </w:tcPr>
          <w:p>
            <w:pPr>
              <w:jc w:val="center"/>
              <w:ind w:left="19"/>
              <w:spacing w:after="0"/>
              <w:rPr>
                <w:sz w:val="20"/>
                <w:szCs w:val="20"/>
                <w:color w:val="auto"/>
              </w:rPr>
            </w:pPr>
            <w:r>
              <w:rPr>
                <w:rFonts w:ascii="Arial" w:cs="Arial" w:eastAsia="Arial" w:hAnsi="Arial"/>
                <w:sz w:val="16"/>
                <w:szCs w:val="16"/>
                <w:color w:val="auto"/>
              </w:rPr>
              <w:t>5,966,567</w:t>
            </w:r>
          </w:p>
        </w:tc>
        <w:tc>
          <w:tcPr>
            <w:tcW w:w="1760" w:type="dxa"/>
            <w:vAlign w:val="bottom"/>
          </w:tcPr>
          <w:p>
            <w:pPr>
              <w:jc w:val="center"/>
              <w:spacing w:after="0"/>
              <w:rPr>
                <w:sz w:val="20"/>
                <w:szCs w:val="20"/>
                <w:color w:val="auto"/>
              </w:rPr>
            </w:pPr>
            <w:r>
              <w:rPr>
                <w:rFonts w:ascii="Arial" w:cs="Arial" w:eastAsia="Arial" w:hAnsi="Arial"/>
                <w:sz w:val="16"/>
                <w:szCs w:val="16"/>
                <w:color w:val="auto"/>
                <w:w w:val="98"/>
              </w:rPr>
              <w:t>6.3%</w:t>
            </w:r>
          </w:p>
        </w:tc>
      </w:tr>
      <w:tr>
        <w:trPr>
          <w:trHeight w:val="215"/>
        </w:trPr>
        <w:tc>
          <w:tcPr>
            <w:tcW w:w="7420" w:type="dxa"/>
            <w:vAlign w:val="bottom"/>
          </w:tcPr>
          <w:p>
            <w:pPr>
              <w:ind w:left="120"/>
              <w:spacing w:after="0"/>
              <w:rPr>
                <w:sz w:val="20"/>
                <w:szCs w:val="20"/>
                <w:color w:val="auto"/>
              </w:rPr>
            </w:pPr>
            <w:r>
              <w:rPr>
                <w:rFonts w:ascii="Arial" w:cs="Arial" w:eastAsia="Arial" w:hAnsi="Arial"/>
                <w:sz w:val="16"/>
                <w:szCs w:val="16"/>
                <w:color w:val="auto"/>
              </w:rPr>
              <w:t>One Congress Suite, 1</w:t>
            </w:r>
          </w:p>
        </w:tc>
        <w:tc>
          <w:tcPr>
            <w:tcW w:w="20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52"/>
        </w:trPr>
        <w:tc>
          <w:tcPr>
            <w:tcW w:w="7420" w:type="dxa"/>
            <w:vAlign w:val="bottom"/>
            <w:tcBorders>
              <w:bottom w:val="single" w:sz="8" w:color="003595"/>
            </w:tcBorders>
          </w:tcPr>
          <w:p>
            <w:pPr>
              <w:ind w:left="120"/>
              <w:spacing w:after="0"/>
              <w:rPr>
                <w:sz w:val="20"/>
                <w:szCs w:val="20"/>
                <w:color w:val="auto"/>
              </w:rPr>
            </w:pPr>
            <w:r>
              <w:rPr>
                <w:rFonts w:ascii="Arial" w:cs="Arial" w:eastAsia="Arial" w:hAnsi="Arial"/>
                <w:sz w:val="16"/>
                <w:szCs w:val="16"/>
                <w:color w:val="auto"/>
              </w:rPr>
              <w:t>Boston, MA 02114</w:t>
            </w:r>
          </w:p>
        </w:tc>
        <w:tc>
          <w:tcPr>
            <w:tcW w:w="2060" w:type="dxa"/>
            <w:vAlign w:val="bottom"/>
            <w:tcBorders>
              <w:bottom w:val="single" w:sz="8" w:color="003595"/>
            </w:tcBorders>
          </w:tcPr>
          <w:p>
            <w:pPr>
              <w:spacing w:after="0"/>
              <w:rPr>
                <w:sz w:val="21"/>
                <w:szCs w:val="21"/>
                <w:color w:val="auto"/>
              </w:rPr>
            </w:pPr>
          </w:p>
        </w:tc>
        <w:tc>
          <w:tcPr>
            <w:tcW w:w="1760" w:type="dxa"/>
            <w:vAlign w:val="bottom"/>
            <w:tcBorders>
              <w:bottom w:val="single" w:sz="8" w:color="003595"/>
            </w:tcBorders>
          </w:tcPr>
          <w:p>
            <w:pPr>
              <w:spacing w:after="0"/>
              <w:rPr>
                <w:sz w:val="21"/>
                <w:szCs w:val="21"/>
                <w:color w:val="auto"/>
              </w:rPr>
            </w:pPr>
          </w:p>
        </w:tc>
      </w:tr>
      <w:tr>
        <w:trPr>
          <w:trHeight w:val="256"/>
        </w:trPr>
        <w:tc>
          <w:tcPr>
            <w:tcW w:w="7420" w:type="dxa"/>
            <w:vAlign w:val="bottom"/>
          </w:tcPr>
          <w:p>
            <w:pPr>
              <w:ind w:left="20"/>
              <w:spacing w:after="0"/>
              <w:rPr>
                <w:sz w:val="20"/>
                <w:szCs w:val="20"/>
                <w:color w:val="auto"/>
              </w:rPr>
            </w:pPr>
            <w:r>
              <w:rPr>
                <w:rFonts w:ascii="Arial" w:cs="Arial" w:eastAsia="Arial" w:hAnsi="Arial"/>
                <w:sz w:val="16"/>
                <w:szCs w:val="16"/>
                <w:color w:val="auto"/>
              </w:rPr>
              <w:t xml:space="preserve">Glenview Capital Management </w:t>
            </w:r>
            <w:r>
              <w:rPr>
                <w:rFonts w:ascii="Arial" w:cs="Arial" w:eastAsia="Arial" w:hAnsi="Arial"/>
                <w:sz w:val="21"/>
                <w:szCs w:val="21"/>
                <w:color w:val="auto"/>
                <w:vertAlign w:val="superscript"/>
              </w:rPr>
              <w:t>(5)</w:t>
            </w:r>
          </w:p>
        </w:tc>
        <w:tc>
          <w:tcPr>
            <w:tcW w:w="2060" w:type="dxa"/>
            <w:vAlign w:val="bottom"/>
          </w:tcPr>
          <w:p>
            <w:pPr>
              <w:jc w:val="center"/>
              <w:ind w:left="19"/>
              <w:spacing w:after="0"/>
              <w:rPr>
                <w:sz w:val="20"/>
                <w:szCs w:val="20"/>
                <w:color w:val="auto"/>
              </w:rPr>
            </w:pPr>
            <w:r>
              <w:rPr>
                <w:rFonts w:ascii="Arial" w:cs="Arial" w:eastAsia="Arial" w:hAnsi="Arial"/>
                <w:sz w:val="16"/>
                <w:szCs w:val="16"/>
                <w:color w:val="auto"/>
              </w:rPr>
              <w:t>4,941,058</w:t>
            </w:r>
          </w:p>
        </w:tc>
        <w:tc>
          <w:tcPr>
            <w:tcW w:w="1760" w:type="dxa"/>
            <w:vAlign w:val="bottom"/>
          </w:tcPr>
          <w:p>
            <w:pPr>
              <w:jc w:val="center"/>
              <w:spacing w:after="0"/>
              <w:rPr>
                <w:sz w:val="20"/>
                <w:szCs w:val="20"/>
                <w:color w:val="auto"/>
              </w:rPr>
            </w:pPr>
            <w:r>
              <w:rPr>
                <w:rFonts w:ascii="Arial" w:cs="Arial" w:eastAsia="Arial" w:hAnsi="Arial"/>
                <w:sz w:val="16"/>
                <w:szCs w:val="16"/>
                <w:color w:val="auto"/>
                <w:w w:val="98"/>
              </w:rPr>
              <w:t>5.2%</w:t>
            </w:r>
          </w:p>
        </w:tc>
      </w:tr>
      <w:tr>
        <w:trPr>
          <w:trHeight w:val="215"/>
        </w:trPr>
        <w:tc>
          <w:tcPr>
            <w:tcW w:w="7420" w:type="dxa"/>
            <w:vAlign w:val="bottom"/>
          </w:tcPr>
          <w:p>
            <w:pPr>
              <w:ind w:left="80"/>
              <w:spacing w:after="0"/>
              <w:rPr>
                <w:sz w:val="20"/>
                <w:szCs w:val="20"/>
                <w:color w:val="auto"/>
              </w:rPr>
            </w:pPr>
            <w:r>
              <w:rPr>
                <w:rFonts w:ascii="Arial" w:cs="Arial" w:eastAsia="Arial" w:hAnsi="Arial"/>
                <w:sz w:val="16"/>
                <w:szCs w:val="16"/>
                <w:color w:val="auto"/>
              </w:rPr>
              <w:t>520 Madison Ave, 33rd Floor</w:t>
            </w:r>
          </w:p>
        </w:tc>
        <w:tc>
          <w:tcPr>
            <w:tcW w:w="20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52"/>
        </w:trPr>
        <w:tc>
          <w:tcPr>
            <w:tcW w:w="7420" w:type="dxa"/>
            <w:vAlign w:val="bottom"/>
            <w:tcBorders>
              <w:bottom w:val="single" w:sz="8" w:color="0A2299"/>
            </w:tcBorders>
          </w:tcPr>
          <w:p>
            <w:pPr>
              <w:ind w:left="120"/>
              <w:spacing w:after="0"/>
              <w:rPr>
                <w:sz w:val="20"/>
                <w:szCs w:val="20"/>
                <w:color w:val="auto"/>
              </w:rPr>
            </w:pPr>
            <w:r>
              <w:rPr>
                <w:rFonts w:ascii="Arial" w:cs="Arial" w:eastAsia="Arial" w:hAnsi="Arial"/>
                <w:sz w:val="16"/>
                <w:szCs w:val="16"/>
                <w:color w:val="auto"/>
              </w:rPr>
              <w:t>New York, NY 10022</w:t>
            </w:r>
          </w:p>
        </w:tc>
        <w:tc>
          <w:tcPr>
            <w:tcW w:w="2060" w:type="dxa"/>
            <w:vAlign w:val="bottom"/>
            <w:tcBorders>
              <w:bottom w:val="single" w:sz="8" w:color="0A2299"/>
            </w:tcBorders>
          </w:tcPr>
          <w:p>
            <w:pPr>
              <w:spacing w:after="0"/>
              <w:rPr>
                <w:sz w:val="21"/>
                <w:szCs w:val="21"/>
                <w:color w:val="auto"/>
              </w:rPr>
            </w:pPr>
          </w:p>
        </w:tc>
        <w:tc>
          <w:tcPr>
            <w:tcW w:w="1760" w:type="dxa"/>
            <w:vAlign w:val="bottom"/>
            <w:tcBorders>
              <w:bottom w:val="single" w:sz="8" w:color="0A2299"/>
            </w:tcBorders>
          </w:tcPr>
          <w:p>
            <w:pPr>
              <w:spacing w:after="0"/>
              <w:rPr>
                <w:sz w:val="21"/>
                <w:szCs w:val="21"/>
                <w:color w:val="auto"/>
              </w:rPr>
            </w:pPr>
          </w:p>
        </w:tc>
      </w:tr>
      <w:tr>
        <w:trPr>
          <w:trHeight w:val="243"/>
        </w:trPr>
        <w:tc>
          <w:tcPr>
            <w:tcW w:w="7420" w:type="dxa"/>
            <w:vAlign w:val="bottom"/>
            <w:shd w:val="clear" w:color="auto" w:fill="003595"/>
          </w:tcPr>
          <w:p>
            <w:pPr>
              <w:ind w:left="20"/>
              <w:spacing w:after="0"/>
              <w:rPr>
                <w:sz w:val="20"/>
                <w:szCs w:val="20"/>
                <w:color w:val="auto"/>
              </w:rPr>
            </w:pPr>
            <w:r>
              <w:rPr>
                <w:rFonts w:ascii="Arial" w:cs="Arial" w:eastAsia="Arial" w:hAnsi="Arial"/>
                <w:sz w:val="16"/>
                <w:szCs w:val="16"/>
                <w:b w:val="1"/>
                <w:bCs w:val="1"/>
                <w:color w:val="FFFFFF"/>
              </w:rPr>
              <w:t>Named Executive Officers</w:t>
            </w:r>
          </w:p>
        </w:tc>
        <w:tc>
          <w:tcPr>
            <w:tcW w:w="2060" w:type="dxa"/>
            <w:vAlign w:val="bottom"/>
            <w:shd w:val="clear" w:color="auto" w:fill="003595"/>
          </w:tcPr>
          <w:p>
            <w:pPr>
              <w:spacing w:after="0"/>
              <w:rPr>
                <w:sz w:val="21"/>
                <w:szCs w:val="21"/>
                <w:color w:val="auto"/>
              </w:rPr>
            </w:pPr>
          </w:p>
        </w:tc>
        <w:tc>
          <w:tcPr>
            <w:tcW w:w="1760" w:type="dxa"/>
            <w:vAlign w:val="bottom"/>
            <w:shd w:val="clear" w:color="auto" w:fill="003595"/>
          </w:tcPr>
          <w:p>
            <w:pPr>
              <w:spacing w:after="0"/>
              <w:rPr>
                <w:sz w:val="21"/>
                <w:szCs w:val="21"/>
                <w:color w:val="auto"/>
              </w:rPr>
            </w:pPr>
          </w:p>
        </w:tc>
      </w:tr>
      <w:tr>
        <w:trPr>
          <w:trHeight w:val="237"/>
        </w:trPr>
        <w:tc>
          <w:tcPr>
            <w:tcW w:w="742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Samraat S. Raha</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161,976</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6"/>
        </w:trPr>
        <w:tc>
          <w:tcPr>
            <w:tcW w:w="742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Benjamin R. Wheeler</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21,324</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43"/>
        </w:trPr>
        <w:tc>
          <w:tcPr>
            <w:tcW w:w="742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 xml:space="preserve">Mark S. Verratti </w:t>
            </w:r>
            <w:r>
              <w:rPr>
                <w:rFonts w:ascii="Arial" w:cs="Arial" w:eastAsia="Arial" w:hAnsi="Arial"/>
                <w:sz w:val="21"/>
                <w:szCs w:val="21"/>
                <w:color w:val="auto"/>
                <w:vertAlign w:val="superscript"/>
              </w:rPr>
              <w:t>(6)</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297,598</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7"/>
        </w:trPr>
        <w:tc>
          <w:tcPr>
            <w:tcW w:w="742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Brian J. Donnelly </w:t>
            </w:r>
            <w:r>
              <w:rPr>
                <w:rFonts w:ascii="Arial" w:cs="Arial" w:eastAsia="Arial" w:hAnsi="Arial"/>
                <w:sz w:val="21"/>
                <w:szCs w:val="21"/>
                <w:color w:val="auto"/>
                <w:vertAlign w:val="superscript"/>
              </w:rPr>
              <w:t>(7)</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110,020</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6"/>
        </w:trPr>
        <w:tc>
          <w:tcPr>
            <w:tcW w:w="742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Dale Muzzey, Ph.D. </w:t>
            </w:r>
            <w:r>
              <w:rPr>
                <w:rFonts w:ascii="Arial" w:cs="Arial" w:eastAsia="Arial" w:hAnsi="Arial"/>
                <w:sz w:val="21"/>
                <w:szCs w:val="21"/>
                <w:color w:val="auto"/>
                <w:vertAlign w:val="superscript"/>
              </w:rPr>
              <w:t>(8)</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87,129</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7"/>
        </w:trPr>
        <w:tc>
          <w:tcPr>
            <w:tcW w:w="742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Paul J. Diaz </w:t>
            </w:r>
            <w:r>
              <w:rPr>
                <w:rFonts w:ascii="Arial" w:cs="Arial" w:eastAsia="Arial" w:hAnsi="Arial"/>
                <w:sz w:val="21"/>
                <w:szCs w:val="21"/>
                <w:color w:val="auto"/>
                <w:vertAlign w:val="superscript"/>
              </w:rPr>
              <w:t>(9)</w:t>
            </w:r>
          </w:p>
        </w:tc>
        <w:tc>
          <w:tcPr>
            <w:tcW w:w="20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rPr>
              <w:t>1,356,032</w:t>
            </w:r>
          </w:p>
        </w:tc>
        <w:tc>
          <w:tcPr>
            <w:tcW w:w="17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8"/>
              </w:rPr>
              <w:t>1.4%</w:t>
            </w:r>
          </w:p>
        </w:tc>
      </w:tr>
      <w:tr>
        <w:trPr>
          <w:trHeight w:val="237"/>
        </w:trPr>
        <w:tc>
          <w:tcPr>
            <w:tcW w:w="742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Scott J. Leffler </w:t>
            </w:r>
            <w:r>
              <w:rPr>
                <w:rFonts w:ascii="Arial" w:cs="Arial" w:eastAsia="Arial" w:hAnsi="Arial"/>
                <w:sz w:val="21"/>
                <w:szCs w:val="21"/>
                <w:color w:val="auto"/>
                <w:vertAlign w:val="superscript"/>
              </w:rPr>
              <w:t>(10)</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126,513</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6"/>
        </w:trPr>
        <w:tc>
          <w:tcPr>
            <w:tcW w:w="742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Margaret Ancona </w:t>
            </w:r>
            <w:r>
              <w:rPr>
                <w:rFonts w:ascii="Arial" w:cs="Arial" w:eastAsia="Arial" w:hAnsi="Arial"/>
                <w:sz w:val="21"/>
                <w:szCs w:val="21"/>
                <w:color w:val="auto"/>
                <w:vertAlign w:val="superscript"/>
              </w:rPr>
              <w:t>(11)</w:t>
            </w:r>
          </w:p>
        </w:tc>
        <w:tc>
          <w:tcPr>
            <w:tcW w:w="2060" w:type="dxa"/>
            <w:vAlign w:val="bottom"/>
          </w:tcPr>
          <w:p>
            <w:pPr>
              <w:jc w:val="center"/>
              <w:spacing w:after="0"/>
              <w:rPr>
                <w:sz w:val="20"/>
                <w:szCs w:val="20"/>
                <w:color w:val="auto"/>
              </w:rPr>
            </w:pPr>
            <w:r>
              <w:rPr>
                <w:rFonts w:ascii="Arial" w:cs="Arial" w:eastAsia="Arial" w:hAnsi="Arial"/>
                <w:sz w:val="16"/>
                <w:szCs w:val="16"/>
                <w:color w:val="auto"/>
              </w:rPr>
              <w:t>93,716</w:t>
            </w:r>
          </w:p>
        </w:tc>
        <w:tc>
          <w:tcPr>
            <w:tcW w:w="1760" w:type="dxa"/>
            <w:vAlign w:val="bottom"/>
          </w:tcPr>
          <w:p>
            <w:pPr>
              <w:jc w:val="center"/>
              <w:ind w:left="19"/>
              <w:spacing w:after="0"/>
              <w:rPr>
                <w:sz w:val="20"/>
                <w:szCs w:val="20"/>
                <w:color w:val="auto"/>
              </w:rPr>
            </w:pPr>
            <w:r>
              <w:rPr>
                <w:rFonts w:ascii="Arial" w:cs="Arial" w:eastAsia="Arial" w:hAnsi="Arial"/>
                <w:sz w:val="16"/>
                <w:szCs w:val="16"/>
                <w:color w:val="auto"/>
                <w:w w:val="95"/>
              </w:rPr>
              <w:t>*</w:t>
            </w:r>
          </w:p>
        </w:tc>
      </w:tr>
      <w:tr>
        <w:trPr>
          <w:trHeight w:val="237"/>
        </w:trPr>
        <w:tc>
          <w:tcPr>
            <w:tcW w:w="7420" w:type="dxa"/>
            <w:vAlign w:val="bottom"/>
            <w:tcBorders>
              <w:bottom w:val="single" w:sz="8" w:color="003595"/>
            </w:tcBorders>
            <w:shd w:val="clear" w:color="auto" w:fill="003595"/>
          </w:tcPr>
          <w:p>
            <w:pPr>
              <w:ind w:left="20"/>
              <w:spacing w:after="0"/>
              <w:rPr>
                <w:sz w:val="20"/>
                <w:szCs w:val="20"/>
                <w:color w:val="auto"/>
              </w:rPr>
            </w:pPr>
            <w:r>
              <w:rPr>
                <w:rFonts w:ascii="Arial" w:cs="Arial" w:eastAsia="Arial" w:hAnsi="Arial"/>
                <w:sz w:val="16"/>
                <w:szCs w:val="16"/>
                <w:b w:val="1"/>
                <w:bCs w:val="1"/>
                <w:color w:val="FFFFFF"/>
              </w:rPr>
              <w:t>Directors and Director Nominees</w:t>
            </w:r>
          </w:p>
        </w:tc>
        <w:tc>
          <w:tcPr>
            <w:tcW w:w="2060" w:type="dxa"/>
            <w:vAlign w:val="bottom"/>
            <w:tcBorders>
              <w:bottom w:val="single" w:sz="8" w:color="003595"/>
            </w:tcBorders>
            <w:shd w:val="clear" w:color="auto" w:fill="003595"/>
          </w:tcPr>
          <w:p>
            <w:pPr>
              <w:spacing w:after="0"/>
              <w:rPr>
                <w:sz w:val="20"/>
                <w:szCs w:val="20"/>
                <w:color w:val="auto"/>
              </w:rPr>
            </w:pPr>
          </w:p>
        </w:tc>
        <w:tc>
          <w:tcPr>
            <w:tcW w:w="1760" w:type="dxa"/>
            <w:vAlign w:val="bottom"/>
            <w:tcBorders>
              <w:bottom w:val="single" w:sz="8" w:color="003595"/>
            </w:tcBorders>
            <w:shd w:val="clear" w:color="auto" w:fill="003595"/>
          </w:tcPr>
          <w:p>
            <w:pPr>
              <w:spacing w:after="0"/>
              <w:rPr>
                <w:sz w:val="20"/>
                <w:szCs w:val="20"/>
                <w:color w:val="auto"/>
              </w:rPr>
            </w:pPr>
          </w:p>
        </w:tc>
      </w:tr>
      <w:tr>
        <w:trPr>
          <w:trHeight w:val="243"/>
        </w:trPr>
        <w:tc>
          <w:tcPr>
            <w:tcW w:w="742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 xml:space="preserve">S. Louise Phanstiel </w:t>
            </w:r>
            <w:r>
              <w:rPr>
                <w:rFonts w:ascii="Arial" w:cs="Arial" w:eastAsia="Arial" w:hAnsi="Arial"/>
                <w:sz w:val="21"/>
                <w:szCs w:val="21"/>
                <w:color w:val="auto"/>
                <w:vertAlign w:val="superscript"/>
              </w:rPr>
              <w:t>(12)</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315,070</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6"/>
        </w:trPr>
        <w:tc>
          <w:tcPr>
            <w:tcW w:w="742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Paul Bisaro </w:t>
            </w:r>
            <w:r>
              <w:rPr>
                <w:rFonts w:ascii="Arial" w:cs="Arial" w:eastAsia="Arial" w:hAnsi="Arial"/>
                <w:sz w:val="21"/>
                <w:szCs w:val="21"/>
                <w:color w:val="auto"/>
                <w:vertAlign w:val="superscript"/>
              </w:rPr>
              <w:t>(13)</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89,941</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7"/>
        </w:trPr>
        <w:tc>
          <w:tcPr>
            <w:tcW w:w="742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Heiner Dreismann, Ph.D. </w:t>
            </w:r>
            <w:r>
              <w:rPr>
                <w:rFonts w:ascii="Arial" w:cs="Arial" w:eastAsia="Arial" w:hAnsi="Arial"/>
                <w:sz w:val="21"/>
                <w:szCs w:val="21"/>
                <w:color w:val="auto"/>
                <w:vertAlign w:val="superscript"/>
              </w:rPr>
              <w:t>(13)</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171,444</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6"/>
        </w:trPr>
        <w:tc>
          <w:tcPr>
            <w:tcW w:w="742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Rashmi Kumar </w:t>
            </w:r>
            <w:r>
              <w:rPr>
                <w:rFonts w:ascii="Arial" w:cs="Arial" w:eastAsia="Arial" w:hAnsi="Arial"/>
                <w:sz w:val="21"/>
                <w:szCs w:val="21"/>
                <w:color w:val="auto"/>
                <w:vertAlign w:val="superscript"/>
              </w:rPr>
              <w:t>(13)</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127,188</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6"/>
        </w:trPr>
        <w:tc>
          <w:tcPr>
            <w:tcW w:w="742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Lee N. Newcomer, M.D. </w:t>
            </w:r>
            <w:r>
              <w:rPr>
                <w:rFonts w:ascii="Arial" w:cs="Arial" w:eastAsia="Arial" w:hAnsi="Arial"/>
                <w:sz w:val="21"/>
                <w:szCs w:val="21"/>
                <w:color w:val="auto"/>
                <w:vertAlign w:val="superscript"/>
              </w:rPr>
              <w:t>(13)</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132,141</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6"/>
        </w:trPr>
        <w:tc>
          <w:tcPr>
            <w:tcW w:w="742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Colleen F. Reitan </w:t>
            </w:r>
            <w:r>
              <w:rPr>
                <w:rFonts w:ascii="Arial" w:cs="Arial" w:eastAsia="Arial" w:hAnsi="Arial"/>
                <w:sz w:val="21"/>
                <w:szCs w:val="21"/>
                <w:color w:val="auto"/>
                <w:vertAlign w:val="superscript"/>
              </w:rPr>
              <w:t>(13)</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92,329</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6"/>
        </w:trPr>
        <w:tc>
          <w:tcPr>
            <w:tcW w:w="742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Daniel M. Skovronsky, M.D., Ph.D. </w:t>
            </w:r>
            <w:r>
              <w:rPr>
                <w:rFonts w:ascii="Arial" w:cs="Arial" w:eastAsia="Arial" w:hAnsi="Arial"/>
                <w:sz w:val="21"/>
                <w:szCs w:val="21"/>
                <w:color w:val="auto"/>
                <w:vertAlign w:val="superscript"/>
              </w:rPr>
              <w:t>(13)</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135,806</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6"/>
        </w:trPr>
        <w:tc>
          <w:tcPr>
            <w:tcW w:w="742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color w:val="auto"/>
              </w:rPr>
              <w:t xml:space="preserve">Mark S. Davis </w:t>
            </w:r>
            <w:r>
              <w:rPr>
                <w:rFonts w:ascii="Arial" w:cs="Arial" w:eastAsia="Arial" w:hAnsi="Arial"/>
                <w:sz w:val="21"/>
                <w:szCs w:val="21"/>
                <w:color w:val="auto"/>
                <w:vertAlign w:val="superscript"/>
              </w:rPr>
              <w:t>(14)</w:t>
            </w:r>
          </w:p>
        </w:tc>
        <w:tc>
          <w:tcPr>
            <w:tcW w:w="20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rPr>
              <w:t>46,964</w:t>
            </w:r>
          </w:p>
        </w:tc>
        <w:tc>
          <w:tcPr>
            <w:tcW w:w="17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w w:val="95"/>
              </w:rPr>
              <w:t>*</w:t>
            </w:r>
          </w:p>
        </w:tc>
      </w:tr>
      <w:tr>
        <w:trPr>
          <w:trHeight w:val="237"/>
        </w:trPr>
        <w:tc>
          <w:tcPr>
            <w:tcW w:w="7420" w:type="dxa"/>
            <w:vAlign w:val="bottom"/>
            <w:tcBorders>
              <w:bottom w:val="single" w:sz="8" w:color="003595"/>
            </w:tcBorders>
          </w:tcPr>
          <w:p>
            <w:pPr>
              <w:ind w:left="20"/>
              <w:spacing w:after="0" w:line="237" w:lineRule="exact"/>
              <w:rPr>
                <w:sz w:val="20"/>
                <w:szCs w:val="20"/>
                <w:color w:val="auto"/>
              </w:rPr>
            </w:pPr>
            <w:r>
              <w:rPr>
                <w:rFonts w:ascii="Arial" w:cs="Arial" w:eastAsia="Arial" w:hAnsi="Arial"/>
                <w:sz w:val="16"/>
                <w:szCs w:val="16"/>
                <w:b w:val="1"/>
                <w:bCs w:val="1"/>
                <w:color w:val="0E32E1"/>
              </w:rPr>
              <w:t xml:space="preserve">All current executive officers and directors as a group (15 persons) </w:t>
            </w:r>
            <w:r>
              <w:rPr>
                <w:rFonts w:ascii="Arial" w:cs="Arial" w:eastAsia="Arial" w:hAnsi="Arial"/>
                <w:sz w:val="21"/>
                <w:szCs w:val="21"/>
                <w:b w:val="1"/>
                <w:bCs w:val="1"/>
                <w:color w:val="0E32E1"/>
                <w:vertAlign w:val="superscript"/>
              </w:rPr>
              <w:t>(15)</w:t>
            </w:r>
          </w:p>
        </w:tc>
        <w:tc>
          <w:tcPr>
            <w:tcW w:w="2060" w:type="dxa"/>
            <w:vAlign w:val="bottom"/>
            <w:tcBorders>
              <w:bottom w:val="single" w:sz="8" w:color="003595"/>
            </w:tcBorders>
          </w:tcPr>
          <w:p>
            <w:pPr>
              <w:jc w:val="center"/>
              <w:ind w:left="19"/>
              <w:spacing w:after="0"/>
              <w:rPr>
                <w:sz w:val="20"/>
                <w:szCs w:val="20"/>
                <w:color w:val="auto"/>
              </w:rPr>
            </w:pPr>
            <w:r>
              <w:rPr>
                <w:rFonts w:ascii="Arial" w:cs="Arial" w:eastAsia="Arial" w:hAnsi="Arial"/>
                <w:sz w:val="16"/>
                <w:szCs w:val="16"/>
                <w:color w:val="auto"/>
              </w:rPr>
              <w:t>1,849,857</w:t>
            </w:r>
          </w:p>
        </w:tc>
        <w:tc>
          <w:tcPr>
            <w:tcW w:w="1760" w:type="dxa"/>
            <w:vAlign w:val="bottom"/>
            <w:tcBorders>
              <w:bottom w:val="single" w:sz="8" w:color="003595"/>
            </w:tcBorders>
          </w:tcPr>
          <w:p>
            <w:pPr>
              <w:jc w:val="center"/>
              <w:spacing w:after="0"/>
              <w:rPr>
                <w:sz w:val="20"/>
                <w:szCs w:val="20"/>
                <w:color w:val="auto"/>
              </w:rPr>
            </w:pPr>
            <w:r>
              <w:rPr>
                <w:rFonts w:ascii="Arial" w:cs="Arial" w:eastAsia="Arial" w:hAnsi="Arial"/>
                <w:sz w:val="16"/>
                <w:szCs w:val="16"/>
                <w:color w:val="auto"/>
                <w:w w:val="98"/>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-5614035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left="300" w:hanging="188"/>
        <w:spacing w:after="0"/>
        <w:tabs>
          <w:tab w:leader="none" w:pos="3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Represents beneficial ownership of less than 1% of our outstanding shares of common stock.</w:t>
      </w:r>
    </w:p>
    <w:p>
      <w:pPr>
        <w:spacing w:after="0" w:line="242" w:lineRule="exact"/>
        <w:rPr>
          <w:sz w:val="20"/>
          <w:szCs w:val="20"/>
          <w:color w:val="auto"/>
        </w:rPr>
      </w:pPr>
    </w:p>
    <w:p>
      <w:pPr>
        <w:ind w:left="360" w:hanging="248"/>
        <w:spacing w:after="0"/>
        <w:tabs>
          <w:tab w:leader="none" w:pos="3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Unless otherwise indicated, the address for each beneficial owner is c/o Myriad Genetics, Inc., 322 North 2200 West, Salt Lake City, Utah 84116.</w:t>
      </w:r>
    </w:p>
    <w:p>
      <w:pPr>
        <w:sectPr>
          <w:pgSz w:w="11900" w:h="16838" w:orient="portrait"/>
          <w:cols w:equalWidth="0" w:num="1">
            <w:col w:w="11240"/>
          </w:cols>
          <w:pgMar w:left="320" w:top="7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73" w:name="page74"/>
    <w:bookmarkEnd w:id="73"/>
    <w:p>
      <w:pPr>
        <w:ind w:left="400" w:hanging="288"/>
        <w:spacing w:after="0" w:line="264" w:lineRule="auto"/>
        <w:tabs>
          <w:tab w:leader="none" w:pos="397"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This information is based on a Schedule 13G/A filed with the SEC on April 7, 2026 with respect to Myriad Genetics common stock. BlackRock, Inc. beneficially owns these shares and has sole dispositive power for all of these shares and sole voting power for 7,841,058 of these shares.</w:t>
      </w:r>
    </w:p>
    <w:p>
      <w:pPr>
        <w:spacing w:after="0" w:line="76" w:lineRule="exact"/>
        <w:rPr>
          <w:rFonts w:ascii="Arial" w:cs="Arial" w:eastAsia="Arial" w:hAnsi="Arial"/>
          <w:sz w:val="13"/>
          <w:szCs w:val="13"/>
          <w:color w:val="auto"/>
        </w:rPr>
      </w:pPr>
    </w:p>
    <w:p>
      <w:pPr>
        <w:jc w:val="both"/>
        <w:ind w:left="400" w:hanging="288"/>
        <w:spacing w:after="0" w:line="248" w:lineRule="auto"/>
        <w:tabs>
          <w:tab w:leader="none" w:pos="397"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This information is based on a Schedule 13G/A filed with the SEC on October 31, 2025 with respect to Myriad Genetics common stock. In the October 31, 2025 Schedule 13G/A, The Vanguard Group reported that it beneficially owned these shares and had sole dispositive power for 7,069,696 of these shares and sole voting power for none of these shares. The Vanguard Group has since filed another Schedule 13G/A on March 27, 2026 reporting that it did not beneficially own any Myriad Genetics common stock. In the March 27, 2026 Schedule 13G/A, The Vanguard Group reported that (i) on January 12, 2026 it went through an internal realignment, (ii) certain subsidiaries or business divisions of subsidiaries of The Vanguard Group, that formerly had, or were deemed to have, beneficial ownership with The Vanguard Group, will report beneficial ownership separately (on a disaggregated basis) from The Vanguard Group, (iii) these subsidiaries and/or business divisions pursue the same investment strategies as previously pursued by The Vanguard Group prior to the realignment and (iv) The Vanguard Group no longer has, or is deemed to have, beneficial ownership over securities beneficially owned by such subsidiaries and/or business divisions. As of the date of this proxy statement, none of these subsidiaries and/or business divisions of subsidiaries have filed a Schedule 13G and/or Schedule 13D with respect to Myriad Genetics common stock.</w:t>
      </w:r>
    </w:p>
    <w:p>
      <w:pPr>
        <w:spacing w:after="0" w:line="87" w:lineRule="exact"/>
        <w:rPr>
          <w:rFonts w:ascii="Arial" w:cs="Arial" w:eastAsia="Arial" w:hAnsi="Arial"/>
          <w:sz w:val="13"/>
          <w:szCs w:val="13"/>
          <w:color w:val="auto"/>
        </w:rPr>
      </w:pPr>
    </w:p>
    <w:p>
      <w:pPr>
        <w:jc w:val="both"/>
        <w:ind w:left="400" w:hanging="288"/>
        <w:spacing w:after="0" w:line="251" w:lineRule="auto"/>
        <w:tabs>
          <w:tab w:leader="none" w:pos="397"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This information is based on a Schedule 13G/A filed with the SEC on February 11, 2026 with respect to Myriad Genetics common stock. Each of Millennium Management LLC, Millennium Group Management LLC, and Israel A. Englander beneficially owns these shares and have shared dispositive and voting power for these shares. Integrated Core Strategies (US) LLC beneficially owns 5,183,588 of these shares and has shared dispositive and voting power for 5,183,588 of these shares.</w:t>
      </w:r>
    </w:p>
    <w:p>
      <w:pPr>
        <w:spacing w:after="0" w:line="84" w:lineRule="exact"/>
        <w:rPr>
          <w:rFonts w:ascii="Arial" w:cs="Arial" w:eastAsia="Arial" w:hAnsi="Arial"/>
          <w:sz w:val="13"/>
          <w:szCs w:val="13"/>
          <w:color w:val="auto"/>
        </w:rPr>
      </w:pPr>
    </w:p>
    <w:p>
      <w:pPr>
        <w:ind w:left="400" w:hanging="288"/>
        <w:spacing w:after="0" w:line="286" w:lineRule="auto"/>
        <w:tabs>
          <w:tab w:leader="none" w:pos="397"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This information is based on a Schedule 13G filed with the SEC on February 9, 2026 with respect to Myriad Genetics common stock. State Street Corporation beneficially owns these shares and has shared dispositive power and shared voting power for these shares.</w:t>
      </w:r>
    </w:p>
    <w:p>
      <w:pPr>
        <w:spacing w:after="0" w:line="62" w:lineRule="exact"/>
        <w:rPr>
          <w:rFonts w:ascii="Arial" w:cs="Arial" w:eastAsia="Arial" w:hAnsi="Arial"/>
          <w:sz w:val="13"/>
          <w:szCs w:val="13"/>
          <w:color w:val="auto"/>
        </w:rPr>
      </w:pPr>
    </w:p>
    <w:p>
      <w:pPr>
        <w:ind w:left="400" w:hanging="288"/>
        <w:spacing w:after="0" w:line="264" w:lineRule="auto"/>
        <w:tabs>
          <w:tab w:leader="none" w:pos="397"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This information is based on a Schedule 13G filed with the SEC on January 13, 2026 with respect to Myriad Genetics common stock. Each of Glenview Capital Management, LLC and Larry Robbins beneficially owns these shares and has shared dispositive and voting power for all of these shares.</w:t>
      </w:r>
    </w:p>
    <w:p>
      <w:pPr>
        <w:spacing w:after="0" w:line="76" w:lineRule="exact"/>
        <w:rPr>
          <w:rFonts w:ascii="Arial" w:cs="Arial" w:eastAsia="Arial" w:hAnsi="Arial"/>
          <w:sz w:val="13"/>
          <w:szCs w:val="13"/>
          <w:color w:val="auto"/>
        </w:rPr>
      </w:pPr>
    </w:p>
    <w:p>
      <w:pPr>
        <w:ind w:left="400" w:hanging="288"/>
        <w:spacing w:after="0"/>
        <w:tabs>
          <w:tab w:leader="none" w:pos="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2,500 RSUs, which vest within 60 days of April 8, 2026.</w:t>
      </w:r>
    </w:p>
    <w:p>
      <w:pPr>
        <w:spacing w:after="0" w:line="107" w:lineRule="exact"/>
        <w:rPr>
          <w:rFonts w:ascii="Arial" w:cs="Arial" w:eastAsia="Arial" w:hAnsi="Arial"/>
          <w:sz w:val="13"/>
          <w:szCs w:val="13"/>
          <w:color w:val="auto"/>
        </w:rPr>
      </w:pPr>
    </w:p>
    <w:p>
      <w:pPr>
        <w:ind w:left="400" w:hanging="288"/>
        <w:spacing w:after="0"/>
        <w:tabs>
          <w:tab w:leader="none" w:pos="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110,020 RSUs, which vest within 60 days of April 8, 2026.</w:t>
      </w:r>
    </w:p>
    <w:p>
      <w:pPr>
        <w:spacing w:after="0" w:line="120" w:lineRule="exact"/>
        <w:rPr>
          <w:rFonts w:ascii="Arial" w:cs="Arial" w:eastAsia="Arial" w:hAnsi="Arial"/>
          <w:sz w:val="13"/>
          <w:szCs w:val="13"/>
          <w:color w:val="auto"/>
        </w:rPr>
      </w:pPr>
    </w:p>
    <w:p>
      <w:pPr>
        <w:ind w:left="400" w:hanging="288"/>
        <w:spacing w:after="0"/>
        <w:tabs>
          <w:tab w:leader="none" w:pos="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1,875 RSUs, which vest within 60 days of April 8, 2026.</w:t>
      </w:r>
    </w:p>
    <w:p>
      <w:pPr>
        <w:spacing w:after="0" w:line="107" w:lineRule="exact"/>
        <w:rPr>
          <w:rFonts w:ascii="Arial" w:cs="Arial" w:eastAsia="Arial" w:hAnsi="Arial"/>
          <w:sz w:val="13"/>
          <w:szCs w:val="13"/>
          <w:color w:val="auto"/>
        </w:rPr>
      </w:pPr>
    </w:p>
    <w:p>
      <w:pPr>
        <w:ind w:left="400" w:right="20" w:hanging="288"/>
        <w:spacing w:after="0" w:line="264" w:lineRule="auto"/>
        <w:tabs>
          <w:tab w:leader="none" w:pos="397" w:val="left"/>
        </w:tabs>
        <w:numPr>
          <w:ilvl w:val="0"/>
          <w:numId w:val="74"/>
        </w:numPr>
        <w:rPr>
          <w:rFonts w:ascii="Arial" w:cs="Arial" w:eastAsia="Arial" w:hAnsi="Arial"/>
          <w:sz w:val="13"/>
          <w:szCs w:val="13"/>
          <w:color w:val="auto"/>
        </w:rPr>
      </w:pPr>
      <w:r>
        <w:rPr>
          <w:rFonts w:ascii="Arial" w:cs="Arial" w:eastAsia="Arial" w:hAnsi="Arial"/>
          <w:sz w:val="13"/>
          <w:szCs w:val="13"/>
          <w:color w:val="auto"/>
        </w:rPr>
        <w:t>Mr. Diaz resigned as President and Chief Executive Officer of Myriad on April 30, 2025. Includes 545,492 shares of common stock subject to options exercisable within 60 days of April 8, 2026. Mr. Diaz has represented to us that he has beneficial ownership of 810,540 shares of Myriad common stock as of April 8, 2026.</w:t>
      </w:r>
    </w:p>
    <w:p>
      <w:pPr>
        <w:spacing w:after="0" w:line="76" w:lineRule="exact"/>
        <w:rPr>
          <w:rFonts w:ascii="Arial" w:cs="Arial" w:eastAsia="Arial" w:hAnsi="Arial"/>
          <w:sz w:val="13"/>
          <w:szCs w:val="13"/>
          <w:color w:val="auto"/>
        </w:rPr>
      </w:pPr>
    </w:p>
    <w:p>
      <w:pPr>
        <w:jc w:val="both"/>
        <w:ind w:left="400" w:hanging="288"/>
        <w:spacing w:after="0" w:line="262" w:lineRule="auto"/>
        <w:tabs>
          <w:tab w:leader="none" w:pos="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Mr. Leffler departed as Chief Financial Officer of Myriad effective August 15, 2025. The number of shares beneficially owned is based on Mr. Leffler's most recently filed Form 4 on August 18, 2025, adjusted to reflect the subsequent vesting and forfeiture of equity awards pursuant to the Leffler Separation Agreement. We have been unable to obtain more recent information regarding Mr. Leffler's current beneficial ownership.</w:t>
      </w:r>
    </w:p>
    <w:p>
      <w:pPr>
        <w:spacing w:after="0" w:line="77" w:lineRule="exact"/>
        <w:rPr>
          <w:rFonts w:ascii="Arial" w:cs="Arial" w:eastAsia="Arial" w:hAnsi="Arial"/>
          <w:sz w:val="13"/>
          <w:szCs w:val="13"/>
          <w:color w:val="auto"/>
        </w:rPr>
      </w:pPr>
    </w:p>
    <w:p>
      <w:pPr>
        <w:ind w:left="400" w:right="100" w:hanging="288"/>
        <w:spacing w:after="0" w:line="251" w:lineRule="auto"/>
        <w:tabs>
          <w:tab w:leader="none" w:pos="390" w:val="left"/>
        </w:tabs>
        <w:numPr>
          <w:ilvl w:val="0"/>
          <w:numId w:val="74"/>
        </w:numPr>
        <w:rPr>
          <w:rFonts w:ascii="Arial" w:cs="Arial" w:eastAsia="Arial" w:hAnsi="Arial"/>
          <w:sz w:val="13"/>
          <w:szCs w:val="13"/>
          <w:color w:val="auto"/>
        </w:rPr>
      </w:pPr>
      <w:r>
        <w:rPr>
          <w:rFonts w:ascii="Arial" w:cs="Arial" w:eastAsia="Arial" w:hAnsi="Arial"/>
          <w:sz w:val="13"/>
          <w:szCs w:val="13"/>
          <w:color w:val="auto"/>
        </w:rPr>
        <w:t>Ms. Ancona departed as Executive Vice President, Strategy and Transformation of Myriad on November 3, 2025. The number of shares beneficially owned is based on Ms. Ancona's most recently filed Form 4 on November 4, 2025, adjusted to reflect the subsequent vesting and forfeiture of equity awards and PSUs earned pursuant to the Ancona Separation Agreement. We have been unable to obtain more recent information regarding Ms. Ancona's current beneficial ownership.</w:t>
      </w:r>
    </w:p>
    <w:p>
      <w:pPr>
        <w:spacing w:after="0" w:line="84" w:lineRule="exact"/>
        <w:rPr>
          <w:rFonts w:ascii="Arial" w:cs="Arial" w:eastAsia="Arial" w:hAnsi="Arial"/>
          <w:sz w:val="13"/>
          <w:szCs w:val="13"/>
          <w:color w:val="auto"/>
        </w:rPr>
      </w:pPr>
    </w:p>
    <w:p>
      <w:pPr>
        <w:ind w:left="400" w:hanging="288"/>
        <w:spacing w:after="0"/>
        <w:tabs>
          <w:tab w:leader="none" w:pos="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33,119 shares of common stock held by The Phanstiel Trust as of April 8, 2026, and includes 49,796 RSUs, which vest within 60 days of April 8, 2026.</w:t>
      </w:r>
    </w:p>
    <w:p>
      <w:pPr>
        <w:spacing w:after="0" w:line="107" w:lineRule="exact"/>
        <w:rPr>
          <w:rFonts w:ascii="Arial" w:cs="Arial" w:eastAsia="Arial" w:hAnsi="Arial"/>
          <w:sz w:val="13"/>
          <w:szCs w:val="13"/>
          <w:color w:val="auto"/>
        </w:rPr>
      </w:pPr>
    </w:p>
    <w:p>
      <w:pPr>
        <w:ind w:left="400" w:hanging="288"/>
        <w:spacing w:after="0"/>
        <w:tabs>
          <w:tab w:leader="none" w:pos="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49,796 RSUs, which vest within 60 days of April 8, 2026.</w:t>
      </w:r>
    </w:p>
    <w:p>
      <w:pPr>
        <w:spacing w:after="0" w:line="188" w:lineRule="exact"/>
        <w:rPr>
          <w:rFonts w:ascii="Arial" w:cs="Arial" w:eastAsia="Arial" w:hAnsi="Arial"/>
          <w:sz w:val="13"/>
          <w:szCs w:val="13"/>
          <w:color w:val="auto"/>
        </w:rPr>
      </w:pPr>
    </w:p>
    <w:p>
      <w:pPr>
        <w:ind w:left="400" w:hanging="288"/>
        <w:spacing w:after="0"/>
        <w:tabs>
          <w:tab w:leader="none" w:pos="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24,148 RSUs, which vest within 60 days of April 8, 2026.</w:t>
      </w:r>
    </w:p>
    <w:p>
      <w:pPr>
        <w:spacing w:after="0" w:line="120" w:lineRule="exact"/>
        <w:rPr>
          <w:rFonts w:ascii="Arial" w:cs="Arial" w:eastAsia="Arial" w:hAnsi="Arial"/>
          <w:sz w:val="13"/>
          <w:szCs w:val="13"/>
          <w:color w:val="auto"/>
        </w:rPr>
      </w:pPr>
    </w:p>
    <w:p>
      <w:pPr>
        <w:ind w:left="400" w:hanging="288"/>
        <w:spacing w:after="0"/>
        <w:tabs>
          <w:tab w:leader="none" w:pos="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See Notes 6-14 above.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Delinquent Section 16(a) Reports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Section 16(a) of the Exchange Act requires our executive officers, directors, and holders of more than 10% of our common stock to file reports of their transactions in Company equity securities with the SEC. Based solely on a review of such reports and related written representations, the Company believes that all Section 16(a) filing requirements applicable to our executive officers and directors were timely met for the year ended December 31, 2025, except for the following Form 4s. Each of Paul J. Diaz, our former President and Chief Executive Officer (114,828 PSUs), Mark S. Verratti, our Chief Operating Officer (12,758 PSUs), Dale Muzzey, Ph.D., our Chief Scientific Officer (10,622 PSUs), Kevin Haas, our former Chief Technology Officer (12,785 PSUs), Margaret Ancona, our former Senior Vice President Strategy and Transformation (6,468 PSUs), and Natalie Munk, our former Chief Accounting Officer (3,316 PSUs), filed a late Form 4 on March 4, 2025 to report performance-based restricted stock units earned based on the accomplishment of performance metrics that were certified by the Compensation and Human Capital Committee on February 7,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25"/>
          <w:szCs w:val="25"/>
          <w:b w:val="1"/>
          <w:bCs w:val="1"/>
          <w:color w:val="003595"/>
        </w:rPr>
        <w:t>Audit and Finance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9005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Audit and Finance Committee of the Board, which consists entirely of directors who meet the independence and experience requirements of The Nasdaq Stock Market LLC, has furnished the following report:</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Audit and Finance Committee assists the Board in overseeing and monitoring the integrity of our financial reporting process, compliance with legal and regulatory requirements and the quality of internal and external audit processes. This committee’s role and responsibilities are set forth in the Audit and Finance Committee Charter adopted by the Board, which is available in the Investor Relations—About Myriad/Corporate Governance section of our website at investor.myriad.com/corporate-governance. This committee reviews and reassesses the Audit and Finance Committee Charter annually and recommends any changes to the Board for approval. The Audit and Finance Committee is responsible for overseeing our overall financial reporting process and for the appointment, compensation, retention, and oversight of the work of our independent registered public accounting firm. In fulfilling its oversight responsibility, the Audit and Finance Committee reviews the policies and procedures for the engagement of the independent registered public accounting firm, including the scope of the audit, audit fees, auditor independence matters, performance of the independent auditors, and the extent to which the independent registered public accounting firm may be retained to perform non-audit services. Additionally, the Audit and Finance Committee reviewed the performance of Ernst &amp; Young LLP ("EY") prior to recommending its appointment for the year ended December 31, 2025, and met with representatives of EY to discuss the scope and results of the firm’s audit work. The Audit and Finance Committee also considered several other factors in deciding whether to re-engage EY, including the quality of EY’s staff, work and quality control, EY’s policies related to independence, and EY’s capability and expertise to perform an audit of our financial statements and internal control over financial reporting. As part of its auditor engagement process, the Audit and Finance Committee also considers whether to rotate the independent registered public accounting firm. EY has been our independent registered public accounting firm since 2006. EY rotates its lead audit engagement partner at least every five years.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fulfilling its responsibilities for the financial statements for the year ended December 31, 2025, the Audit and Finance Committee took the following actions:</w:t>
      </w:r>
    </w:p>
    <w:p>
      <w:pPr>
        <w:spacing w:after="0" w:line="200" w:lineRule="exact"/>
        <w:rPr>
          <w:sz w:val="20"/>
          <w:szCs w:val="20"/>
          <w:color w:val="auto"/>
        </w:rPr>
      </w:pPr>
    </w:p>
    <w:p>
      <w:pPr>
        <w:spacing w:after="0" w:line="219" w:lineRule="exact"/>
        <w:rPr>
          <w:sz w:val="20"/>
          <w:szCs w:val="20"/>
          <w:color w:val="auto"/>
        </w:rPr>
      </w:pPr>
    </w:p>
    <w:p>
      <w:pPr>
        <w:ind w:left="820" w:hanging="407"/>
        <w:spacing w:after="0" w:line="304" w:lineRule="auto"/>
        <w:tabs>
          <w:tab w:leader="none" w:pos="809"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for the year ended December 31, 2025 with management and EY, our independent registered public accounting firm;</w:t>
      </w:r>
    </w:p>
    <w:p>
      <w:pPr>
        <w:spacing w:after="0" w:line="168" w:lineRule="exact"/>
        <w:rPr>
          <w:rFonts w:ascii="Arial" w:cs="Arial" w:eastAsia="Arial" w:hAnsi="Arial"/>
          <w:sz w:val="16"/>
          <w:szCs w:val="16"/>
          <w:color w:val="auto"/>
        </w:rPr>
      </w:pPr>
    </w:p>
    <w:p>
      <w:pPr>
        <w:ind w:left="820" w:right="20" w:hanging="407"/>
        <w:spacing w:after="0" w:line="304" w:lineRule="auto"/>
        <w:tabs>
          <w:tab w:leader="none" w:pos="809"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discussed with EY the matters required to be discussed in accordance with Statement on Auditing Standards No. 16, </w:t>
      </w:r>
      <w:r>
        <w:rPr>
          <w:rFonts w:ascii="Arial" w:cs="Arial" w:eastAsia="Arial" w:hAnsi="Arial"/>
          <w:sz w:val="16"/>
          <w:szCs w:val="16"/>
          <w:i w:val="1"/>
          <w:iCs w:val="1"/>
          <w:color w:val="auto"/>
        </w:rPr>
        <w:t>Communications with Audit</w:t>
      </w:r>
      <w:r>
        <w:rPr>
          <w:rFonts w:ascii="Arial" w:cs="Arial" w:eastAsia="Arial" w:hAnsi="Arial"/>
          <w:sz w:val="16"/>
          <w:szCs w:val="16"/>
          <w:color w:val="auto"/>
        </w:rPr>
        <w:t xml:space="preserve"> </w:t>
      </w:r>
      <w:r>
        <w:rPr>
          <w:rFonts w:ascii="Arial" w:cs="Arial" w:eastAsia="Arial" w:hAnsi="Arial"/>
          <w:sz w:val="16"/>
          <w:szCs w:val="16"/>
          <w:i w:val="1"/>
          <w:iCs w:val="1"/>
          <w:color w:val="auto"/>
        </w:rPr>
        <w:t>Committees</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left="820" w:hanging="407"/>
        <w:spacing w:after="0" w:line="275" w:lineRule="auto"/>
        <w:tabs>
          <w:tab w:leader="none" w:pos="809"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received written disclosures and letters from EY regarding its independence as required by PCAOB Ethics and Independence Rule 3526, </w:t>
      </w:r>
      <w:r>
        <w:rPr>
          <w:rFonts w:ascii="Arial" w:cs="Arial" w:eastAsia="Arial" w:hAnsi="Arial"/>
          <w:sz w:val="16"/>
          <w:szCs w:val="16"/>
          <w:i w:val="1"/>
          <w:iCs w:val="1"/>
          <w:color w:val="auto"/>
        </w:rPr>
        <w:t xml:space="preserve">Communication with Audit Committees Concerning Independence, </w:t>
      </w:r>
      <w:r>
        <w:rPr>
          <w:rFonts w:ascii="Arial" w:cs="Arial" w:eastAsia="Arial" w:hAnsi="Arial"/>
          <w:sz w:val="16"/>
          <w:szCs w:val="16"/>
          <w:color w:val="auto"/>
        </w:rPr>
        <w:t>and has discussed with the independent auditors, the independent auditors’</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independence; and</w:t>
      </w:r>
    </w:p>
    <w:p>
      <w:pPr>
        <w:spacing w:after="0" w:line="191" w:lineRule="exact"/>
        <w:rPr>
          <w:rFonts w:ascii="Arial" w:cs="Arial" w:eastAsia="Arial" w:hAnsi="Arial"/>
          <w:sz w:val="16"/>
          <w:szCs w:val="16"/>
          <w:color w:val="auto"/>
        </w:rPr>
      </w:pPr>
    </w:p>
    <w:p>
      <w:pPr>
        <w:ind w:left="820" w:hanging="407"/>
        <w:spacing w:after="0" w:line="304" w:lineRule="auto"/>
        <w:tabs>
          <w:tab w:leader="none" w:pos="809"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considered the status of pending litigation, taxation matters and other areas of oversight relating to the financial reporting and audit process that the committee determined appropriate.</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the Audit and Finance Committee’s review of the audited financial statements and discussions with management and EY, the Audit and Finance Committee recommended to the Board that the audited financial statements be included in our Annual Report on Form 10-K for the year ended December 31, 2025 for filing with the SEC.</w:t>
      </w:r>
    </w:p>
    <w:p>
      <w:pPr>
        <w:spacing w:after="0" w:line="191"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MEMBERS OF THE AUDIT AND FINANCE COMMITTEE</w:t>
      </w:r>
    </w:p>
    <w:p>
      <w:pPr>
        <w:spacing w:after="0" w:line="262"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Mark S. Davis (Chair)</w:t>
      </w:r>
    </w:p>
    <w:p>
      <w:pPr>
        <w:spacing w:after="0" w:line="21"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Rashmi Kumar</w:t>
      </w:r>
    </w:p>
    <w:p>
      <w:pPr>
        <w:spacing w:after="0" w:line="5"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S. Louise Phanstiel</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Colleen F. Reitan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5"/>
          <w:szCs w:val="25"/>
          <w:b w:val="1"/>
          <w:bCs w:val="1"/>
          <w:color w:val="003595"/>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9005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were not a party to any transactions with related persons since January 1, 2025 that would be required to be disclosed pursuant to Item 404(a) of Regulation S-K.</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Policy on Approval of Related Person Transactions</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adopted a Policy on Related Person Transactions (the “Policy”) under which the AFC reviews, approves or ratifies all related person transactions. Under our Policy, a related person transaction is one in which Myriad is a participant, and the amount involved exceeds $120,000, and in which any of the following persons have or will have a direct or indirect material interest:</w:t>
      </w:r>
    </w:p>
    <w:p>
      <w:pPr>
        <w:spacing w:after="0" w:line="191" w:lineRule="exact"/>
        <w:rPr>
          <w:sz w:val="20"/>
          <w:szCs w:val="20"/>
          <w:color w:val="auto"/>
        </w:rPr>
      </w:pPr>
    </w:p>
    <w:p>
      <w:pPr>
        <w:ind w:left="800" w:hanging="387"/>
        <w:spacing w:after="0"/>
        <w:tabs>
          <w:tab w:leader="none" w:pos="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Executive officers of the Company;</w:t>
      </w:r>
    </w:p>
    <w:p>
      <w:pPr>
        <w:spacing w:after="0" w:line="261" w:lineRule="exact"/>
        <w:rPr>
          <w:rFonts w:ascii="Arial" w:cs="Arial" w:eastAsia="Arial" w:hAnsi="Arial"/>
          <w:sz w:val="16"/>
          <w:szCs w:val="16"/>
          <w:color w:val="auto"/>
        </w:rPr>
      </w:pPr>
    </w:p>
    <w:p>
      <w:pPr>
        <w:ind w:left="800" w:hanging="387"/>
        <w:spacing w:after="0"/>
        <w:tabs>
          <w:tab w:leader="none" w:pos="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Members of the Board (including nominees to become a director);</w:t>
      </w:r>
    </w:p>
    <w:p>
      <w:pPr>
        <w:spacing w:after="0" w:line="248" w:lineRule="exact"/>
        <w:rPr>
          <w:rFonts w:ascii="Arial" w:cs="Arial" w:eastAsia="Arial" w:hAnsi="Arial"/>
          <w:sz w:val="16"/>
          <w:szCs w:val="16"/>
          <w:color w:val="auto"/>
        </w:rPr>
      </w:pPr>
    </w:p>
    <w:p>
      <w:pPr>
        <w:ind w:left="800" w:hanging="387"/>
        <w:spacing w:after="0"/>
        <w:tabs>
          <w:tab w:leader="none" w:pos="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Beneficial holders of five percent or more of Myriad’s securities;</w:t>
      </w:r>
    </w:p>
    <w:p>
      <w:pPr>
        <w:spacing w:after="0" w:line="261" w:lineRule="exact"/>
        <w:rPr>
          <w:rFonts w:ascii="Arial" w:cs="Arial" w:eastAsia="Arial" w:hAnsi="Arial"/>
          <w:sz w:val="16"/>
          <w:szCs w:val="16"/>
          <w:color w:val="auto"/>
        </w:rPr>
      </w:pPr>
    </w:p>
    <w:p>
      <w:pPr>
        <w:ind w:left="800" w:hanging="387"/>
        <w:spacing w:after="0"/>
        <w:tabs>
          <w:tab w:leader="none" w:pos="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Immediate family members, as defined by Item 404 of Regulation S-K under the Securities Act, of any of the foregoing persons;</w:t>
      </w:r>
    </w:p>
    <w:p>
      <w:pPr>
        <w:spacing w:after="0" w:line="248" w:lineRule="exact"/>
        <w:rPr>
          <w:rFonts w:ascii="Arial" w:cs="Arial" w:eastAsia="Arial" w:hAnsi="Arial"/>
          <w:sz w:val="16"/>
          <w:szCs w:val="16"/>
          <w:color w:val="auto"/>
        </w:rPr>
      </w:pPr>
    </w:p>
    <w:p>
      <w:pPr>
        <w:ind w:left="820" w:hanging="407"/>
        <w:spacing w:after="0" w:line="286" w:lineRule="auto"/>
        <w:tabs>
          <w:tab w:leader="none" w:pos="809"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firm, corporation or other entity in which any of the foregoing persons is employed or is a partner or principal, is in a similar position or in which the person has a five percent or greater beneficial ownership interest; and</w:t>
      </w:r>
    </w:p>
    <w:p>
      <w:pPr>
        <w:spacing w:after="0" w:line="196" w:lineRule="exact"/>
        <w:rPr>
          <w:rFonts w:ascii="Arial" w:cs="Arial" w:eastAsia="Arial" w:hAnsi="Arial"/>
          <w:sz w:val="16"/>
          <w:szCs w:val="16"/>
          <w:color w:val="auto"/>
        </w:rPr>
      </w:pPr>
    </w:p>
    <w:p>
      <w:pPr>
        <w:ind w:left="820" w:hanging="407"/>
        <w:spacing w:after="0" w:line="286" w:lineRule="auto"/>
        <w:tabs>
          <w:tab w:leader="none" w:pos="809"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other persons whom the Board or AFC determines may be considered to be related persons as defined by Item 404 of Regulation S-K under the Securities Act.</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 Policy, the AFC will approve only those related person transactions that are determined to be in, or not inconsistent with, the best interests of Myriad and its stockholders, taking into account all available facts and circumstances as the AFC determines in good faith to be necessary. These facts and circumstances will typically include, but not be limited to, the benefits of the transaction to Myriad; the impact on a director’s independence in the event the related person is a director, an immediate family member of a director or an entity in which a director is a partner, stockholder or executive officer; the availability of other sources for comparable products or services; the terms of the transaction; and the terms of comparable transactions that would be available to unrelated third parties or to employees generally. No member of the AFC shall participate in any review, consideration or approval of any related person transaction with respect to which the member or any of his or her immediate family members is the related person.</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reviewing and approving these transactions, the AFC will obtain, or will direct management to obtain on its behalf, all information that the AFC believes to be relevant and important to a review of the transaction prior to its approval. Following receipt of the necessary information, a discussion of the relevant factors will be held if it is deemed to be necessary by the AFC prior to approval. If a discussion is not deemed to be necessary, approval may be given by written consent of the AFC. This approval authority may also be delegated to the Chairperson of the AFC in some circumstances. It is contemplated that no related person transaction will be entered into prior to the completion of these procedures; however, where permitted, a related person transaction may be ratified upon completion of these procedures.</w:t>
      </w:r>
    </w:p>
    <w:p>
      <w:pPr>
        <w:spacing w:after="0" w:line="217"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The AFC may adopt any further policies and procedures relating to the approval of related person transactions that it deems necessary or advisable from time to time. A copy of our Policy on Related Person Transactions is publicly available in the Investor Relations—About Myriad/Corporate Governance section of our website at investor.myriad.com/corporate-governance.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5"/>
          <w:szCs w:val="25"/>
          <w:b w:val="1"/>
          <w:bCs w:val="1"/>
          <w:color w:val="003595"/>
        </w:rPr>
        <w:t>PROPOSAL 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71CE"/>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005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currently consists of nine members, classified as follows: S. Louise Phanstiel, Mark S. Davis, and Daniel M. Skovronsky M.D., Ph.D. constitute a class with a term ending at the 2027 Annual Meeting (the “Class I Directors”); Samraat S. Raha, Heiner Dreismann, Ph.D., and Colleen F. Reitan constitute a class with a term ending at the 2028 Annual Meeting (the “Class II Directors”); and Paul M. Bisaro, Rashmi Kumar, and Lee N. Newcomer, M.D., constitute a class with a term ending at the 2026 Annual Meeting (the “Class III Directors”). At each Annual Meeting, directors are elected for a term to expire at the third succeeding Annual Meeting after their election to succeed those directors whose terms are expiring at the Annual Meeting.</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Board accepted the recommendation of the NGC and unanimously resolved to nominate Paul M. Bisaro, Rashmi Kumar, and Lee N. Newcomer, M.D. for election at the Annual Meeting for a term to serve until the 2029 Annual Meeting, and until their successors have been elected and qualified, or until their earlier death, resignation, retirement or removal. In determining to nominate these directors for another term to serve until the 2029 Annual Meeting, the NGC and the Board considered, among other things, their qualifications, experiences, and contributions to Myriad. With respect to Mr. Bisaro, the Board and NGC considered his extensive career as a public company executive in the pharmaceutical industry and his significant contributions since joining the Board in 2022, which include providing valuable insights into our operational execution, corporate transformation, product innovation, and global business strategy. Regarding Ms. Kumar, the Board and NGC considered her significant expertise in information technology and cybersecurity. Since her appointment in 2020, Ms. Kumar has been instrumental in advising on Myriad’s technology transformation initiatives. Her experience as a Chief Information Officer in the healthcare and technology sectors provides the Board with a critical perspective on cybersecurity, technology infrastructure, and the scaling of digital platforms to support our mission. In the case of Dr. Newcomer, the Board and NGC considered his perspective as a former senior executive at one of the nation’s largest health insurers, his service on the Board since 2019, and his meaningful contributions to our reimbursement initiatives, product innovation, research and development, and market access strategies.</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Unless a stockholder has indicated otherwise on the proxy, the shares represented by a valid proxy will be voted FOR the election of Paul M. Bisaro, Rashmi Kumar, and Lee N. Newcomer, M.D. as directors. In the event that any nominee should become unable or unwilling to serve, the shares represented by a valid proxy will be voted for the election of another person who the Board recommends, unless the Board chooses to reduce the number of directors serving on the Board. We have no reason to believe that any nominee will be unable or unwilling to serve as a director.</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 affirmative vote of the majority of the shares voted affirmatively or negatively on each nominee at the Annual Meeting is required to elect each nominee as a director.</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Restated By-Laws require that, in a non-contested election, each director be elected by a stockholder vote constituting a majority of the votes cast with respect to that director’s election. The Restated By-Laws also provide that if, in an election that is not a contested election, an incumbent director does not receive a majority of the votes cast, such director must submit an irrevocable resignation to the NGC. The NGC will make a recommendation to the Board as to whether to accept or reject the resignation of such incumbent director, or whether other action should be taken. The Board must act on the resignation, taking into account the NGC’s recommendation, and publicly disclose (by filing an appropriate disclosure with the SEC) its decision regarding the resignation within ninety (90) days following certification of the election results. The NGC in making its recommendation and the Board in making its decision each may consider any factors and other information that they consider appropriate and relevant. If the Board accepts a director’s resignation, or if a nominee for director is not elected and the nominee is not an incumbent director, then the Board may fill the resulting vacancy pursuant to our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0575" cy="3517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0575" cy="351790"/>
                    </a:xfrm>
                    <a:prstGeom prst="rect">
                      <a:avLst/>
                    </a:prstGeom>
                    <a:noFill/>
                  </pic:spPr>
                </pic:pic>
              </a:graphicData>
            </a:graphic>
          </wp:anchor>
        </w:drawing>
      </w:r>
    </w:p>
    <w:p>
      <w:pPr>
        <w:spacing w:after="0" w:line="62" w:lineRule="exact"/>
        <w:rPr>
          <w:sz w:val="20"/>
          <w:szCs w:val="20"/>
          <w:color w:val="auto"/>
        </w:rPr>
      </w:pPr>
    </w:p>
    <w:p>
      <w:pPr>
        <w:ind w:left="1520" w:hanging="959"/>
        <w:spacing w:after="0"/>
        <w:tabs>
          <w:tab w:leader="none" w:pos="1520" w:val="left"/>
        </w:tabs>
        <w:numPr>
          <w:ilvl w:val="0"/>
          <w:numId w:val="77"/>
        </w:numPr>
        <w:rPr>
          <w:rFonts w:ascii="Wingdings" w:cs="Wingdings" w:eastAsia="Wingdings" w:hAnsi="Wingdings"/>
          <w:sz w:val="40"/>
          <w:szCs w:val="40"/>
          <w:b w:val="1"/>
          <w:bCs w:val="1"/>
          <w:color w:val="auto"/>
          <w:shd w:val="clear" w:color="auto" w:fill="3DAE2B"/>
        </w:rPr>
      </w:pPr>
      <w:r>
        <w:rPr>
          <w:rFonts w:ascii="Arial" w:cs="Arial" w:eastAsia="Arial" w:hAnsi="Arial"/>
          <w:sz w:val="16"/>
          <w:szCs w:val="16"/>
          <w:b w:val="1"/>
          <w:bCs w:val="1"/>
          <w:color w:val="0071CE"/>
        </w:rPr>
        <w:t>The Board Recommends the Election of Paul M. Bisaro, Rashmi Kumar, and Lee N. Newcomer, M.D., and Proxies Solicited by</w:t>
      </w:r>
    </w:p>
    <w:p>
      <w:pPr>
        <w:ind w:left="2040"/>
        <w:spacing w:after="0"/>
        <w:rPr>
          <w:rFonts w:ascii="Wingdings" w:cs="Wingdings" w:eastAsia="Wingdings" w:hAnsi="Wingdings"/>
          <w:sz w:val="40"/>
          <w:szCs w:val="40"/>
          <w:b w:val="1"/>
          <w:bCs w:val="1"/>
          <w:color w:val="auto"/>
          <w:shd w:val="clear" w:color="auto" w:fill="3DAE2B"/>
        </w:rPr>
      </w:pPr>
      <w:r>
        <w:rPr>
          <w:rFonts w:ascii="Arial" w:cs="Arial" w:eastAsia="Arial" w:hAnsi="Arial"/>
          <w:sz w:val="16"/>
          <w:szCs w:val="16"/>
          <w:b w:val="1"/>
          <w:bCs w:val="1"/>
          <w:color w:val="0071CE"/>
        </w:rPr>
        <w:t>the Board Will Be Voted in Favor of Such Directors Unless a Stockholder Has Indicated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25"/>
          <w:szCs w:val="25"/>
          <w:b w:val="1"/>
          <w:bCs w:val="1"/>
          <w:color w:val="003595"/>
        </w:rPr>
        <w:t>PROPOSAL 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71CE"/>
        </w:rPr>
        <w:t>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005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AFC has appointed Ernst &amp; Young LLP (‘‘EY’’) as our independent registered public accounting firm to audit our financial statements for the year ending December 31, 2026. The Board proposes that the stockholders ratify this selection, although such ratification is not required under Delaware law or our Restated Certificate of Incorporation, as amended, or our Restated By-Laws. EY has audited our financial statements since our fiscal year ended June 30, 2007. We expect that representatives of EY will be present at the Annual Meeting, will be able to make a statement if they so desire, and will be available to respond to appropriate questions.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deciding to appoint EY, the AFC reviewed auditor independence issues and existing commercial relationships with EY and concluded that EY has no commercial relationship with Myriad that would impair its independence for the year ending December 31, 2026.</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fees for professional audit services provided by EY with respect to the year ended December 31, 2025 and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2024:</w:t>
      </w:r>
    </w:p>
    <w:p>
      <w:pPr>
        <w:spacing w:after="0" w:line="277" w:lineRule="exact"/>
        <w:rPr>
          <w:sz w:val="20"/>
          <w:szCs w:val="20"/>
          <w:color w:val="auto"/>
        </w:rPr>
      </w:pPr>
    </w:p>
    <w:tbl>
      <w:tblPr>
        <w:tblLayout w:type="fixed"/>
        <w:tblInd w:w="2100" w:type="dxa"/>
        <w:tblCellMar>
          <w:top w:w="0" w:type="dxa"/>
          <w:left w:w="0" w:type="dxa"/>
          <w:bottom w:w="0" w:type="dxa"/>
          <w:right w:w="0" w:type="dxa"/>
        </w:tblCellMar>
      </w:tblPr>
      <w:tr>
        <w:trPr>
          <w:trHeight w:val="227"/>
        </w:trPr>
        <w:tc>
          <w:tcPr>
            <w:tcW w:w="3440" w:type="dxa"/>
            <w:vAlign w:val="bottom"/>
            <w:shd w:val="clear" w:color="auto" w:fill="003595"/>
          </w:tcPr>
          <w:p>
            <w:pPr>
              <w:spacing w:after="0"/>
              <w:rPr>
                <w:sz w:val="19"/>
                <w:szCs w:val="19"/>
                <w:color w:val="auto"/>
              </w:rPr>
            </w:pPr>
          </w:p>
        </w:tc>
        <w:tc>
          <w:tcPr>
            <w:tcW w:w="1760" w:type="dxa"/>
            <w:vAlign w:val="bottom"/>
            <w:shd w:val="clear" w:color="auto" w:fill="003595"/>
          </w:tcPr>
          <w:p>
            <w:pPr>
              <w:jc w:val="right"/>
              <w:ind w:right="422"/>
              <w:spacing w:after="0"/>
              <w:rPr>
                <w:sz w:val="20"/>
                <w:szCs w:val="20"/>
                <w:color w:val="auto"/>
              </w:rPr>
            </w:pPr>
            <w:r>
              <w:rPr>
                <w:rFonts w:ascii="Arial" w:cs="Arial" w:eastAsia="Arial" w:hAnsi="Arial"/>
                <w:sz w:val="14"/>
                <w:szCs w:val="14"/>
                <w:b w:val="1"/>
                <w:bCs w:val="1"/>
                <w:color w:val="FFFFFF"/>
              </w:rPr>
              <w:t>Year Ended</w:t>
            </w:r>
          </w:p>
        </w:tc>
        <w:tc>
          <w:tcPr>
            <w:tcW w:w="1860" w:type="dxa"/>
            <w:vAlign w:val="bottom"/>
            <w:shd w:val="clear" w:color="auto" w:fill="003595"/>
          </w:tcPr>
          <w:p>
            <w:pPr>
              <w:jc w:val="right"/>
              <w:ind w:right="422"/>
              <w:spacing w:after="0"/>
              <w:rPr>
                <w:sz w:val="20"/>
                <w:szCs w:val="20"/>
                <w:color w:val="auto"/>
              </w:rPr>
            </w:pPr>
            <w:r>
              <w:rPr>
                <w:rFonts w:ascii="Arial" w:cs="Arial" w:eastAsia="Arial" w:hAnsi="Arial"/>
                <w:sz w:val="14"/>
                <w:szCs w:val="14"/>
                <w:b w:val="1"/>
                <w:bCs w:val="1"/>
                <w:color w:val="FFFFFF"/>
              </w:rPr>
              <w:t>Year Ended</w:t>
            </w:r>
          </w:p>
        </w:tc>
      </w:tr>
      <w:tr>
        <w:trPr>
          <w:trHeight w:val="239"/>
        </w:trPr>
        <w:tc>
          <w:tcPr>
            <w:tcW w:w="3440" w:type="dxa"/>
            <w:vAlign w:val="bottom"/>
            <w:tcBorders>
              <w:bottom w:val="single" w:sz="8" w:color="003595"/>
            </w:tcBorders>
            <w:shd w:val="clear" w:color="auto" w:fill="003595"/>
          </w:tcPr>
          <w:p>
            <w:pPr>
              <w:ind w:left="20"/>
              <w:spacing w:after="0"/>
              <w:rPr>
                <w:sz w:val="20"/>
                <w:szCs w:val="20"/>
                <w:color w:val="auto"/>
              </w:rPr>
            </w:pPr>
            <w:r>
              <w:rPr>
                <w:rFonts w:ascii="Arial" w:cs="Arial" w:eastAsia="Arial" w:hAnsi="Arial"/>
                <w:sz w:val="14"/>
                <w:szCs w:val="14"/>
                <w:b w:val="1"/>
                <w:bCs w:val="1"/>
                <w:color w:val="FFFFFF"/>
              </w:rPr>
              <w:t>Type of Fee</w:t>
            </w:r>
          </w:p>
        </w:tc>
        <w:tc>
          <w:tcPr>
            <w:tcW w:w="1760" w:type="dxa"/>
            <w:vAlign w:val="bottom"/>
            <w:tcBorders>
              <w:bottom w:val="single" w:sz="8" w:color="003595"/>
            </w:tcBorders>
            <w:shd w:val="clear" w:color="auto" w:fill="003595"/>
          </w:tcPr>
          <w:p>
            <w:pPr>
              <w:jc w:val="right"/>
              <w:ind w:right="162"/>
              <w:spacing w:after="0"/>
              <w:rPr>
                <w:sz w:val="20"/>
                <w:szCs w:val="20"/>
                <w:color w:val="auto"/>
              </w:rPr>
            </w:pPr>
            <w:r>
              <w:rPr>
                <w:rFonts w:ascii="Arial" w:cs="Arial" w:eastAsia="Arial" w:hAnsi="Arial"/>
                <w:sz w:val="14"/>
                <w:szCs w:val="14"/>
                <w:b w:val="1"/>
                <w:bCs w:val="1"/>
                <w:color w:val="FFFFFF"/>
              </w:rPr>
              <w:t>December 31, 2025</w:t>
            </w:r>
          </w:p>
        </w:tc>
        <w:tc>
          <w:tcPr>
            <w:tcW w:w="1860" w:type="dxa"/>
            <w:vAlign w:val="bottom"/>
            <w:tcBorders>
              <w:bottom w:val="single" w:sz="8" w:color="003595"/>
            </w:tcBorders>
            <w:shd w:val="clear" w:color="auto" w:fill="003595"/>
          </w:tcPr>
          <w:p>
            <w:pPr>
              <w:jc w:val="right"/>
              <w:ind w:right="162"/>
              <w:spacing w:after="0"/>
              <w:rPr>
                <w:sz w:val="20"/>
                <w:szCs w:val="20"/>
                <w:color w:val="auto"/>
              </w:rPr>
            </w:pPr>
            <w:r>
              <w:rPr>
                <w:rFonts w:ascii="Arial" w:cs="Arial" w:eastAsia="Arial" w:hAnsi="Arial"/>
                <w:sz w:val="14"/>
                <w:szCs w:val="14"/>
                <w:b w:val="1"/>
                <w:bCs w:val="1"/>
                <w:color w:val="FFFFFF"/>
              </w:rPr>
              <w:t>December 31, 2024</w:t>
            </w:r>
          </w:p>
        </w:tc>
      </w:tr>
      <w:tr>
        <w:trPr>
          <w:trHeight w:val="237"/>
        </w:trPr>
        <w:tc>
          <w:tcPr>
            <w:tcW w:w="3440" w:type="dxa"/>
            <w:vAlign w:val="bottom"/>
            <w:tcBorders>
              <w:bottom w:val="single" w:sz="8" w:color="003595"/>
            </w:tcBorders>
            <w:shd w:val="clear" w:color="auto" w:fill="D2D6E3"/>
          </w:tcPr>
          <w:p>
            <w:pPr>
              <w:ind w:left="20"/>
              <w:spacing w:after="0"/>
              <w:rPr>
                <w:sz w:val="20"/>
                <w:szCs w:val="20"/>
                <w:color w:val="auto"/>
              </w:rPr>
            </w:pPr>
            <w:r>
              <w:rPr>
                <w:rFonts w:ascii="Arial" w:cs="Arial" w:eastAsia="Arial" w:hAnsi="Arial"/>
                <w:sz w:val="16"/>
                <w:szCs w:val="16"/>
                <w:color w:val="auto"/>
              </w:rPr>
              <w:t>Audit Fees</w:t>
            </w:r>
          </w:p>
        </w:tc>
        <w:tc>
          <w:tcPr>
            <w:tcW w:w="1760" w:type="dxa"/>
            <w:vAlign w:val="bottom"/>
            <w:tcBorders>
              <w:bottom w:val="single" w:sz="8" w:color="003595"/>
            </w:tcBorders>
            <w:shd w:val="clear" w:color="auto" w:fill="D2D6E3"/>
          </w:tcPr>
          <w:p>
            <w:pPr>
              <w:jc w:val="right"/>
              <w:ind w:right="2"/>
              <w:spacing w:after="0"/>
              <w:rPr>
                <w:sz w:val="20"/>
                <w:szCs w:val="20"/>
                <w:color w:val="auto"/>
              </w:rPr>
            </w:pPr>
            <w:r>
              <w:rPr>
                <w:rFonts w:ascii="Arial" w:cs="Arial" w:eastAsia="Arial" w:hAnsi="Arial"/>
                <w:sz w:val="16"/>
                <w:szCs w:val="16"/>
                <w:color w:val="auto"/>
              </w:rPr>
              <w:t>2,341,949</w:t>
            </w:r>
          </w:p>
        </w:tc>
        <w:tc>
          <w:tcPr>
            <w:tcW w:w="1860" w:type="dxa"/>
            <w:vAlign w:val="bottom"/>
            <w:tcBorders>
              <w:bottom w:val="single" w:sz="8" w:color="003595"/>
            </w:tcBorders>
            <w:shd w:val="clear" w:color="auto" w:fill="D2D6E3"/>
          </w:tcPr>
          <w:p>
            <w:pPr>
              <w:jc w:val="right"/>
              <w:ind w:right="2"/>
              <w:spacing w:after="0"/>
              <w:rPr>
                <w:sz w:val="20"/>
                <w:szCs w:val="20"/>
                <w:color w:val="auto"/>
              </w:rPr>
            </w:pPr>
            <w:r>
              <w:rPr>
                <w:rFonts w:ascii="Arial" w:cs="Arial" w:eastAsia="Arial" w:hAnsi="Arial"/>
                <w:sz w:val="16"/>
                <w:szCs w:val="16"/>
                <w:color w:val="auto"/>
              </w:rPr>
              <w:t>2,242,793</w:t>
            </w:r>
          </w:p>
        </w:tc>
      </w:tr>
      <w:tr>
        <w:trPr>
          <w:trHeight w:val="237"/>
        </w:trPr>
        <w:tc>
          <w:tcPr>
            <w:tcW w:w="344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Audit Related Fees</w:t>
            </w:r>
          </w:p>
        </w:tc>
        <w:tc>
          <w:tcPr>
            <w:tcW w:w="1760" w:type="dxa"/>
            <w:vAlign w:val="bottom"/>
            <w:tcBorders>
              <w:bottom w:val="single" w:sz="8" w:color="003595"/>
            </w:tcBorders>
          </w:tcPr>
          <w:p>
            <w:pPr>
              <w:jc w:val="right"/>
              <w:ind w:right="2"/>
              <w:spacing w:after="0"/>
              <w:rPr>
                <w:sz w:val="20"/>
                <w:szCs w:val="20"/>
                <w:color w:val="auto"/>
              </w:rPr>
            </w:pPr>
            <w:r>
              <w:rPr>
                <w:rFonts w:ascii="Arial" w:cs="Arial" w:eastAsia="Arial" w:hAnsi="Arial"/>
                <w:sz w:val="16"/>
                <w:szCs w:val="16"/>
                <w:color w:val="auto"/>
              </w:rPr>
              <w:t>74,000</w:t>
            </w:r>
          </w:p>
        </w:tc>
        <w:tc>
          <w:tcPr>
            <w:tcW w:w="1860" w:type="dxa"/>
            <w:vAlign w:val="bottom"/>
            <w:tcBorders>
              <w:bottom w:val="single" w:sz="8" w:color="003595"/>
            </w:tcBorders>
          </w:tcPr>
          <w:p>
            <w:pPr>
              <w:jc w:val="right"/>
              <w:ind w:right="2"/>
              <w:spacing w:after="0"/>
              <w:rPr>
                <w:sz w:val="20"/>
                <w:szCs w:val="20"/>
                <w:color w:val="auto"/>
              </w:rPr>
            </w:pPr>
            <w:r>
              <w:rPr>
                <w:rFonts w:ascii="Arial" w:cs="Arial" w:eastAsia="Arial" w:hAnsi="Arial"/>
                <w:sz w:val="16"/>
                <w:szCs w:val="16"/>
                <w:color w:val="auto"/>
              </w:rPr>
              <w:t>—</w:t>
            </w:r>
          </w:p>
        </w:tc>
      </w:tr>
      <w:tr>
        <w:trPr>
          <w:trHeight w:val="236"/>
        </w:trPr>
        <w:tc>
          <w:tcPr>
            <w:tcW w:w="3440" w:type="dxa"/>
            <w:vAlign w:val="bottom"/>
            <w:tcBorders>
              <w:bottom w:val="single" w:sz="8" w:color="003595"/>
            </w:tcBorders>
            <w:shd w:val="clear" w:color="auto" w:fill="D2D6E3"/>
          </w:tcPr>
          <w:p>
            <w:pPr>
              <w:ind w:left="20"/>
              <w:spacing w:after="0"/>
              <w:rPr>
                <w:sz w:val="20"/>
                <w:szCs w:val="20"/>
                <w:color w:val="auto"/>
              </w:rPr>
            </w:pPr>
            <w:r>
              <w:rPr>
                <w:rFonts w:ascii="Arial" w:cs="Arial" w:eastAsia="Arial" w:hAnsi="Arial"/>
                <w:sz w:val="16"/>
                <w:szCs w:val="16"/>
                <w:color w:val="auto"/>
              </w:rPr>
              <w:t>Tax Fees</w:t>
            </w:r>
          </w:p>
        </w:tc>
        <w:tc>
          <w:tcPr>
            <w:tcW w:w="1760" w:type="dxa"/>
            <w:vAlign w:val="bottom"/>
            <w:tcBorders>
              <w:bottom w:val="single" w:sz="8" w:color="003595"/>
            </w:tcBorders>
            <w:shd w:val="clear" w:color="auto" w:fill="D2D6E3"/>
          </w:tcPr>
          <w:p>
            <w:pPr>
              <w:jc w:val="right"/>
              <w:ind w:right="2"/>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003595"/>
            </w:tcBorders>
            <w:shd w:val="clear" w:color="auto" w:fill="D2D6E3"/>
          </w:tcPr>
          <w:p>
            <w:pPr>
              <w:jc w:val="right"/>
              <w:ind w:right="2"/>
              <w:spacing w:after="0"/>
              <w:rPr>
                <w:sz w:val="20"/>
                <w:szCs w:val="20"/>
                <w:color w:val="auto"/>
              </w:rPr>
            </w:pPr>
            <w:r>
              <w:rPr>
                <w:rFonts w:ascii="Arial" w:cs="Arial" w:eastAsia="Arial" w:hAnsi="Arial"/>
                <w:sz w:val="16"/>
                <w:szCs w:val="16"/>
                <w:color w:val="auto"/>
              </w:rPr>
              <w:t>—</w:t>
            </w:r>
          </w:p>
        </w:tc>
      </w:tr>
      <w:tr>
        <w:trPr>
          <w:trHeight w:val="237"/>
        </w:trPr>
        <w:tc>
          <w:tcPr>
            <w:tcW w:w="344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auto"/>
              </w:rPr>
              <w:t>All Other Fees</w:t>
            </w:r>
          </w:p>
        </w:tc>
        <w:tc>
          <w:tcPr>
            <w:tcW w:w="1760" w:type="dxa"/>
            <w:vAlign w:val="bottom"/>
            <w:tcBorders>
              <w:bottom w:val="single" w:sz="8" w:color="003595"/>
            </w:tcBorders>
          </w:tcPr>
          <w:p>
            <w:pPr>
              <w:jc w:val="right"/>
              <w:ind w:right="2"/>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003595"/>
            </w:tcBorders>
          </w:tcPr>
          <w:p>
            <w:pPr>
              <w:jc w:val="right"/>
              <w:ind w:right="2"/>
              <w:spacing w:after="0"/>
              <w:rPr>
                <w:sz w:val="20"/>
                <w:szCs w:val="20"/>
                <w:color w:val="auto"/>
              </w:rPr>
            </w:pPr>
            <w:r>
              <w:rPr>
                <w:rFonts w:ascii="Arial" w:cs="Arial" w:eastAsia="Arial" w:hAnsi="Arial"/>
                <w:sz w:val="16"/>
                <w:szCs w:val="16"/>
                <w:color w:val="auto"/>
              </w:rPr>
              <w:t>—</w:t>
            </w:r>
          </w:p>
        </w:tc>
      </w:tr>
      <w:tr>
        <w:trPr>
          <w:trHeight w:val="239"/>
        </w:trPr>
        <w:tc>
          <w:tcPr>
            <w:tcW w:w="3440" w:type="dxa"/>
            <w:vAlign w:val="bottom"/>
            <w:tcBorders>
              <w:bottom w:val="single" w:sz="8" w:color="003595"/>
            </w:tcBorders>
            <w:shd w:val="clear" w:color="auto" w:fill="D2D6E3"/>
          </w:tcPr>
          <w:p>
            <w:pPr>
              <w:ind w:left="460"/>
              <w:spacing w:after="0"/>
              <w:rPr>
                <w:sz w:val="20"/>
                <w:szCs w:val="20"/>
                <w:color w:val="auto"/>
              </w:rPr>
            </w:pPr>
            <w:r>
              <w:rPr>
                <w:rFonts w:ascii="Arial" w:cs="Arial" w:eastAsia="Arial" w:hAnsi="Arial"/>
                <w:sz w:val="16"/>
                <w:szCs w:val="16"/>
                <w:b w:val="1"/>
                <w:bCs w:val="1"/>
                <w:color w:val="003595"/>
              </w:rPr>
              <w:t>Totals</w:t>
            </w:r>
          </w:p>
        </w:tc>
        <w:tc>
          <w:tcPr>
            <w:tcW w:w="1760" w:type="dxa"/>
            <w:vAlign w:val="bottom"/>
            <w:tcBorders>
              <w:bottom w:val="single" w:sz="8" w:color="003595"/>
            </w:tcBorders>
            <w:shd w:val="clear" w:color="auto" w:fill="D2D6E3"/>
          </w:tcPr>
          <w:p>
            <w:pPr>
              <w:jc w:val="right"/>
              <w:ind w:right="2"/>
              <w:spacing w:after="0"/>
              <w:rPr>
                <w:sz w:val="20"/>
                <w:szCs w:val="20"/>
                <w:color w:val="auto"/>
              </w:rPr>
            </w:pPr>
            <w:r>
              <w:rPr>
                <w:rFonts w:ascii="Arial" w:cs="Arial" w:eastAsia="Arial" w:hAnsi="Arial"/>
                <w:sz w:val="16"/>
                <w:szCs w:val="16"/>
                <w:color w:val="003595"/>
              </w:rPr>
              <w:t>2,415,949</w:t>
            </w:r>
          </w:p>
        </w:tc>
        <w:tc>
          <w:tcPr>
            <w:tcW w:w="1860" w:type="dxa"/>
            <w:vAlign w:val="bottom"/>
            <w:tcBorders>
              <w:bottom w:val="single" w:sz="8" w:color="003595"/>
            </w:tcBorders>
            <w:shd w:val="clear" w:color="auto" w:fill="D2D6E3"/>
          </w:tcPr>
          <w:p>
            <w:pPr>
              <w:jc w:val="right"/>
              <w:ind w:right="2"/>
              <w:spacing w:after="0"/>
              <w:rPr>
                <w:sz w:val="20"/>
                <w:szCs w:val="20"/>
                <w:color w:val="auto"/>
              </w:rPr>
            </w:pPr>
            <w:r>
              <w:rPr>
                <w:rFonts w:ascii="Arial" w:cs="Arial" w:eastAsia="Arial" w:hAnsi="Arial"/>
                <w:sz w:val="16"/>
                <w:szCs w:val="16"/>
                <w:color w:val="003595"/>
              </w:rPr>
              <w:t>2,242,793</w:t>
            </w: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i w:val="1"/>
          <w:iCs w:val="1"/>
          <w:color w:val="auto"/>
        </w:rPr>
        <w:t xml:space="preserve">Audit Fees — </w:t>
      </w:r>
      <w:r>
        <w:rPr>
          <w:rFonts w:ascii="Arial" w:cs="Arial" w:eastAsia="Arial" w:hAnsi="Arial"/>
          <w:sz w:val="16"/>
          <w:szCs w:val="16"/>
          <w:color w:val="auto"/>
        </w:rPr>
        <w:t>Fees include audits of consolidated financial statements, quarterly reviews, reviews of registration statement filings, and consents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SEC filings.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Audit-Related Fees — </w:t>
      </w:r>
      <w:r>
        <w:rPr>
          <w:rFonts w:ascii="Arial" w:cs="Arial" w:eastAsia="Arial" w:hAnsi="Arial"/>
          <w:sz w:val="16"/>
          <w:szCs w:val="16"/>
          <w:color w:val="auto"/>
        </w:rPr>
        <w:t>Fees include services for assurance and related services that are reasonably related to the performance of the audit or review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that are not reported under “audit fees.”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Tax Fees — </w:t>
      </w:r>
      <w:r>
        <w:rPr>
          <w:rFonts w:ascii="Arial" w:cs="Arial" w:eastAsia="Arial" w:hAnsi="Arial"/>
          <w:sz w:val="16"/>
          <w:szCs w:val="16"/>
          <w:color w:val="auto"/>
        </w:rPr>
        <w:t>We did not engage EY to perform any tax related services.</w:t>
      </w:r>
    </w:p>
    <w:p>
      <w:pPr>
        <w:spacing w:after="0" w:line="252"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b w:val="1"/>
          <w:bCs w:val="1"/>
          <w:color w:val="003595"/>
        </w:rPr>
        <w:t>Policy on Audit and Finance Committee Preapproval of Audit and Permissible Non-Audit Services of Independent Public Accountant</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Consistent with SEC policies regarding auditor independence, the AFC has responsibility for appointing, setting compensation and overseeing the work of the independent public accounting firm. In recognition of this responsibility, the AFC has established a policy to preapprove all audit and permissible non-audit services provided by our independent public accounting firm.</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Prior to engagement of an independent registered public accounting firm for the next year’s audit, management will submit an aggregate of services expected to be rendered during that year for each of four categories of services to the AFC for approval.</w:t>
      </w:r>
    </w:p>
    <w:p>
      <w:pPr>
        <w:spacing w:after="0" w:line="168" w:lineRule="exact"/>
        <w:rPr>
          <w:sz w:val="20"/>
          <w:szCs w:val="20"/>
          <w:color w:val="auto"/>
        </w:rPr>
      </w:pPr>
    </w:p>
    <w:p>
      <w:pPr>
        <w:jc w:val="both"/>
        <w:ind w:left="660" w:hanging="328"/>
        <w:spacing w:after="0" w:line="275"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Audit services include audit work performed in the preparation of financial statements, as well as work that generally only an independent registered public accounting firm can reasonably be expected to provide, including comfort letters, statutory audits, and attest services and consultation regarding financial accounting and/or reporting standards.</w:t>
      </w:r>
    </w:p>
    <w:p>
      <w:pPr>
        <w:spacing w:after="0" w:line="191"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Audit-Related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w:t>
      </w:r>
    </w:p>
    <w:p>
      <w:pPr>
        <w:spacing w:after="0" w:line="191" w:lineRule="exact"/>
        <w:rPr>
          <w:rFonts w:ascii="Arial" w:cs="Arial" w:eastAsia="Arial" w:hAnsi="Arial"/>
          <w:sz w:val="16"/>
          <w:szCs w:val="16"/>
          <w:color w:val="auto"/>
        </w:rPr>
      </w:pPr>
    </w:p>
    <w:p>
      <w:pPr>
        <w:ind w:left="660" w:right="20" w:hanging="328"/>
        <w:spacing w:after="0" w:line="304"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Tax services include all services performed by an independent registered public accounting firm’s tax personnel except those services specifically related to the audit of the financial statements, and includes fees in the areas of tax compliance, tax planning, and tax advice.</w:t>
      </w:r>
    </w:p>
    <w:p>
      <w:pPr>
        <w:spacing w:after="0" w:line="168" w:lineRule="exact"/>
        <w:rPr>
          <w:rFonts w:ascii="Arial" w:cs="Arial" w:eastAsia="Arial" w:hAnsi="Arial"/>
          <w:sz w:val="16"/>
          <w:szCs w:val="16"/>
          <w:color w:val="auto"/>
        </w:rPr>
      </w:pPr>
    </w:p>
    <w:p>
      <w:pPr>
        <w:ind w:left="660" w:hanging="328"/>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Other Fees are those associated with services not captured in the other categories.</w:t>
      </w:r>
    </w:p>
    <w:p>
      <w:pPr>
        <w:sectPr>
          <w:pgSz w:w="11900" w:h="16838" w:orient="portrait"/>
          <w:cols w:equalWidth="0" w:num="1">
            <w:col w:w="11240"/>
          </w:cols>
          <w:pgMar w:left="320" w:top="7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78" w:name="page79"/>
    <w:bookmarkEnd w:id="78"/>
    <w:p>
      <w:pPr>
        <w:jc w:val="both"/>
        <w:spacing w:after="0" w:line="265" w:lineRule="auto"/>
        <w:rPr>
          <w:sz w:val="20"/>
          <w:szCs w:val="20"/>
          <w:color w:val="auto"/>
        </w:rPr>
      </w:pPr>
      <w:r>
        <w:rPr>
          <w:rFonts w:ascii="Arial" w:cs="Arial" w:eastAsia="Arial" w:hAnsi="Arial"/>
          <w:sz w:val="16"/>
          <w:szCs w:val="16"/>
          <w:color w:val="auto"/>
        </w:rPr>
        <w:t>Prior to engagement of the independent registered public accounting firm, engagement letters describing the scope of service and the anticipated fees are negotiated and approved by the AFC. During the year, circumstances may arise in which it may become necessary to engage our independent registered public accounting firm for additional services not contemplated in the original preapproval. In those instances, the AFC requires specific preapproval before engaging our independent registered public accounting firm. The AFC may delegate preapproval authority to one or more of its members. The member to whom such authority is delegated must report, for informational purposes only, any pre-approval decisions to the AFC at its next scheduled meeting.</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affirmative vote of a majority of the shares voted affirmatively or negatively at the Annual Meeting is required to ratify the selection of our independent registered public accounting firm.</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our stockholders ratify the selection of EY, the AFC may still, in its discretion, decide to select a different independent auditor at any time during the year ending December 31, 2026, if it concludes that such a change would be in the best interests of Myriad and our stockholders. If our stockholders fail to ratify the selection, the AFC will reconsider, but not necessarily rescind, the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40575" cy="3771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0575" cy="377190"/>
                    </a:xfrm>
                    <a:prstGeom prst="rect">
                      <a:avLst/>
                    </a:prstGeom>
                    <a:noFill/>
                  </pic:spPr>
                </pic:pic>
              </a:graphicData>
            </a:graphic>
          </wp:anchor>
        </w:drawing>
      </w:r>
    </w:p>
    <w:p>
      <w:pPr>
        <w:spacing w:after="0" w:line="225" w:lineRule="exact"/>
        <w:rPr>
          <w:sz w:val="20"/>
          <w:szCs w:val="20"/>
          <w:color w:val="auto"/>
        </w:rPr>
      </w:pPr>
    </w:p>
    <w:p>
      <w:pPr>
        <w:ind w:left="560" w:right="220" w:firstLine="1341"/>
        <w:spacing w:after="0" w:line="185" w:lineRule="auto"/>
        <w:rPr>
          <w:sz w:val="20"/>
          <w:szCs w:val="20"/>
          <w:color w:val="auto"/>
        </w:rPr>
      </w:pPr>
      <w:r>
        <w:rPr>
          <w:rFonts w:ascii="Arial" w:cs="Arial" w:eastAsia="Arial" w:hAnsi="Arial"/>
          <w:sz w:val="12"/>
          <w:szCs w:val="12"/>
          <w:b w:val="1"/>
          <w:bCs w:val="1"/>
          <w:color w:val="0071CE"/>
        </w:rPr>
        <w:t xml:space="preserve">The Board Recommends a Vote to Ratify the Selection of Ernst &amp; Young LLP as Our Independent Registered Public </w:t>
      </w:r>
      <w:r>
        <w:rPr>
          <w:rFonts w:ascii="Wingdings" w:cs="Wingdings" w:eastAsia="Wingdings" w:hAnsi="Wingdings"/>
          <w:sz w:val="21"/>
          <w:szCs w:val="21"/>
          <w:b w:val="1"/>
          <w:bCs w:val="1"/>
          <w:color w:val="000000"/>
          <w:shd w:val="clear" w:color="auto" w:fill="3DAE2B"/>
        </w:rPr>
        <w:t xml:space="preserve">ü </w:t>
      </w:r>
      <w:r>
        <w:rPr>
          <w:rFonts w:ascii="Arial" w:cs="Arial" w:eastAsia="Arial" w:hAnsi="Arial"/>
          <w:sz w:val="12"/>
          <w:szCs w:val="12"/>
          <w:b w:val="1"/>
          <w:bCs w:val="1"/>
          <w:color w:val="0071CE"/>
        </w:rPr>
        <w:t>Accounting Firm, and Proxies Solicited by the Board Will be Voted in Favor of Such Ratification Unless a Stockholder has</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0071CE"/>
        </w:rPr>
        <w:t>Indicated Otherwise on the Proxy.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5"/>
          <w:szCs w:val="25"/>
          <w:b w:val="1"/>
          <w:bCs w:val="1"/>
          <w:color w:val="003595"/>
        </w:rPr>
        <w:t>PROPOSAL 3:</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71CE"/>
        </w:rPr>
        <w:t>Approval, on an Advisory Basis, of the Compensation of Our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71CE"/>
        </w:rPr>
        <w:t>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005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seeking your approval, on an advisory basis, as required by Section 14A of the Securities Exchange Act of 1934, as amended, of the compensation of our NEOs, as disclosed in this proxy statement. More specifically, we ask that you support the compensation of our NEOs as disclosed in the Compensation Discussion and Analysis section, the compensation tables and any related material contained in this proxy statement with respect to our executive officers named in the Summary Compensation Table. Because your vote is advisory, it will not be binding on our CHCC or our Board. However, the CHCC and our Board will review the voting results and take them into consideration when making future decisions regarding the compensation of our NEOs.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compensation philosophy is designed to align each executive officer’s compensation with our short- and long-term performance and to provide the compensation and incentives needed to attract, motivate and retain key executive officers who are crucial to our long-term success. Consistent with this philosophy, a significant portion of the total compensation opportunity for each of our NEOs is directly related to performance factors that measure our progress against the goals of our strategic and operating plans, as well as our performance against that of our peer companies.</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Stockholders are urged to read the Compensation Discussion and Analysis section of this proxy statement, which discusses how our compensation policies and procedures implement our compensation philosophy. The CHCC and the Board believe that these policies and procedures are effective in implementing our compensation philosophy and in achieving its goals</w:t>
      </w:r>
      <w:r>
        <w:rPr>
          <w:rFonts w:ascii="Arial" w:cs="Arial" w:eastAsia="Arial" w:hAnsi="Arial"/>
          <w:sz w:val="14"/>
          <w:szCs w:val="14"/>
          <w:color w:val="auto"/>
        </w:rPr>
        <w:t>.</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discussed in the Compensation Discussion and Analysis section, we believe the compensation paid to our President and Chief Executive Officer and other NEOs is appropriate as supported by our performance in the year ending December 31, 2025. For a detailed description of our 2025 performance milestones and their alignment with executive pay, please refer to the section of this proxy statement entitled "Executive and Director Compensation — Compensation Discussion and Analysis".</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Based on the performance set forth above in the "Executive and Director Compensation-Compensation Discussion and Analysis" section, we believe that the salaries and annual cash incentive bonuses paid to our President and Chief Executive Officer and our other NEOs are in line with our compensation philosophy and goals. With respect to the short-term incentive awards paid to our NEOs for 2025, we paid between 88 percent and 89 percent, respectively, of the target awards, based on the level of accomplishment of the pre-determined incentive goals.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rules of the SEC, the following resolution, commonly known as a “Say-on-Pay” vote, is being submitted for a stockholder vote at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Annual Meeting:</w:t>
      </w:r>
    </w:p>
    <w:p>
      <w:pPr>
        <w:spacing w:after="0" w:line="232"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“RESOLVED, that the compensation paid to the named executive officers of Myriad Genetics, Inc., as disclosed pursuant to the compensation disclosure rules of the Securities and Exchange Commission, including the Compensation Discussion and Analysis, the compensation tables and any related material disclosed in this proxy statement, is hereby APPROVED.”</w:t>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affirmative vote of a majority of the shares voted affirmatively or negatively at the Annual Meeting is required to approve, on an advisory basis, this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40575" cy="3771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0575" cy="377190"/>
                    </a:xfrm>
                    <a:prstGeom prst="rect">
                      <a:avLst/>
                    </a:prstGeom>
                    <a:noFill/>
                  </pic:spPr>
                </pic:pic>
              </a:graphicData>
            </a:graphic>
          </wp:anchor>
        </w:drawing>
      </w:r>
    </w:p>
    <w:p>
      <w:pPr>
        <w:spacing w:after="0" w:line="217" w:lineRule="exact"/>
        <w:rPr>
          <w:sz w:val="20"/>
          <w:szCs w:val="20"/>
          <w:color w:val="auto"/>
        </w:rPr>
      </w:pPr>
    </w:p>
    <w:p>
      <w:pPr>
        <w:ind w:left="560" w:right="100" w:firstLine="1011"/>
        <w:spacing w:after="0" w:line="185" w:lineRule="auto"/>
        <w:rPr>
          <w:sz w:val="20"/>
          <w:szCs w:val="20"/>
          <w:color w:val="auto"/>
        </w:rPr>
      </w:pPr>
      <w:r>
        <w:rPr>
          <w:rFonts w:ascii="Arial" w:cs="Arial" w:eastAsia="Arial" w:hAnsi="Arial"/>
          <w:sz w:val="12"/>
          <w:szCs w:val="12"/>
          <w:b w:val="1"/>
          <w:bCs w:val="1"/>
          <w:color w:val="0071CE"/>
        </w:rPr>
        <w:t xml:space="preserve">The Board Recommends a Vote to Approve, on an Advisory Basis, the Compensation of Our Named Executive Officers, and </w:t>
      </w:r>
      <w:r>
        <w:rPr>
          <w:rFonts w:ascii="Wingdings" w:cs="Wingdings" w:eastAsia="Wingdings" w:hAnsi="Wingdings"/>
          <w:sz w:val="21"/>
          <w:szCs w:val="21"/>
          <w:b w:val="1"/>
          <w:bCs w:val="1"/>
          <w:color w:val="000000"/>
          <w:shd w:val="clear" w:color="auto" w:fill="3DAE2B"/>
        </w:rPr>
        <w:t xml:space="preserve">ü </w:t>
      </w:r>
      <w:r>
        <w:rPr>
          <w:rFonts w:ascii="Arial" w:cs="Arial" w:eastAsia="Arial" w:hAnsi="Arial"/>
          <w:sz w:val="12"/>
          <w:szCs w:val="12"/>
          <w:b w:val="1"/>
          <w:bCs w:val="1"/>
          <w:color w:val="0071CE"/>
        </w:rPr>
        <w:t>Proxies Solicited by the Board Will be Voted in Favor of Such Approval Unless a Stockholder Has Indicated Otherwise on the</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0071CE"/>
        </w:rPr>
        <w:t>Proxy.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5"/>
          <w:szCs w:val="25"/>
          <w:b w:val="1"/>
          <w:bCs w:val="1"/>
          <w:color w:val="003595"/>
        </w:rPr>
        <w:t>PROPOSAL 4:</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71CE"/>
        </w:rPr>
        <w:t>Approval of the Proposed Amendment to the Amended and Restated 2012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0054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seeking your approval of our amendment to the Amended and Restated 2012 Employee Stock Purchase Plan (as amended or restated, the "Purchase Plan") to increase the number of shares authorized for issuance under the Purchase Plan by an additional 4,000,000 shares.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Purchase Plan was originally adopted by our Board on September 13, 2012, and subsequently approved by our stockholders and became effective on December 5, 2012. The Purchase Plan, as originally adopted, provided our employees with the opportunity to purchase up to two million shares of our common stock at a discount on a tax-favored basis through payroll deductions in compliance with Section 423 of the Internal Revenue Code of 1986, as amended (the "Code"). On September 23, 2021, our Board approved an amended and restated Purchase Plan, which authorized an additional two million shares of our common stock and extended the term of the Purchase Plan to November 30, 2032, subject in each case to obtaining stockholder approval, which was obtained on June 2, 2022. We adopted the Purchase Plan to provide our employees the opportunity to purchase shares of our common stock at a discounted price as an incentive for continued employment. The Purchase Plan also allows eligible employees to become stockholders of the Company and participate in our success, which aligns the interests of participating employees with those of our stockholders.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the date of this proxy statement, there were no shares of our common stock available for issuance under the Purchase Plan. As a result, additional shares of our common stock need to be authorized for us to continue using the Purchase Plan as a benefit to attract and retain employees.</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On March 26, 2026, our Board approved an amendment to the Purchase Plan, which authorizes an additional 4,000,000 shares of our common stock, subject to obtaining stockholder approval at the Annual Meeting. In determining the appropriate number of shares by which to increase the shares available for issuance, the Board considered several factors, including historical purchase activity, the percentage of outstanding shares represented by the additional share reserve, forecasts of expected share utilization, and the anticipated timeframe before the share reserve is depleted.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the Purchase Plan</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is a summary of the principal provisions of the Purchase Plan, as amended to date, a copy of which is attached as Appendix B to this proxy statement. This summary does not purport to be a complete description of all of the provisions of the Purchase Plan and is qualified in its entirety by reference to the full text of the Purchase Plan.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Administration</w:t>
      </w: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Board has delegated its authority to administer the Purchase Plan to our CHCC. The Board, or the CHCC, is responsible for supervising and administering the Purchase Plan and has the full power to adopt, amend and rescind any rules deemed desirable and appropriate for the administration of the Purchase Plan and not inconsistent with the Purchase Plan, to construe and interpret the Purchase Plan, to correct any defect or supply any omission or reconcile any inconsistency or ambiguity in the Purchase Plan, and to make all other determinations necessary or advisable for the administration of the Purchase Plan.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Securities Subject to the Purchase Plan</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Assuming the amended Purchase Plan is approved by our stockholders at the Annual Meeting, 4,000,000 additional shares of our common stock will be available for issuance under the Purchase Plan, for a total of 4,000,000 shares available for sale under the Purchase Plan. Subject to any required action by the stockholders of the Company, the number of shares of our common stock covered by unexercised options under the Purchase Plan and the number of shares of common stock which have been authorized for issuance under the Purchase Plan but are not yet subject to options, as well as the price per share of common stock covered by each unexercised option under the Plan, shall be proportionately adjusted for any increase or decrease in the number of issued shares of common stock resulting from a stock split, reverse stock split, stock dividend, combination or reclassification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Eligibility</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All employees who customarily work 20 hours or more per week and have been continuously employed by us for at least three months will be eligible to participate in the Purchase Plan. However, no employee will be granted an option under the Purchase Plan if, immediately after the grant, such employee would own shares representing 5% or more of the voting power of our common stock or which permits his or her rights to purchase shares of our common stock under the Purchase Plan to accrue at a rate which exceeds $25,000 of fair market value in any one calendar year, based on the undiscounted fair market value of our common stock on the first day of each offering period. In addition, no participant may purchase more than 5,000 shares of our common stock during any offering period.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Offering Price</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price per share of the common stock acquired in connection with any offering period shall be the lesser of 85% of the fair market value of a share of common stock on the exercise date or offering date.</w:t>
      </w:r>
    </w:p>
    <w:p>
      <w:pPr>
        <w:sectPr>
          <w:pgSz w:w="11900" w:h="16838" w:orient="portrait"/>
          <w:cols w:equalWidth="0" w:num="1">
            <w:col w:w="11240"/>
          </w:cols>
          <w:pgMar w:left="320" w:top="763"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i w:val="1"/>
          <w:iCs w:val="1"/>
          <w:color w:val="0071CE"/>
        </w:rPr>
        <w:t>Offering Periods and Purchase Rights</w:t>
      </w:r>
    </w:p>
    <w:p>
      <w:pPr>
        <w:spacing w:after="0" w:line="24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Eligible employees may enroll in semi-annual offering periods during the open enrollment period prior to the start of that offering period. All offering periods will commence on June 1 and December 1 or the first business day thereafter and shall end on the last business day of the sixth month period thereafter, unless the Board or CHCC changes the dates or duration of an offering period. The dates and provisions of separate offering periods under the Purchase Plan need not be identical, provided that the terms of participation are the same within any particular offering period except for any differences permitted by Section 423 of the Code. The most recent offering period started on December 1, 2025, and was extended by the CHCC until June 11, 2026, so that stockholder approval of the amended and restated Purchase Plan could be obtained. The following offering period will commence on June 12, 2026 and conclude on November 30, 2026. At the commencement of each offering period, each eligible employee who elects to participate shall be granted an option to purchase a number of shares of our common stock, which number of shares shall be calculated as of the end of the offering period. On the exercise date all options will be automatically exercised for the purchase of a number of shares of our common stock determined by dividing such employee’s contributions accumulated prior to such exercise date by the lesser of (i) 85% of the fair market value of our common stock on the offering date, or (ii) 85% of the fair market value of our common stock on the exercise date. The fair market value of the common stock on a given date shall be the closing or last sale price of the common stock for such date.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Payroll Deductions and Stock Purchases</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Each participant shall elect to have payroll deductions made on each payroll date during an offering period in an amount not less than 1% nor more than 10% of such participant’s compensation on each such payroll period, not to exceed $21,250 per year. A participant may not make any additional payments under the Purchase Plan. A participant may discontinue his or her participation in the Purchase Plan at any time and on one occasion only during the offering period, may decrease, but may not increase, the rate of his or her contributions.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Termination of Participation and Withdrawal</w:t>
      </w:r>
    </w:p>
    <w:p>
      <w:pPr>
        <w:spacing w:after="0" w:line="24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 participant may withdraw all but not less than all contributions made under the Purchase Plan at any time prior to the exercise date of an offering period and upon such withdrawal all of the participant’s contributions will be paid to him or her and the option will be automatically terminated.</w:t>
      </w:r>
    </w:p>
    <w:p>
      <w:pPr>
        <w:spacing w:after="0" w:line="1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Upon termination of the participant’s employment prior to an exercise date for any reason, including retirement or death, the participant’s contributions will be returned to him or her and the option will be automatically terminated.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Stockholder Rights</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Neither the granting of an option nor a deduction from payroll will constitute a participant as the owner of shares covered by an option. No participant will have any right as a stockholder unless and until an option has been exercised, and the shares underlying the option have been registered in the Company’s share register.</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Transferability</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Neither contributions credited to a participant’s account nor any rights with regard to the exercise of an option or to receive shares under the Purchase Plan may be assigned, transferred, pledged or otherwise disposed of in any way, other than by will, the laws of descent and distribution, or the designation of a beneficiary by the participant.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Amendment and Termination</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Board may at any time terminate or amend the Purchase Plan provided that no such termination may affect options previously granted, nor may an amendment make any change in any option outstanding that would adversely affects the rights of any participant provided that an offering period may be terminated by the Board or the Board may set a new exercise date with respect to an offering period then in progress if the Board determines that termination of the offering period is in the best interests of the Company and the stockholders or if continuation of the offering period would cause the Company to incur adverse accounting charges in the generally accepted accounting rules applicable to the Purchase Plan. No amendment will be made without stockholder approval if stockholder approval is required under Section 423 of the Code, any national securities exchange or system on which the common stock is then listed or reported, or under any other applicable laws, rules, or regulations. The Purchase Plan became effective on December 5, 2012, and will continue in effect until November 30, 2032 unless sooner terminated in accordance with the Purchase Plan.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Federal Tax Consequences</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It is the intention of the Company to have the Purchase Plan and the rights of participant employees to make purchases thereunder qualify as an “employee stock purchase plan” under the provisions of Section 421 and Section 423 of the Code. Therefore, the provisions of the Purchase Plan are to be construed to govern participation in a manner consistent with these requirements. Under these provisions, no income will be taxable to a participant until the shares of common stock purchased under the Purchase Plan are sold or otherwise disposed of.</w:t>
      </w:r>
    </w:p>
    <w:p>
      <w:pPr>
        <w:sectPr>
          <w:pgSz w:w="11900" w:h="16838" w:orient="portrait"/>
          <w:cols w:equalWidth="0" w:num="1">
            <w:col w:w="11240"/>
          </w:cols>
          <w:pgMar w:left="320" w:top="10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type w:val="continuous"/>
        </w:sectPr>
      </w:pPr>
    </w:p>
    <w:bookmarkStart w:id="82" w:name="page83"/>
    <w:bookmarkEnd w:id="82"/>
    <w:p>
      <w:pPr>
        <w:jc w:val="both"/>
        <w:ind w:right="20"/>
        <w:spacing w:after="0" w:line="275" w:lineRule="auto"/>
        <w:rPr>
          <w:sz w:val="20"/>
          <w:szCs w:val="20"/>
          <w:color w:val="auto"/>
        </w:rPr>
      </w:pPr>
      <w:r>
        <w:rPr>
          <w:rFonts w:ascii="Arial" w:cs="Arial" w:eastAsia="Arial" w:hAnsi="Arial"/>
          <w:sz w:val="16"/>
          <w:szCs w:val="16"/>
          <w:color w:val="auto"/>
        </w:rPr>
        <w:t>Upon sale or other disposition of the shares, the participant will generally be subject to tax and the amount of the tax will depend upon the holding period. If the shares are sold or otherwise disposed of more than two years from the first day of the relevant offering period (and more than one year from the date the shares are purchased), then the participant generally will recognize ordinary income measured as the lesser of:</w:t>
      </w:r>
    </w:p>
    <w:p>
      <w:pPr>
        <w:spacing w:after="0" w:line="191" w:lineRule="exact"/>
        <w:rPr>
          <w:sz w:val="20"/>
          <w:szCs w:val="20"/>
          <w:color w:val="auto"/>
        </w:rPr>
      </w:pPr>
    </w:p>
    <w:p>
      <w:pPr>
        <w:ind w:left="840" w:hanging="184"/>
        <w:spacing w:after="0"/>
        <w:tabs>
          <w:tab w:leader="none" w:pos="8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excess of the fair market value of the shares at the time of such sale or disposition over the purchase price, or</w:t>
      </w:r>
    </w:p>
    <w:p>
      <w:pPr>
        <w:spacing w:after="0" w:line="261" w:lineRule="exact"/>
        <w:rPr>
          <w:rFonts w:ascii="Arial" w:cs="Arial" w:eastAsia="Arial" w:hAnsi="Arial"/>
          <w:sz w:val="16"/>
          <w:szCs w:val="16"/>
          <w:color w:val="auto"/>
        </w:rPr>
      </w:pPr>
    </w:p>
    <w:p>
      <w:pPr>
        <w:ind w:right="2300" w:firstLine="656"/>
        <w:spacing w:after="0" w:line="563" w:lineRule="auto"/>
        <w:tabs>
          <w:tab w:leader="none" w:pos="873"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 amount equal to 15% of the fair market value of the shares as of the first day of the applicable offering period. Any additional gain should be treated as long-term capital gain.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the shares are sold or otherwise disposed of before the expiration of this holding period, the participant will recognize ordinary income at the time of such disposition generally measured as the excess of the fair market value of the shares on the date the shares are purchased over the purchase price. Any additional gain or loss on such sale or disposition will be long-term or short-term capital gain or loss, depending on the holding period.</w:t>
      </w:r>
    </w:p>
    <w:p>
      <w:pPr>
        <w:spacing w:after="0" w:line="20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are not entitled to a deduction for amounts taxed as ordinary income or capital gain to a participant except to the extent ordinary income is recognized by participants upon a sale or disposition of shares prior to the expiration of the holding period(s) described above. In all other cases, no deduction is allowed to the Company.</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foregoing tax discussion is a general description of certain expected federal income tax results under current law. No attempt has been made to address any state, local, foreign or estate and gift tax consequences that may arise in connection with participation in the Purchase Plan.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New Plan Benefits</w:t>
      </w:r>
    </w:p>
    <w:p>
      <w:pPr>
        <w:spacing w:after="0" w:line="2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Participation in the Purchase Plan is voluntary, and each eligible employee will make his or her own decision whether and to what extent to participate in the Purchase Plan. It is therefore not possible to determine the benefits or amounts that will be received in the future by individual employees or groups of employees under the Purchase Plan. As of April 8, 2026, the closing price of a share of our common stock was $4.77.</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Plan Benefits</w:t>
      </w:r>
    </w:p>
    <w:p>
      <w:pPr>
        <w:spacing w:after="0" w:line="246"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table below shows, as to the listed individuals and specified groups, the number of shares of common stock purchased under the Purchase Plan since its inception. Non-employee directors are not eligible to participate in the Purchase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shd w:val="clear" w:color="auto" w:fill="003595"/>
          </w:tcPr>
          <w:p>
            <w:pPr>
              <w:spacing w:after="0"/>
              <w:rPr>
                <w:sz w:val="18"/>
                <w:szCs w:val="18"/>
                <w:color w:val="auto"/>
              </w:rPr>
            </w:pPr>
          </w:p>
        </w:tc>
        <w:tc>
          <w:tcPr>
            <w:tcW w:w="4460" w:type="dxa"/>
            <w:vAlign w:val="bottom"/>
            <w:shd w:val="clear" w:color="auto" w:fill="003595"/>
          </w:tcPr>
          <w:p>
            <w:pPr>
              <w:jc w:val="center"/>
              <w:ind w:left="2259"/>
              <w:spacing w:after="0"/>
              <w:rPr>
                <w:sz w:val="20"/>
                <w:szCs w:val="20"/>
                <w:color w:val="auto"/>
              </w:rPr>
            </w:pPr>
            <w:r>
              <w:rPr>
                <w:rFonts w:ascii="Arial" w:cs="Arial" w:eastAsia="Arial" w:hAnsi="Arial"/>
                <w:sz w:val="16"/>
                <w:szCs w:val="16"/>
                <w:b w:val="1"/>
                <w:bCs w:val="1"/>
                <w:color w:val="FFFFFF"/>
              </w:rPr>
              <w:t>Number of Purchased</w:t>
            </w:r>
          </w:p>
        </w:tc>
      </w:tr>
      <w:tr>
        <w:trPr>
          <w:trHeight w:val="230"/>
        </w:trPr>
        <w:tc>
          <w:tcPr>
            <w:tcW w:w="6780" w:type="dxa"/>
            <w:vAlign w:val="bottom"/>
            <w:shd w:val="clear" w:color="auto" w:fill="003595"/>
          </w:tcPr>
          <w:p>
            <w:pPr>
              <w:ind w:left="20"/>
              <w:spacing w:after="0"/>
              <w:rPr>
                <w:sz w:val="20"/>
                <w:szCs w:val="20"/>
                <w:color w:val="auto"/>
              </w:rPr>
            </w:pPr>
            <w:r>
              <w:rPr>
                <w:rFonts w:ascii="Arial" w:cs="Arial" w:eastAsia="Arial" w:hAnsi="Arial"/>
                <w:sz w:val="16"/>
                <w:szCs w:val="16"/>
                <w:b w:val="1"/>
                <w:bCs w:val="1"/>
                <w:color w:val="FFFFFF"/>
              </w:rPr>
              <w:t>Name and Position, or Group</w:t>
            </w:r>
          </w:p>
        </w:tc>
        <w:tc>
          <w:tcPr>
            <w:tcW w:w="4460" w:type="dxa"/>
            <w:vAlign w:val="bottom"/>
            <w:shd w:val="clear" w:color="auto" w:fill="003595"/>
          </w:tcPr>
          <w:p>
            <w:pPr>
              <w:jc w:val="center"/>
              <w:ind w:left="2279"/>
              <w:spacing w:after="0"/>
              <w:rPr>
                <w:sz w:val="20"/>
                <w:szCs w:val="20"/>
                <w:color w:val="auto"/>
              </w:rPr>
            </w:pPr>
            <w:r>
              <w:rPr>
                <w:rFonts w:ascii="Arial" w:cs="Arial" w:eastAsia="Arial" w:hAnsi="Arial"/>
                <w:sz w:val="16"/>
                <w:szCs w:val="16"/>
                <w:b w:val="1"/>
                <w:bCs w:val="1"/>
                <w:color w:val="FFFFFF"/>
              </w:rPr>
              <w:t>Shares of Common Stock</w:t>
            </w:r>
          </w:p>
        </w:tc>
      </w:tr>
      <w:tr>
        <w:trPr>
          <w:trHeight w:val="237"/>
        </w:trPr>
        <w:tc>
          <w:tcPr>
            <w:tcW w:w="6780" w:type="dxa"/>
            <w:vAlign w:val="bottom"/>
            <w:tcBorders>
              <w:bottom w:val="single" w:sz="8" w:color="003595"/>
            </w:tcBorders>
            <w:shd w:val="clear" w:color="auto" w:fill="80B8E6"/>
          </w:tcPr>
          <w:p>
            <w:pPr>
              <w:ind w:left="20"/>
              <w:spacing w:after="0"/>
              <w:rPr>
                <w:sz w:val="20"/>
                <w:szCs w:val="20"/>
                <w:color w:val="auto"/>
              </w:rPr>
            </w:pPr>
            <w:r>
              <w:rPr>
                <w:rFonts w:ascii="Arial" w:cs="Arial" w:eastAsia="Arial" w:hAnsi="Arial"/>
                <w:sz w:val="16"/>
                <w:szCs w:val="16"/>
                <w:color w:val="003595"/>
              </w:rPr>
              <w:t>Named Executive Officers</w:t>
            </w:r>
          </w:p>
        </w:tc>
        <w:tc>
          <w:tcPr>
            <w:tcW w:w="4460" w:type="dxa"/>
            <w:vAlign w:val="bottom"/>
            <w:tcBorders>
              <w:bottom w:val="single" w:sz="8" w:color="003595"/>
            </w:tcBorders>
            <w:shd w:val="clear" w:color="auto" w:fill="80B8E6"/>
          </w:tcPr>
          <w:p>
            <w:pPr>
              <w:spacing w:after="0"/>
              <w:rPr>
                <w:sz w:val="20"/>
                <w:szCs w:val="20"/>
                <w:color w:val="auto"/>
              </w:rPr>
            </w:pPr>
          </w:p>
        </w:tc>
      </w:tr>
      <w:tr>
        <w:trPr>
          <w:trHeight w:val="236"/>
        </w:trPr>
        <w:tc>
          <w:tcPr>
            <w:tcW w:w="67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003595"/>
              </w:rPr>
              <w:t>Samraat S. Raha, President and Chief Executive Officer</w:t>
            </w:r>
          </w:p>
        </w:tc>
        <w:tc>
          <w:tcPr>
            <w:tcW w:w="4460" w:type="dxa"/>
            <w:vAlign w:val="bottom"/>
            <w:tcBorders>
              <w:bottom w:val="single" w:sz="8" w:color="003595"/>
            </w:tcBorders>
          </w:tcPr>
          <w:p>
            <w:pPr>
              <w:jc w:val="center"/>
              <w:ind w:left="2259"/>
              <w:spacing w:after="0"/>
              <w:rPr>
                <w:sz w:val="20"/>
                <w:szCs w:val="20"/>
                <w:color w:val="auto"/>
              </w:rPr>
            </w:pPr>
            <w:r>
              <w:rPr>
                <w:rFonts w:ascii="Arial" w:cs="Arial" w:eastAsia="Arial" w:hAnsi="Arial"/>
                <w:sz w:val="16"/>
                <w:szCs w:val="16"/>
                <w:color w:val="003595"/>
                <w:w w:val="99"/>
              </w:rPr>
              <w:t>2,616</w:t>
            </w:r>
          </w:p>
        </w:tc>
      </w:tr>
      <w:tr>
        <w:trPr>
          <w:trHeight w:val="237"/>
        </w:trPr>
        <w:tc>
          <w:tcPr>
            <w:tcW w:w="67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003595"/>
              </w:rPr>
              <w:t>Benjamin R. Wheeler, Chief Financial Officer</w:t>
            </w:r>
          </w:p>
        </w:tc>
        <w:tc>
          <w:tcPr>
            <w:tcW w:w="4460" w:type="dxa"/>
            <w:vAlign w:val="bottom"/>
            <w:tcBorders>
              <w:bottom w:val="single" w:sz="8" w:color="003595"/>
            </w:tcBorders>
          </w:tcPr>
          <w:p>
            <w:pPr>
              <w:jc w:val="center"/>
              <w:ind w:left="2259"/>
              <w:spacing w:after="0"/>
              <w:rPr>
                <w:sz w:val="20"/>
                <w:szCs w:val="20"/>
                <w:color w:val="auto"/>
              </w:rPr>
            </w:pPr>
            <w:r>
              <w:rPr>
                <w:rFonts w:ascii="Arial" w:cs="Arial" w:eastAsia="Arial" w:hAnsi="Arial"/>
                <w:sz w:val="16"/>
                <w:szCs w:val="16"/>
                <w:color w:val="003595"/>
                <w:w w:val="99"/>
              </w:rPr>
              <w:t>8,141</w:t>
            </w:r>
          </w:p>
        </w:tc>
      </w:tr>
      <w:tr>
        <w:trPr>
          <w:trHeight w:val="236"/>
        </w:trPr>
        <w:tc>
          <w:tcPr>
            <w:tcW w:w="67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003595"/>
              </w:rPr>
              <w:t>Mark S. Verratti, Chief Operating Officer</w:t>
            </w:r>
          </w:p>
        </w:tc>
        <w:tc>
          <w:tcPr>
            <w:tcW w:w="4460" w:type="dxa"/>
            <w:vAlign w:val="bottom"/>
            <w:tcBorders>
              <w:bottom w:val="single" w:sz="8" w:color="003595"/>
            </w:tcBorders>
          </w:tcPr>
          <w:p>
            <w:pPr>
              <w:jc w:val="center"/>
              <w:ind w:left="2259"/>
              <w:spacing w:after="0"/>
              <w:rPr>
                <w:sz w:val="20"/>
                <w:szCs w:val="20"/>
                <w:color w:val="auto"/>
              </w:rPr>
            </w:pPr>
            <w:r>
              <w:rPr>
                <w:rFonts w:ascii="Arial" w:cs="Arial" w:eastAsia="Arial" w:hAnsi="Arial"/>
                <w:sz w:val="16"/>
                <w:szCs w:val="16"/>
                <w:color w:val="003595"/>
                <w:w w:val="99"/>
              </w:rPr>
              <w:t>—</w:t>
            </w:r>
          </w:p>
        </w:tc>
      </w:tr>
      <w:tr>
        <w:trPr>
          <w:trHeight w:val="237"/>
        </w:trPr>
        <w:tc>
          <w:tcPr>
            <w:tcW w:w="67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003595"/>
              </w:rPr>
              <w:t>Brian J. Donnelly, Chief Commercial Officer</w:t>
            </w:r>
          </w:p>
        </w:tc>
        <w:tc>
          <w:tcPr>
            <w:tcW w:w="4460" w:type="dxa"/>
            <w:vAlign w:val="bottom"/>
            <w:tcBorders>
              <w:bottom w:val="single" w:sz="8" w:color="003595"/>
            </w:tcBorders>
          </w:tcPr>
          <w:p>
            <w:pPr>
              <w:jc w:val="center"/>
              <w:ind w:left="2259"/>
              <w:spacing w:after="0"/>
              <w:rPr>
                <w:sz w:val="20"/>
                <w:szCs w:val="20"/>
                <w:color w:val="auto"/>
              </w:rPr>
            </w:pPr>
            <w:r>
              <w:rPr>
                <w:rFonts w:ascii="Arial" w:cs="Arial" w:eastAsia="Arial" w:hAnsi="Arial"/>
                <w:sz w:val="16"/>
                <w:szCs w:val="16"/>
                <w:color w:val="003595"/>
                <w:w w:val="99"/>
              </w:rPr>
              <w:t>—</w:t>
            </w:r>
          </w:p>
        </w:tc>
      </w:tr>
      <w:tr>
        <w:trPr>
          <w:trHeight w:val="236"/>
        </w:trPr>
        <w:tc>
          <w:tcPr>
            <w:tcW w:w="67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003595"/>
              </w:rPr>
              <w:t>Dale Muzzey, Ph.D., Chief Scientific Officer</w:t>
            </w:r>
          </w:p>
        </w:tc>
        <w:tc>
          <w:tcPr>
            <w:tcW w:w="4460" w:type="dxa"/>
            <w:vAlign w:val="bottom"/>
            <w:tcBorders>
              <w:bottom w:val="single" w:sz="8" w:color="003595"/>
            </w:tcBorders>
          </w:tcPr>
          <w:p>
            <w:pPr>
              <w:jc w:val="center"/>
              <w:ind w:left="2259"/>
              <w:spacing w:after="0"/>
              <w:rPr>
                <w:sz w:val="20"/>
                <w:szCs w:val="20"/>
                <w:color w:val="auto"/>
              </w:rPr>
            </w:pPr>
            <w:r>
              <w:rPr>
                <w:rFonts w:ascii="Arial" w:cs="Arial" w:eastAsia="Arial" w:hAnsi="Arial"/>
                <w:sz w:val="16"/>
                <w:szCs w:val="16"/>
                <w:color w:val="003595"/>
                <w:w w:val="99"/>
              </w:rPr>
              <w:t>—</w:t>
            </w:r>
          </w:p>
        </w:tc>
      </w:tr>
      <w:tr>
        <w:trPr>
          <w:trHeight w:val="237"/>
        </w:trPr>
        <w:tc>
          <w:tcPr>
            <w:tcW w:w="67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003595"/>
              </w:rPr>
              <w:t>Paul J. Diaz, Former President and Chief Executive Officer</w:t>
            </w:r>
          </w:p>
        </w:tc>
        <w:tc>
          <w:tcPr>
            <w:tcW w:w="4460" w:type="dxa"/>
            <w:vAlign w:val="bottom"/>
            <w:tcBorders>
              <w:bottom w:val="single" w:sz="8" w:color="003595"/>
            </w:tcBorders>
          </w:tcPr>
          <w:p>
            <w:pPr>
              <w:jc w:val="center"/>
              <w:ind w:left="2259"/>
              <w:spacing w:after="0"/>
              <w:rPr>
                <w:sz w:val="20"/>
                <w:szCs w:val="20"/>
                <w:color w:val="auto"/>
              </w:rPr>
            </w:pPr>
            <w:r>
              <w:rPr>
                <w:rFonts w:ascii="Arial" w:cs="Arial" w:eastAsia="Arial" w:hAnsi="Arial"/>
                <w:sz w:val="16"/>
                <w:szCs w:val="16"/>
                <w:color w:val="003595"/>
                <w:w w:val="99"/>
              </w:rPr>
              <w:t>—</w:t>
            </w:r>
          </w:p>
        </w:tc>
      </w:tr>
      <w:tr>
        <w:trPr>
          <w:trHeight w:val="236"/>
        </w:trPr>
        <w:tc>
          <w:tcPr>
            <w:tcW w:w="67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003595"/>
              </w:rPr>
              <w:t>Scott J. Leffler, Former Chief Financial Officer</w:t>
            </w:r>
          </w:p>
        </w:tc>
        <w:tc>
          <w:tcPr>
            <w:tcW w:w="4460" w:type="dxa"/>
            <w:vAlign w:val="bottom"/>
            <w:tcBorders>
              <w:bottom w:val="single" w:sz="8" w:color="003595"/>
            </w:tcBorders>
          </w:tcPr>
          <w:p>
            <w:pPr>
              <w:jc w:val="center"/>
              <w:ind w:left="2259"/>
              <w:spacing w:after="0"/>
              <w:rPr>
                <w:sz w:val="20"/>
                <w:szCs w:val="20"/>
                <w:color w:val="auto"/>
              </w:rPr>
            </w:pPr>
            <w:r>
              <w:rPr>
                <w:rFonts w:ascii="Arial" w:cs="Arial" w:eastAsia="Arial" w:hAnsi="Arial"/>
                <w:sz w:val="16"/>
                <w:szCs w:val="16"/>
                <w:color w:val="003595"/>
                <w:w w:val="99"/>
              </w:rPr>
              <w:t>—</w:t>
            </w:r>
          </w:p>
        </w:tc>
      </w:tr>
      <w:tr>
        <w:trPr>
          <w:trHeight w:val="237"/>
        </w:trPr>
        <w:tc>
          <w:tcPr>
            <w:tcW w:w="67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003595"/>
              </w:rPr>
              <w:t>Margaret Ancona, Former EVP, Strategy and Transformation</w:t>
            </w:r>
          </w:p>
        </w:tc>
        <w:tc>
          <w:tcPr>
            <w:tcW w:w="4460" w:type="dxa"/>
            <w:vAlign w:val="bottom"/>
            <w:tcBorders>
              <w:bottom w:val="single" w:sz="8" w:color="003595"/>
            </w:tcBorders>
          </w:tcPr>
          <w:p>
            <w:pPr>
              <w:jc w:val="center"/>
              <w:ind w:left="2259"/>
              <w:spacing w:after="0"/>
              <w:rPr>
                <w:sz w:val="20"/>
                <w:szCs w:val="20"/>
                <w:color w:val="auto"/>
              </w:rPr>
            </w:pPr>
            <w:r>
              <w:rPr>
                <w:rFonts w:ascii="Arial" w:cs="Arial" w:eastAsia="Arial" w:hAnsi="Arial"/>
                <w:sz w:val="16"/>
                <w:szCs w:val="16"/>
                <w:color w:val="003595"/>
                <w:w w:val="99"/>
              </w:rPr>
              <w:t>—</w:t>
            </w:r>
          </w:p>
        </w:tc>
      </w:tr>
      <w:tr>
        <w:trPr>
          <w:trHeight w:val="236"/>
        </w:trPr>
        <w:tc>
          <w:tcPr>
            <w:tcW w:w="67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003595"/>
              </w:rPr>
              <w:t>All current executive officers as a group</w:t>
            </w:r>
          </w:p>
        </w:tc>
        <w:tc>
          <w:tcPr>
            <w:tcW w:w="4460" w:type="dxa"/>
            <w:vAlign w:val="bottom"/>
            <w:tcBorders>
              <w:bottom w:val="single" w:sz="8" w:color="003595"/>
            </w:tcBorders>
          </w:tcPr>
          <w:p>
            <w:pPr>
              <w:jc w:val="center"/>
              <w:ind w:left="2279"/>
              <w:spacing w:after="0"/>
              <w:rPr>
                <w:sz w:val="20"/>
                <w:szCs w:val="20"/>
                <w:color w:val="auto"/>
              </w:rPr>
            </w:pPr>
            <w:r>
              <w:rPr>
                <w:rFonts w:ascii="Arial" w:cs="Arial" w:eastAsia="Arial" w:hAnsi="Arial"/>
                <w:sz w:val="16"/>
                <w:szCs w:val="16"/>
                <w:color w:val="003595"/>
              </w:rPr>
              <w:t>10,757</w:t>
            </w:r>
          </w:p>
        </w:tc>
      </w:tr>
      <w:tr>
        <w:trPr>
          <w:trHeight w:val="237"/>
        </w:trPr>
        <w:tc>
          <w:tcPr>
            <w:tcW w:w="6780" w:type="dxa"/>
            <w:vAlign w:val="bottom"/>
            <w:tcBorders>
              <w:bottom w:val="single" w:sz="8" w:color="003595"/>
            </w:tcBorders>
          </w:tcPr>
          <w:p>
            <w:pPr>
              <w:ind w:left="20"/>
              <w:spacing w:after="0"/>
              <w:rPr>
                <w:sz w:val="20"/>
                <w:szCs w:val="20"/>
                <w:color w:val="auto"/>
              </w:rPr>
            </w:pPr>
            <w:r>
              <w:rPr>
                <w:rFonts w:ascii="Arial" w:cs="Arial" w:eastAsia="Arial" w:hAnsi="Arial"/>
                <w:sz w:val="16"/>
                <w:szCs w:val="16"/>
                <w:color w:val="003595"/>
              </w:rPr>
              <w:t>All non-executive officer employees as a group</w:t>
            </w:r>
          </w:p>
        </w:tc>
        <w:tc>
          <w:tcPr>
            <w:tcW w:w="4460" w:type="dxa"/>
            <w:vAlign w:val="bottom"/>
            <w:tcBorders>
              <w:bottom w:val="single" w:sz="8" w:color="003595"/>
            </w:tcBorders>
          </w:tcPr>
          <w:p>
            <w:pPr>
              <w:jc w:val="center"/>
              <w:ind w:left="2259"/>
              <w:spacing w:after="0"/>
              <w:rPr>
                <w:sz w:val="20"/>
                <w:szCs w:val="20"/>
                <w:color w:val="auto"/>
              </w:rPr>
            </w:pPr>
            <w:r>
              <w:rPr>
                <w:rFonts w:ascii="Arial" w:cs="Arial" w:eastAsia="Arial" w:hAnsi="Arial"/>
                <w:sz w:val="16"/>
                <w:szCs w:val="16"/>
                <w:color w:val="003595"/>
              </w:rPr>
              <w:t>3,989,243</w:t>
            </w:r>
          </w:p>
        </w:tc>
      </w:tr>
      <w:tr>
        <w:trPr>
          <w:trHeight w:val="546"/>
        </w:trPr>
        <w:tc>
          <w:tcPr>
            <w:tcW w:w="6780" w:type="dxa"/>
            <w:vAlign w:val="bottom"/>
          </w:tcPr>
          <w:p>
            <w:pPr>
              <w:spacing w:after="0"/>
              <w:rPr>
                <w:sz w:val="20"/>
                <w:szCs w:val="20"/>
                <w:color w:val="auto"/>
              </w:rPr>
            </w:pPr>
            <w:r>
              <w:rPr>
                <w:rFonts w:ascii="Arial" w:cs="Arial" w:eastAsia="Arial" w:hAnsi="Arial"/>
                <w:sz w:val="16"/>
                <w:szCs w:val="16"/>
                <w:b w:val="1"/>
                <w:bCs w:val="1"/>
                <w:color w:val="0071CE"/>
              </w:rPr>
              <w:t>Vote Required</w:t>
            </w:r>
          </w:p>
        </w:tc>
        <w:tc>
          <w:tcPr>
            <w:tcW w:w="4460" w:type="dxa"/>
            <w:vAlign w:val="bottom"/>
          </w:tcPr>
          <w:p>
            <w:pPr>
              <w:spacing w:after="0"/>
              <w:rPr>
                <w:sz w:val="24"/>
                <w:szCs w:val="24"/>
                <w:color w:val="auto"/>
              </w:rPr>
            </w:pPr>
          </w:p>
        </w:tc>
      </w:tr>
    </w:tbl>
    <w:p>
      <w:pPr>
        <w:spacing w:after="0" w:line="20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affirmative vote of a majority of the shares voted affirmatively or negatively at the Annual Meeting is required to approve an amendment to our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40575" cy="3771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0575" cy="377190"/>
                    </a:xfrm>
                    <a:prstGeom prst="rect">
                      <a:avLst/>
                    </a:prstGeom>
                    <a:noFill/>
                  </pic:spPr>
                </pic:pic>
              </a:graphicData>
            </a:graphic>
          </wp:anchor>
        </w:drawing>
      </w:r>
    </w:p>
    <w:p>
      <w:pPr>
        <w:spacing w:after="0" w:line="202" w:lineRule="exact"/>
        <w:rPr>
          <w:sz w:val="20"/>
          <w:szCs w:val="20"/>
          <w:color w:val="auto"/>
        </w:rPr>
      </w:pPr>
    </w:p>
    <w:p>
      <w:pPr>
        <w:ind w:left="560" w:right="180" w:firstLine="1060"/>
        <w:spacing w:after="0" w:line="185" w:lineRule="auto"/>
        <w:rPr>
          <w:sz w:val="20"/>
          <w:szCs w:val="20"/>
          <w:color w:val="auto"/>
        </w:rPr>
      </w:pPr>
      <w:r>
        <w:rPr>
          <w:rFonts w:ascii="Arial" w:cs="Arial" w:eastAsia="Arial" w:hAnsi="Arial"/>
          <w:sz w:val="12"/>
          <w:szCs w:val="12"/>
          <w:b w:val="1"/>
          <w:bCs w:val="1"/>
          <w:color w:val="0071CE"/>
        </w:rPr>
        <w:t xml:space="preserve">The Board Recommends a Vote to Approve the Proposed Amendment to the Amended and Restated 2012 Employee Stock </w:t>
      </w:r>
      <w:r>
        <w:rPr>
          <w:rFonts w:ascii="Wingdings" w:cs="Wingdings" w:eastAsia="Wingdings" w:hAnsi="Wingdings"/>
          <w:sz w:val="21"/>
          <w:szCs w:val="21"/>
          <w:b w:val="1"/>
          <w:bCs w:val="1"/>
          <w:color w:val="000000"/>
          <w:shd w:val="clear" w:color="auto" w:fill="3DAE2B"/>
        </w:rPr>
        <w:t xml:space="preserve">ü </w:t>
      </w:r>
      <w:r>
        <w:rPr>
          <w:rFonts w:ascii="Arial" w:cs="Arial" w:eastAsia="Arial" w:hAnsi="Arial"/>
          <w:sz w:val="12"/>
          <w:szCs w:val="12"/>
          <w:b w:val="1"/>
          <w:bCs w:val="1"/>
          <w:color w:val="0071CE"/>
        </w:rPr>
        <w:t>Purchase Plan. Proxies Solicited by the Board Will Be Voted in Favor of Such Approval Unless a Stockholder Has Indicated</w:t>
      </w:r>
    </w:p>
    <w:p>
      <w:pPr>
        <w:spacing w:after="0" w:line="1"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0071CE"/>
        </w:rPr>
        <w:t>Otherwise on the Proxy.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25"/>
          <w:szCs w:val="25"/>
          <w:b w:val="1"/>
          <w:bCs w:val="1"/>
          <w:color w:val="003595"/>
        </w:rPr>
        <w:t>Proposal 5</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71CE"/>
        </w:rPr>
        <w:t>Approval of the Proposed 2026 Employee, Director and Consultant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9005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March 26, 2026, our Board approved, subject to stockholder approval at the Annual Meeting, the adoption of the 2026 Employee, Director and Consultant Equity Incentive Plan (the “2026 Plan”). The 2026 Plan provides for the issuance of up to 6,400,000 shares of our common stock. In addition, up to 2,168,431 shares of common stock that remain available for future grant under our 2017 Employee, Director and Consultant Equity Incentive Plan (as amended, the “2017 Plan”) as of the date of the Annual Meeting will be rolled over and become available for issuance under the 2026 Plan, up to an aggregate maximum of 8,568,431 shares. The 2026 Plan may also include up to a maximum of 8,659,575 shares of common stock that are currently subject to outstanding restricted stock units under our 2017 Plan, to the extent such awards are forfeited, expire, or are cancelled without the delivery of shares on or after the date of the Annual Meeting. Upon stockholder approval of the 2026 Plan, no further awards will be granted under the 2017 Plan.</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2026 Plan is being submitted for stockholder approval as required by the listing rules of The Nasdaq Stock Market LLC and in order to ensure favorable federal income tax treatment for grants of incentive stock options under Section 422 of the Code. Our Board, the Compensation and Human Capital Committee, and management believe that the effective use of stock-based, long-term incentive compensation is vital to our ability to achieve strong future performance. The 2026 Plan is designed to maintain and enhance the key policies and practices adopted by our management and Board to align employee and stockholder interests.</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future success depends in large part upon our ability to maintain a competitive position in attracting, retaining, and motivating key personnel. We believe the approval of the 2026 Plan, including the 6,400,000 newly requested shares and up to 2,168,431 shares rolled over from the 2017 Plan, is essential to continue providing long-term, equity-based incentives to present and future key employees, consultants, and directors. As of April 8, 2026, a total of 2,168,431 shares of our common stock remain available for issuance under the 2017 Plan. Accordingly, our Board believes that approval of the 2026 Plan is in the best interests of the Company and its stockholders and recommends a vote “FOR” this proposal.</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2026 Plan includes the following provisions:</w:t>
      </w:r>
    </w:p>
    <w:p>
      <w:pPr>
        <w:spacing w:after="0" w:line="248" w:lineRule="exact"/>
        <w:rPr>
          <w:sz w:val="20"/>
          <w:szCs w:val="20"/>
          <w:color w:val="auto"/>
        </w:rPr>
      </w:pPr>
    </w:p>
    <w:p>
      <w:pPr>
        <w:ind w:left="660" w:hanging="328"/>
        <w:spacing w:after="0" w:line="286" w:lineRule="auto"/>
        <w:tabs>
          <w:tab w:leader="none" w:pos="649"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Types of Awards </w:t>
      </w:r>
      <w:r>
        <w:rPr>
          <w:rFonts w:ascii="Arial" w:cs="Arial" w:eastAsia="Arial" w:hAnsi="Arial"/>
          <w:sz w:val="16"/>
          <w:szCs w:val="16"/>
          <w:color w:val="auto"/>
        </w:rPr>
        <w:t>— the 2026 Plan provides for the granting of incentive stock options, non-qualified stock options, stock grants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awards, including restricted stock unit awards and stock appreciation rights;</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No Liberal Share Recycling </w:t>
      </w:r>
      <w:r>
        <w:rPr>
          <w:rFonts w:ascii="Arial" w:cs="Arial" w:eastAsia="Arial" w:hAnsi="Arial"/>
          <w:sz w:val="16"/>
          <w:szCs w:val="16"/>
          <w:color w:val="auto"/>
        </w:rPr>
        <w:t>— shares withheld or tendered for the payment of the exercise price or purchase price of any stock award or to satisfy</w:t>
      </w:r>
      <w:r>
        <w:rPr>
          <w:rFonts w:ascii="Arial" w:cs="Arial" w:eastAsia="Arial" w:hAnsi="Arial"/>
          <w:sz w:val="16"/>
          <w:szCs w:val="16"/>
          <w:i w:val="1"/>
          <w:iCs w:val="1"/>
          <w:color w:val="auto"/>
        </w:rPr>
        <w:t xml:space="preserve"> </w:t>
      </w:r>
      <w:r>
        <w:rPr>
          <w:rFonts w:ascii="Arial" w:cs="Arial" w:eastAsia="Arial" w:hAnsi="Arial"/>
          <w:sz w:val="16"/>
          <w:szCs w:val="16"/>
          <w:color w:val="auto"/>
        </w:rPr>
        <w:t>any tax withholding obligation, as well as shares repurchased by the Company using option proceeds, will not be added back to the 2026 Plan available share pool;</w:t>
      </w:r>
    </w:p>
    <w:p>
      <w:pPr>
        <w:spacing w:after="0" w:line="21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No Discounted Options or Stock Appreciation Rights </w:t>
      </w:r>
      <w:r>
        <w:rPr>
          <w:rFonts w:ascii="Arial" w:cs="Arial" w:eastAsia="Arial" w:hAnsi="Arial"/>
          <w:sz w:val="16"/>
          <w:szCs w:val="16"/>
          <w:color w:val="auto"/>
        </w:rPr>
        <w:t>— stock options and stock appreciation rights may not be granted with exercise prices lower</w:t>
      </w:r>
      <w:r>
        <w:rPr>
          <w:rFonts w:ascii="Arial" w:cs="Arial" w:eastAsia="Arial" w:hAnsi="Arial"/>
          <w:sz w:val="16"/>
          <w:szCs w:val="16"/>
          <w:i w:val="1"/>
          <w:iCs w:val="1"/>
          <w:color w:val="auto"/>
        </w:rPr>
        <w:t xml:space="preserve"> </w:t>
      </w:r>
      <w:r>
        <w:rPr>
          <w:rFonts w:ascii="Arial" w:cs="Arial" w:eastAsia="Arial" w:hAnsi="Arial"/>
          <w:sz w:val="16"/>
          <w:szCs w:val="16"/>
          <w:color w:val="auto"/>
        </w:rPr>
        <w:t>than the fair market value of the underlying shares on the grant date except to replace equity awards due to a corporate transaction;</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No Repricing without Stockholder Approval </w:t>
      </w:r>
      <w:r>
        <w:rPr>
          <w:rFonts w:ascii="Arial" w:cs="Arial" w:eastAsia="Arial" w:hAnsi="Arial"/>
          <w:sz w:val="16"/>
          <w:szCs w:val="16"/>
          <w:color w:val="auto"/>
        </w:rPr>
        <w:t>— other than in connection with corporate reorganizations or restructurings, at any time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of a stock option is above the fair market value of a share, the Company will not, without stockholder approval, reduce the exercise price of such stock option and will not exchange such stock option for a new award with a lower (or no) purchase price or for cash;</w:t>
      </w:r>
    </w:p>
    <w:p>
      <w:pPr>
        <w:spacing w:after="0" w:line="21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No Transferability </w:t>
      </w:r>
      <w:r>
        <w:rPr>
          <w:rFonts w:ascii="Arial" w:cs="Arial" w:eastAsia="Arial" w:hAnsi="Arial"/>
          <w:sz w:val="16"/>
          <w:szCs w:val="16"/>
          <w:color w:val="auto"/>
        </w:rPr>
        <w:t>— equity awards generally may not be transferred, except by will or the laws of descent and distribution, unless approved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CHCC;</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Non-Employee Director Compensation Limits </w:t>
      </w:r>
      <w:r>
        <w:rPr>
          <w:rFonts w:ascii="Arial" w:cs="Arial" w:eastAsia="Arial" w:hAnsi="Arial"/>
          <w:sz w:val="16"/>
          <w:szCs w:val="16"/>
          <w:color w:val="auto"/>
        </w:rPr>
        <w:t>— the aggregate grant date fair value of equity awards, combined with any cash compensation paid</w:t>
      </w:r>
      <w:r>
        <w:rPr>
          <w:rFonts w:ascii="Arial" w:cs="Arial" w:eastAsia="Arial" w:hAnsi="Arial"/>
          <w:sz w:val="16"/>
          <w:szCs w:val="16"/>
          <w:i w:val="1"/>
          <w:iCs w:val="1"/>
          <w:color w:val="auto"/>
        </w:rPr>
        <w:t xml:space="preserve"> </w:t>
      </w:r>
      <w:r>
        <w:rPr>
          <w:rFonts w:ascii="Arial" w:cs="Arial" w:eastAsia="Arial" w:hAnsi="Arial"/>
          <w:sz w:val="16"/>
          <w:szCs w:val="16"/>
          <w:color w:val="auto"/>
        </w:rPr>
        <w:t>to a non-employee director in any single calendar year, cannot exceed $750,000. This limit is increased to $1,000,000 for the calendar year in which a non-employee director initially joins the Board;</w:t>
      </w:r>
    </w:p>
    <w:p>
      <w:pPr>
        <w:spacing w:after="0" w:line="211"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Minimum Vesting Period </w:t>
      </w:r>
      <w:r>
        <w:rPr>
          <w:rFonts w:ascii="Arial" w:cs="Arial" w:eastAsia="Arial" w:hAnsi="Arial"/>
          <w:sz w:val="16"/>
          <w:szCs w:val="16"/>
          <w:color w:val="auto"/>
        </w:rPr>
        <w:t>— all stock rights awarded must be granted having a minimum vesting period of at least one year from the date of grant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with respect to no more than 5% of the total shares reserved for issuance under the Plan; provided, however, that awards granted to non-employee directors paid in lieu of cash fees or granted to non-employee directors with a vesting period from one annual stockholders meeting to the subsequent year's annual stockholders meeting, or at least 50 weeks, shall not be counted against the 5% limitation;</w:t>
      </w:r>
    </w:p>
    <w:p>
      <w:pPr>
        <w:spacing w:after="0" w:line="199" w:lineRule="exact"/>
        <w:rPr>
          <w:rFonts w:ascii="Arial" w:cs="Arial" w:eastAsia="Arial" w:hAnsi="Arial"/>
          <w:sz w:val="16"/>
          <w:szCs w:val="16"/>
          <w:color w:val="auto"/>
        </w:rPr>
      </w:pPr>
    </w:p>
    <w:p>
      <w:pPr>
        <w:ind w:left="640" w:hanging="308"/>
        <w:spacing w:after="0"/>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No Dividends </w:t>
      </w:r>
      <w:r>
        <w:rPr>
          <w:rFonts w:ascii="Arial" w:cs="Arial" w:eastAsia="Arial" w:hAnsi="Arial"/>
          <w:sz w:val="16"/>
          <w:szCs w:val="16"/>
          <w:color w:val="auto"/>
        </w:rPr>
        <w:t>— the 2026 Plan prohibits the payment of dividends or dividend equivalents before the vesting of the underlying award; and</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Clawback Policy </w:t>
      </w:r>
      <w:r>
        <w:rPr>
          <w:rFonts w:ascii="Arial" w:cs="Arial" w:eastAsia="Arial" w:hAnsi="Arial"/>
          <w:sz w:val="16"/>
          <w:szCs w:val="16"/>
          <w:color w:val="auto"/>
        </w:rPr>
        <w:t>— certain types of awards will be subject to recoupment in accordance with the Company’s clawback policy then in effect.</w:t>
      </w:r>
    </w:p>
    <w:p>
      <w:pPr>
        <w:spacing w:after="0" w:line="248"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A complete copy of the 2026 Plan, as it is proposed to be approved, is attached as Appendix C. The following summary description of the 2026 Plan is qualified in its entirety by reference to Appendix 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0071CE"/>
        </w:rPr>
        <w:t>Material Features of the 2026 Plan</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The 2026 Plan allows us, under the direction of our CHCC, to make grants of incentive stock options, non-qualified stock options, stock grants,</w:t>
      </w:r>
      <w:r>
        <w:rPr>
          <w:rFonts w:ascii="Arial" w:cs="Arial" w:eastAsia="Arial" w:hAnsi="Arial"/>
          <w:sz w:val="16"/>
          <w:szCs w:val="16"/>
          <w:i w:val="1"/>
          <w:iCs w:val="1"/>
          <w:color w:val="auto"/>
        </w:rPr>
        <w:t xml:space="preserve"> </w:t>
      </w:r>
      <w:r>
        <w:rPr>
          <w:rFonts w:ascii="Arial" w:cs="Arial" w:eastAsia="Arial" w:hAnsi="Arial"/>
          <w:sz w:val="16"/>
          <w:szCs w:val="16"/>
          <w:color w:val="auto"/>
        </w:rPr>
        <w:t>and stock-based awards, including restricted stock unit awards and stock appreciation rights, to employees, consultants and directors who, in the opinion of the CHCC, are in a position to make a significant contribution to our long-term success. The purpose of these awards is to attract and retain key individuals, further align employee and stockholder interests and to closely link compensation with Company performance. The 2026 Plan provides an essential component of the total compensation package, reflecting the importance that we place on aligning the interests of key individuals with those of our stockholders. All employees, members of the Board and consultants of the Company and its affiliates are eligible to participate in the 2026 Plan. As of April 8, 2026, we had approximately 2,952 individuals eligible to participate in the 2026 Plan.</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Limitations on Grants</w:t>
      </w:r>
      <w:r>
        <w:rPr>
          <w:rFonts w:ascii="Arial" w:cs="Arial" w:eastAsia="Arial" w:hAnsi="Arial"/>
          <w:sz w:val="16"/>
          <w:szCs w:val="16"/>
          <w:color w:val="auto"/>
        </w:rPr>
        <w:t>. The 2026 Plan will serve as the successor to our 2017 Plan. If this Proposal 5 is approved by our stockholders, the 2026 Plan will</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the issuance of up to 6,400,000 new shares, plus any shares remaining available for grant under the 2017 Plan as of the date of the Annual Meeting, up to a maximum of 8,568,431 shares. Under the 2026 Plan, the share pool will not benefit from liberal share recycling; shares of common stock tendered in payment for an award's exercise or purchase price, shares withheld for taxes, and shares repurchased using option proceeds will not be available again for grant. For non-employee directors, the 2026 Plan provides that the aggregate grant date fair value of any stock rights granted, combined with any cash compensation paid in any calendar year, cannot exceed $750,000, or $1,000,000 in the year the director initially joins the Board.</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granted under the 2026 Plan may either be incentive stock options, which are intended to satisfy the requirements of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422 of the Code, or non-qualified stock options, which are not intended to meet those requirements. Incentive stock options may be granted to employees of the Company and its affiliates. Non-qualified options may be granted to employees, directors and consultants of the Company and its affiliates. The exercise price of a stock option may not be less than 100% of the fair market value of our common stock on the date of grant. If an incentive stock option is granted to an individual who owns more than 10% of the combined voting power of all classes of our capital stock, the exercise price may not be less than 110% of the fair market value of our common stock on the date of grant, and the term of the option may not be longer than five years.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term of each option is fixed by our Board or the CHCC and may not exceed ten years from the date of grant. Our Board or the CHCC establishes the vesting schedule of each option at the time of grant, subject to the provisions of the 2026 Plan regarding a minimum one-year vesting requirement. Options may be made exercisable in installments. In the event of a participant’s termination of service (other than by reason of death, disability or termination for cause), options generally may be exercised to the extent vested on the date of termination, within the timeframe designated in the award agreement, though incentive stock options may not be exercised later than three months following termination. In the event of the participant’s termination due to disability or death, the participant or the participant's survivors may generally exercise the option to the extent it was vested on the date of termination, plus a pro-rata portion of any additional vesting rights that would have accrued on the next vesting date, at any time up to one year following the date of death or disability. In the event of the participant’s termination for cause, all outstanding and unexercised options are immediately forfeited.</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i w:val="1"/>
          <w:iCs w:val="1"/>
          <w:color w:val="auto"/>
        </w:rPr>
        <w:t>Restricted Stock Units and Restricted Stock</w:t>
      </w:r>
      <w:r>
        <w:rPr>
          <w:rFonts w:ascii="Arial" w:cs="Arial" w:eastAsia="Arial" w:hAnsi="Arial"/>
          <w:sz w:val="16"/>
          <w:szCs w:val="16"/>
          <w:color w:val="auto"/>
        </w:rPr>
        <w:t>. Restricted stock is common stock, and a restricted stock unit is a right to receive common stock, that is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restrictions, including a prohibition against transfer and a substantial risk of forfeiture, until the end of a “restricted period” during which the grantee must satisfy certain vesting conditions. If the grantee does not satisfy the vesting conditions by the end of the restricted period, the restricted stock is forfeited, provided, however, that in the event of termination due to death or disability the participant generally will be entitled to a pro-rata portion of any additional vesting rights that would have accrued on the next vesting date.</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the restricted period, the holder of restricted stock has the rights and privileges of a regular stockholder, except that the restrictions set forth in the applicable award agreement apply. For example, the holder of restricted stock may vote, but they may not sell the shares until the restrictions are lifted. During the restricted period, the holder of a restricted stock unit does not have the rights and privileges of a regular stockholder until all restrictions set forth in the applicable award agreement have lapsed and the RSU is converted into common stock. With respect to any dividends which the Company may pay, no dividend payment will be made with respect to any restricted stock or restricted stock unit until the end of the applicable restricted period when the underlying vesting conditions have been met.</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In accordance with the terms of the 2026 Plan, our Board has authorized our CHCC to administer the 2026 Plan. The CHCC may</w:t>
      </w:r>
      <w:r>
        <w:rPr>
          <w:rFonts w:ascii="Arial" w:cs="Arial" w:eastAsia="Arial" w:hAnsi="Arial"/>
          <w:sz w:val="16"/>
          <w:szCs w:val="16"/>
          <w:i w:val="1"/>
          <w:iCs w:val="1"/>
          <w:color w:val="auto"/>
        </w:rPr>
        <w:t xml:space="preserve"> </w:t>
      </w:r>
      <w:r>
        <w:rPr>
          <w:rFonts w:ascii="Arial" w:cs="Arial" w:eastAsia="Arial" w:hAnsi="Arial"/>
          <w:sz w:val="16"/>
          <w:szCs w:val="16"/>
          <w:color w:val="auto"/>
        </w:rPr>
        <w:t>delegate part of its authority and powers under the 2026 Plan to one or more of our directors and/or officers, but only the CHCC can make awards to participants who are directors or officers (as defined by Rule 16a-1 of the Exchange Act) of the Company. In accordance with the provisions of the 2026 Plan, our CHCC determines the terms of awards, including:</w:t>
      </w:r>
    </w:p>
    <w:p>
      <w:pPr>
        <w:spacing w:after="0" w:line="141" w:lineRule="exact"/>
        <w:rPr>
          <w:sz w:val="20"/>
          <w:szCs w:val="20"/>
          <w:color w:val="auto"/>
        </w:rPr>
      </w:pPr>
    </w:p>
    <w:p>
      <w:pPr>
        <w:ind w:left="640" w:hanging="308"/>
        <w:spacing w:after="0"/>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Which employees, directors and consultants will be granted awards;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number of shares subject to each award;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vesting provisions of each award, subject to the 2026 Plan's provisions regarding a minimum one-year vesting requirement;</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termination or cancellation provisions applicable to awards;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 other terms and conditions upon which each award may be granted.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5" w:name="page86"/>
    <w:bookmarkEnd w:id="85"/>
    <w:p>
      <w:pPr>
        <w:jc w:val="both"/>
        <w:spacing w:after="0" w:line="247" w:lineRule="auto"/>
        <w:rPr>
          <w:sz w:val="20"/>
          <w:szCs w:val="20"/>
          <w:color w:val="auto"/>
        </w:rPr>
      </w:pPr>
      <w:r>
        <w:rPr>
          <w:rFonts w:ascii="Arial" w:cs="Arial" w:eastAsia="Arial" w:hAnsi="Arial"/>
          <w:sz w:val="16"/>
          <w:szCs w:val="16"/>
          <w:color w:val="auto"/>
        </w:rPr>
        <w:t>In addition, our CHCC may, in its discretion, amend any term or condition of an outstanding award provided (i) such term or condition as amended is permitted by the 2026 Plan, and (ii) any such amendment shall be made only with the consent of the participant to whom such award was made, if the amendment is adverse to the participant unless such amendment is required by applicable law or necessary to preserve the economic value of such award; and provided, further, that, without the prior approval of our stockholders, options will not be repriced, replaced or regranted through cancellation or by lowering the exercise price of a previously granted award.</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Stock Dividends and Stock Splits</w:t>
      </w:r>
      <w:r>
        <w:rPr>
          <w:rFonts w:ascii="Arial" w:cs="Arial" w:eastAsia="Arial" w:hAnsi="Arial"/>
          <w:sz w:val="16"/>
          <w:szCs w:val="16"/>
          <w:color w:val="auto"/>
        </w:rPr>
        <w:t>. If our common stock is subdivided or combined into a greater or smaller number of shares or if we issue any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as a stock dividend, the number of shares of our common stock deliverable upon issuance of an award will be appropriately increased or decreased proportionately, and adjustments will be made, including in the purchase price or exercise price per share, to reflect the subdivision, combination or stock dividend.</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Upon a merger or other reorganization event, our Board or an authorized committee, may, in its sole discretion, take any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actions pursuant to the 2026 Plan as to some or all outstanding awards. The Board may provide that all outstanding awards will be assumed or substituted by the successor corporation, require that outstanding options be exercised within a specified period prior to the transaction, or terminate outstanding awards, including in exchange for a cash payment equal to the transaction consideration value less any applicable exercise or purchase price.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Amendments and Termination</w:t>
      </w:r>
      <w:r>
        <w:rPr>
          <w:rFonts w:ascii="Arial" w:cs="Arial" w:eastAsia="Arial" w:hAnsi="Arial"/>
          <w:sz w:val="16"/>
          <w:szCs w:val="16"/>
          <w:color w:val="auto"/>
        </w:rPr>
        <w:t>. The 2026 Plan may be amended by our stockholders. It may also be amended by our Board or the CHCC, provided 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that is of a scope that requires stockholder approval as required by the rules of Nasdaq, or for any other reason, is subject to obtaining such stockholder approval. However, no such action may adversely affect any rights under an outstanding award without the holder’s consent.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Duration of 2026 Stock Plan</w:t>
      </w:r>
      <w:r>
        <w:rPr>
          <w:rFonts w:ascii="Arial" w:cs="Arial" w:eastAsia="Arial" w:hAnsi="Arial"/>
          <w:sz w:val="16"/>
          <w:szCs w:val="16"/>
          <w:color w:val="auto"/>
        </w:rPr>
        <w:t>. The 2026 Plan will expire on March 26, 2036.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071CE"/>
        </w:rPr>
        <w:t>Federal Income Tax Considerations</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material Federal income tax consequences of the issuance and vesting of awards under the 2026 Plan, based on the current provisions of the Code and regulations, are as follows. Changes to these laws could alter the tax consequences described below. This summary assumes that all awards granted under the 2026 Plan are exempt from or comply with, the rules under Section 409A of the Code related to nonqualified deferred compensation.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 xml:space="preserve">Stock Grants. </w:t>
      </w:r>
      <w:r>
        <w:rPr>
          <w:rFonts w:ascii="Arial" w:cs="Arial" w:eastAsia="Arial" w:hAnsi="Arial"/>
          <w:sz w:val="16"/>
          <w:szCs w:val="16"/>
          <w:color w:val="auto"/>
        </w:rPr>
        <w:t>With respect to stock grants involving the issuance of shares that are restricted as to transferability and subject to a substantial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the grantee must generally recognize ordinary income equal to the fair market value of the shares received at the first time the shares become transferable or are not subject to a substantial risk of forfeiture, whichever occurs earlier. A grantee may elect to be taxed at the time of receipt of shares rather than upon lapse of restrictions on transferability or substantial risk of forfeiture, but if the grantee subsequently forfeits the shares, the grantee would not be entitled to any tax deduction, including as a capital loss, for the value of the shares on which the grantee previously paid tax. The grantee must file such election with the Internal Revenue Service within 30 days of the receipt of the shares. We generally will be entitled to a deduction in an amount equal to the ordinary income recognized by the grantee.</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Stock Units</w:t>
      </w:r>
      <w:r>
        <w:rPr>
          <w:rFonts w:ascii="Arial" w:cs="Arial" w:eastAsia="Arial" w:hAnsi="Arial"/>
          <w:sz w:val="16"/>
          <w:szCs w:val="16"/>
          <w:color w:val="auto"/>
        </w:rPr>
        <w:t>. The grantee recognizes no income until the issuance of unrestricted shares. At that time, the grantee must generally recognize ordinary income</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the fair market value of the shares received. We generally will be entitled to a deduction in an amount equal to the ordinary income recognized by the grantee.</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grant of a non-qualified stock option or incentive stock option generally creates no immediate tax consequences for the grantee 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Upon exercising a non-qualified option, the grantee recognizes ordinary income equal to the difference between the exercise price and the fair market value of the shares on the exercise date, and the Company is generally entitled to a corresponding deduction. Upon exercising an incentive stock option, the grantee recognizes no ordinary income (though it may trigger alternative minimum tax), and the Company receives no deduction. If the grantee holds the shares acquired via an incentive stock option for the required statutory holding periods, any subsequent gain or loss on sale will be taxed as long-term capital gain or loss.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71CE"/>
        </w:rPr>
        <w:t>Outstanding Grants and Remaining Award Capacity under the 2017 Plan (as of April 8, 2026)</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Set forth below is the number of shares available for future issuance pursuant to outstanding and future equity awards under the 2017 Plan and Mr. Diaz's and Mr. Donnelly's inducement awards as of April 8, 2026.</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40" w:type="dxa"/>
            <w:vAlign w:val="bottom"/>
            <w:tcBorders>
              <w:bottom w:val="single" w:sz="8" w:color="003595"/>
            </w:tcBorders>
            <w:shd w:val="clear" w:color="auto" w:fill="003595"/>
          </w:tcPr>
          <w:p>
            <w:pPr>
              <w:spacing w:after="0"/>
              <w:rPr>
                <w:sz w:val="19"/>
                <w:szCs w:val="19"/>
                <w:color w:val="auto"/>
              </w:rPr>
            </w:pPr>
          </w:p>
        </w:tc>
        <w:tc>
          <w:tcPr>
            <w:tcW w:w="1570" w:type="dxa"/>
            <w:vAlign w:val="bottom"/>
            <w:tcBorders>
              <w:bottom w:val="single" w:sz="8" w:color="003595"/>
            </w:tcBorders>
            <w:shd w:val="clear" w:color="auto" w:fill="003595"/>
          </w:tcPr>
          <w:p>
            <w:pPr>
              <w:spacing w:after="0"/>
              <w:rPr>
                <w:sz w:val="19"/>
                <w:szCs w:val="19"/>
                <w:color w:val="auto"/>
              </w:rPr>
            </w:pPr>
          </w:p>
        </w:tc>
        <w:tc>
          <w:tcPr>
            <w:tcW w:w="2750" w:type="dxa"/>
            <w:vAlign w:val="bottom"/>
            <w:tcBorders>
              <w:bottom w:val="single" w:sz="8" w:color="003595"/>
            </w:tcBorders>
            <w:shd w:val="clear" w:color="auto" w:fill="003595"/>
          </w:tcPr>
          <w:p>
            <w:pPr>
              <w:ind w:left="530"/>
              <w:spacing w:after="0"/>
              <w:rPr>
                <w:sz w:val="20"/>
                <w:szCs w:val="20"/>
                <w:color w:val="auto"/>
              </w:rPr>
            </w:pPr>
            <w:r>
              <w:rPr>
                <w:rFonts w:ascii="Arial" w:cs="Arial" w:eastAsia="Arial" w:hAnsi="Arial"/>
                <w:sz w:val="14"/>
                <w:szCs w:val="14"/>
                <w:b w:val="1"/>
                <w:bCs w:val="1"/>
                <w:color w:val="FFFFFF"/>
                <w:shd w:val="clear" w:color="auto" w:fill="003595"/>
              </w:rPr>
              <w:t>Overhang</w:t>
            </w:r>
          </w:p>
        </w:tc>
        <w:tc>
          <w:tcPr>
            <w:tcW w:w="3080" w:type="dxa"/>
            <w:vAlign w:val="bottom"/>
            <w:tcBorders>
              <w:bottom w:val="single" w:sz="8" w:color="003595"/>
            </w:tcBorders>
            <w:shd w:val="clear" w:color="auto" w:fill="003595"/>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860" w:type="dxa"/>
            <w:vAlign w:val="bottom"/>
            <w:gridSpan w:val="3"/>
            <w:shd w:val="clear" w:color="auto" w:fill="DBDBDB"/>
          </w:tcPr>
          <w:p>
            <w:pPr>
              <w:ind w:left="20"/>
              <w:spacing w:after="0"/>
              <w:rPr>
                <w:sz w:val="20"/>
                <w:szCs w:val="20"/>
                <w:color w:val="auto"/>
              </w:rPr>
            </w:pPr>
            <w:r>
              <w:rPr>
                <w:rFonts w:ascii="Arial" w:cs="Arial" w:eastAsia="Arial" w:hAnsi="Arial"/>
                <w:sz w:val="14"/>
                <w:szCs w:val="14"/>
                <w:color w:val="auto"/>
                <w:highlight w:val="lightGray"/>
              </w:rPr>
              <w:t>Number of full-value awards outstanding (time or performance-based restricted stock units, at</w:t>
            </w:r>
          </w:p>
        </w:tc>
        <w:tc>
          <w:tcPr>
            <w:tcW w:w="3080" w:type="dxa"/>
            <w:vAlign w:val="bottom"/>
            <w:vMerge w:val="restart"/>
            <w:shd w:val="clear" w:color="auto" w:fill="DBDBDB"/>
          </w:tcPr>
          <w:p>
            <w:pPr>
              <w:jc w:val="center"/>
              <w:ind w:right="488"/>
              <w:spacing w:after="0"/>
              <w:rPr>
                <w:sz w:val="20"/>
                <w:szCs w:val="20"/>
                <w:color w:val="auto"/>
              </w:rPr>
            </w:pPr>
            <w:r>
              <w:rPr>
                <w:rFonts w:ascii="Arial" w:cs="Arial" w:eastAsia="Arial" w:hAnsi="Arial"/>
                <w:sz w:val="14"/>
                <w:szCs w:val="14"/>
                <w:color w:val="auto"/>
              </w:rPr>
              <w:t>8,659,575</w:t>
            </w:r>
          </w:p>
        </w:tc>
        <w:tc>
          <w:tcPr>
            <w:tcW w:w="0" w:type="dxa"/>
            <w:vAlign w:val="bottom"/>
          </w:tcPr>
          <w:p>
            <w:pPr>
              <w:spacing w:after="0"/>
              <w:rPr>
                <w:sz w:val="1"/>
                <w:szCs w:val="1"/>
                <w:color w:val="auto"/>
              </w:rPr>
            </w:pPr>
          </w:p>
        </w:tc>
      </w:tr>
      <w:tr>
        <w:trPr>
          <w:trHeight w:val="100"/>
        </w:trPr>
        <w:tc>
          <w:tcPr>
            <w:tcW w:w="254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highlight w:val="lightGray"/>
              </w:rPr>
              <w:t>"target" for performance-based awards)</w:t>
            </w:r>
          </w:p>
        </w:tc>
        <w:tc>
          <w:tcPr>
            <w:tcW w:w="1570" w:type="dxa"/>
            <w:vAlign w:val="bottom"/>
            <w:shd w:val="clear" w:color="auto" w:fill="DBDBDB"/>
          </w:tcPr>
          <w:p>
            <w:pPr>
              <w:spacing w:after="0"/>
              <w:rPr>
                <w:sz w:val="8"/>
                <w:szCs w:val="8"/>
                <w:color w:val="auto"/>
              </w:rPr>
            </w:pPr>
          </w:p>
        </w:tc>
        <w:tc>
          <w:tcPr>
            <w:tcW w:w="2750" w:type="dxa"/>
            <w:vAlign w:val="bottom"/>
            <w:shd w:val="clear" w:color="auto" w:fill="DBDBDB"/>
          </w:tcPr>
          <w:p>
            <w:pPr>
              <w:spacing w:after="0"/>
              <w:rPr>
                <w:sz w:val="8"/>
                <w:szCs w:val="8"/>
                <w:color w:val="auto"/>
              </w:rPr>
            </w:pPr>
          </w:p>
        </w:tc>
        <w:tc>
          <w:tcPr>
            <w:tcW w:w="308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540" w:type="dxa"/>
            <w:vAlign w:val="bottom"/>
            <w:tcBorders>
              <w:bottom w:val="single" w:sz="8" w:color="DBDBDB"/>
            </w:tcBorders>
            <w:vMerge w:val="continue"/>
            <w:shd w:val="clear" w:color="auto" w:fill="DBDBDB"/>
          </w:tcPr>
          <w:p>
            <w:pPr>
              <w:spacing w:after="0"/>
              <w:rPr>
                <w:sz w:val="8"/>
                <w:szCs w:val="8"/>
                <w:color w:val="auto"/>
              </w:rPr>
            </w:pPr>
          </w:p>
        </w:tc>
        <w:tc>
          <w:tcPr>
            <w:tcW w:w="1570" w:type="dxa"/>
            <w:vAlign w:val="bottom"/>
            <w:tcBorders>
              <w:bottom w:val="single" w:sz="8" w:color="DBDBDB"/>
            </w:tcBorders>
            <w:shd w:val="clear" w:color="auto" w:fill="DBDBDB"/>
          </w:tcPr>
          <w:p>
            <w:pPr>
              <w:spacing w:after="0"/>
              <w:rPr>
                <w:sz w:val="8"/>
                <w:szCs w:val="8"/>
                <w:color w:val="auto"/>
              </w:rPr>
            </w:pPr>
          </w:p>
        </w:tc>
        <w:tc>
          <w:tcPr>
            <w:tcW w:w="2750" w:type="dxa"/>
            <w:vAlign w:val="bottom"/>
            <w:tcBorders>
              <w:bottom w:val="single" w:sz="8" w:color="DBDBDB"/>
            </w:tcBorders>
            <w:shd w:val="clear" w:color="auto" w:fill="DBDBDB"/>
          </w:tcPr>
          <w:p>
            <w:pPr>
              <w:spacing w:after="0"/>
              <w:rPr>
                <w:sz w:val="8"/>
                <w:szCs w:val="8"/>
                <w:color w:val="auto"/>
              </w:rPr>
            </w:pPr>
          </w:p>
        </w:tc>
        <w:tc>
          <w:tcPr>
            <w:tcW w:w="3080" w:type="dxa"/>
            <w:vAlign w:val="bottom"/>
            <w:tcBorders>
              <w:bottom w:val="single" w:sz="8" w:color="DBDBDB"/>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6860" w:type="dxa"/>
            <w:vAlign w:val="bottom"/>
            <w:gridSpan w:val="3"/>
          </w:tcPr>
          <w:p>
            <w:pPr>
              <w:ind w:left="20"/>
              <w:spacing w:after="0"/>
              <w:rPr>
                <w:sz w:val="20"/>
                <w:szCs w:val="20"/>
                <w:color w:val="auto"/>
              </w:rPr>
            </w:pPr>
            <w:r>
              <w:rPr>
                <w:rFonts w:ascii="Arial" w:cs="Arial" w:eastAsia="Arial" w:hAnsi="Arial"/>
                <w:sz w:val="14"/>
                <w:szCs w:val="14"/>
                <w:color w:val="auto"/>
              </w:rPr>
              <w:t>Number of shares remaining authorized to grant</w:t>
            </w:r>
          </w:p>
        </w:tc>
        <w:tc>
          <w:tcPr>
            <w:tcW w:w="3080" w:type="dxa"/>
            <w:vAlign w:val="bottom"/>
          </w:tcPr>
          <w:p>
            <w:pPr>
              <w:jc w:val="center"/>
              <w:ind w:right="488"/>
              <w:spacing w:after="0"/>
              <w:rPr>
                <w:sz w:val="20"/>
                <w:szCs w:val="20"/>
                <w:color w:val="auto"/>
              </w:rPr>
            </w:pPr>
            <w:r>
              <w:rPr>
                <w:rFonts w:ascii="Arial" w:cs="Arial" w:eastAsia="Arial" w:hAnsi="Arial"/>
                <w:sz w:val="14"/>
                <w:szCs w:val="14"/>
                <w:color w:val="auto"/>
              </w:rPr>
              <w:t>2,168,431</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570" w:type="dxa"/>
            <w:vAlign w:val="bottom"/>
          </w:tcPr>
          <w:p>
            <w:pPr>
              <w:spacing w:after="0" w:line="20" w:lineRule="exact"/>
              <w:rPr>
                <w:sz w:val="1"/>
                <w:szCs w:val="1"/>
                <w:color w:val="auto"/>
              </w:rPr>
            </w:pPr>
          </w:p>
        </w:tc>
        <w:tc>
          <w:tcPr>
            <w:tcW w:w="275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highlight w:val="lightGray"/>
              </w:rPr>
              <w:t>Number of options outstanding</w:t>
            </w:r>
          </w:p>
        </w:tc>
        <w:tc>
          <w:tcPr>
            <w:tcW w:w="1570" w:type="dxa"/>
            <w:vAlign w:val="bottom"/>
            <w:tcBorders>
              <w:bottom w:val="single" w:sz="8" w:color="DBDBDB"/>
            </w:tcBorders>
            <w:shd w:val="clear" w:color="auto" w:fill="DBDBDB"/>
          </w:tcPr>
          <w:p>
            <w:pPr>
              <w:spacing w:after="0"/>
              <w:rPr>
                <w:sz w:val="18"/>
                <w:szCs w:val="18"/>
                <w:color w:val="auto"/>
              </w:rPr>
            </w:pPr>
          </w:p>
        </w:tc>
        <w:tc>
          <w:tcPr>
            <w:tcW w:w="2750" w:type="dxa"/>
            <w:vAlign w:val="bottom"/>
            <w:tcBorders>
              <w:bottom w:val="single" w:sz="8" w:color="DBDBDB"/>
            </w:tcBorders>
            <w:shd w:val="clear" w:color="auto" w:fill="DBDBDB"/>
          </w:tcPr>
          <w:p>
            <w:pPr>
              <w:spacing w:after="0"/>
              <w:rPr>
                <w:sz w:val="18"/>
                <w:szCs w:val="18"/>
                <w:color w:val="auto"/>
              </w:rPr>
            </w:pPr>
          </w:p>
        </w:tc>
        <w:tc>
          <w:tcPr>
            <w:tcW w:w="3080" w:type="dxa"/>
            <w:vAlign w:val="bottom"/>
            <w:tcBorders>
              <w:bottom w:val="single" w:sz="8" w:color="DBDBDB"/>
            </w:tcBorders>
            <w:shd w:val="clear" w:color="auto" w:fill="DBDBDB"/>
          </w:tcPr>
          <w:p>
            <w:pPr>
              <w:jc w:val="center"/>
              <w:ind w:right="488"/>
              <w:spacing w:after="0"/>
              <w:rPr>
                <w:sz w:val="20"/>
                <w:szCs w:val="20"/>
                <w:color w:val="auto"/>
              </w:rPr>
            </w:pPr>
            <w:r>
              <w:rPr>
                <w:rFonts w:ascii="Arial" w:cs="Arial" w:eastAsia="Arial" w:hAnsi="Arial"/>
                <w:sz w:val="14"/>
                <w:szCs w:val="14"/>
                <w:color w:val="auto"/>
              </w:rPr>
              <w:t>681,128</w:t>
            </w:r>
          </w:p>
        </w:tc>
        <w:tc>
          <w:tcPr>
            <w:tcW w:w="0" w:type="dxa"/>
            <w:vAlign w:val="bottom"/>
          </w:tcPr>
          <w:p>
            <w:pPr>
              <w:spacing w:after="0"/>
              <w:rPr>
                <w:sz w:val="1"/>
                <w:szCs w:val="1"/>
                <w:color w:val="auto"/>
              </w:rPr>
            </w:pPr>
          </w:p>
        </w:tc>
      </w:tr>
      <w:tr>
        <w:trPr>
          <w:trHeight w:val="208"/>
        </w:trPr>
        <w:tc>
          <w:tcPr>
            <w:tcW w:w="6860" w:type="dxa"/>
            <w:vAlign w:val="bottom"/>
            <w:gridSpan w:val="3"/>
          </w:tcPr>
          <w:p>
            <w:pPr>
              <w:ind w:left="20"/>
              <w:spacing w:after="0"/>
              <w:rPr>
                <w:sz w:val="20"/>
                <w:szCs w:val="20"/>
                <w:color w:val="auto"/>
              </w:rPr>
            </w:pPr>
            <w:r>
              <w:rPr>
                <w:rFonts w:ascii="Arial" w:cs="Arial" w:eastAsia="Arial" w:hAnsi="Arial"/>
                <w:sz w:val="14"/>
                <w:szCs w:val="14"/>
                <w:color w:val="auto"/>
              </w:rPr>
              <w:t>Weighted average remaining term of outstanding options (years)</w:t>
            </w:r>
          </w:p>
        </w:tc>
        <w:tc>
          <w:tcPr>
            <w:tcW w:w="3080" w:type="dxa"/>
            <w:vAlign w:val="bottom"/>
          </w:tcPr>
          <w:p>
            <w:pPr>
              <w:jc w:val="center"/>
              <w:ind w:right="488"/>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570" w:type="dxa"/>
            <w:vAlign w:val="bottom"/>
          </w:tcPr>
          <w:p>
            <w:pPr>
              <w:spacing w:after="0" w:line="20" w:lineRule="exact"/>
              <w:rPr>
                <w:sz w:val="1"/>
                <w:szCs w:val="1"/>
                <w:color w:val="auto"/>
              </w:rPr>
            </w:pPr>
          </w:p>
        </w:tc>
        <w:tc>
          <w:tcPr>
            <w:tcW w:w="275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1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highlight w:val="lightGray"/>
              </w:rPr>
              <w:t>Weighted average exercise price of outstanding options</w:t>
            </w:r>
          </w:p>
        </w:tc>
        <w:tc>
          <w:tcPr>
            <w:tcW w:w="2750" w:type="dxa"/>
            <w:vAlign w:val="bottom"/>
            <w:tcBorders>
              <w:bottom w:val="single" w:sz="8" w:color="DBDBDB"/>
            </w:tcBorders>
            <w:shd w:val="clear" w:color="auto" w:fill="DBDBDB"/>
          </w:tcPr>
          <w:p>
            <w:pPr>
              <w:spacing w:after="0"/>
              <w:rPr>
                <w:sz w:val="18"/>
                <w:szCs w:val="18"/>
                <w:color w:val="auto"/>
              </w:rPr>
            </w:pPr>
          </w:p>
        </w:tc>
        <w:tc>
          <w:tcPr>
            <w:tcW w:w="3080" w:type="dxa"/>
            <w:vAlign w:val="bottom"/>
            <w:tcBorders>
              <w:bottom w:val="single" w:sz="8" w:color="DBDBDB"/>
            </w:tcBorders>
            <w:shd w:val="clear" w:color="auto" w:fill="DBDBDB"/>
          </w:tcPr>
          <w:p>
            <w:pPr>
              <w:jc w:val="center"/>
              <w:ind w:right="488"/>
              <w:spacing w:after="0"/>
              <w:rPr>
                <w:sz w:val="20"/>
                <w:szCs w:val="20"/>
                <w:color w:val="auto"/>
              </w:rPr>
            </w:pPr>
            <w:r>
              <w:rPr>
                <w:rFonts w:ascii="Arial" w:cs="Arial" w:eastAsia="Arial" w:hAnsi="Arial"/>
                <w:sz w:val="14"/>
                <w:szCs w:val="14"/>
                <w:color w:val="auto"/>
              </w:rPr>
              <w:t>$13.38</w:t>
            </w:r>
          </w:p>
        </w:tc>
        <w:tc>
          <w:tcPr>
            <w:tcW w:w="0" w:type="dxa"/>
            <w:vAlign w:val="bottom"/>
          </w:tcPr>
          <w:p>
            <w:pPr>
              <w:spacing w:after="0"/>
              <w:rPr>
                <w:sz w:val="1"/>
                <w:szCs w:val="1"/>
                <w:color w:val="auto"/>
              </w:rPr>
            </w:pPr>
          </w:p>
        </w:tc>
      </w:tr>
      <w:tr>
        <w:trPr>
          <w:trHeight w:val="208"/>
        </w:trPr>
        <w:tc>
          <w:tcPr>
            <w:tcW w:w="6860" w:type="dxa"/>
            <w:vAlign w:val="bottom"/>
            <w:gridSpan w:val="3"/>
          </w:tcPr>
          <w:p>
            <w:pPr>
              <w:ind w:left="20"/>
              <w:spacing w:after="0"/>
              <w:rPr>
                <w:sz w:val="20"/>
                <w:szCs w:val="20"/>
                <w:color w:val="auto"/>
              </w:rPr>
            </w:pPr>
            <w:r>
              <w:rPr>
                <w:rFonts w:ascii="Arial" w:cs="Arial" w:eastAsia="Arial" w:hAnsi="Arial"/>
                <w:sz w:val="14"/>
                <w:szCs w:val="14"/>
                <w:color w:val="auto"/>
              </w:rPr>
              <w:t>Common shares outstanding as of record date</w:t>
            </w:r>
          </w:p>
        </w:tc>
        <w:tc>
          <w:tcPr>
            <w:tcW w:w="3080" w:type="dxa"/>
            <w:vAlign w:val="bottom"/>
          </w:tcPr>
          <w:p>
            <w:pPr>
              <w:jc w:val="center"/>
              <w:ind w:right="488"/>
              <w:spacing w:after="0"/>
              <w:rPr>
                <w:sz w:val="20"/>
                <w:szCs w:val="20"/>
                <w:color w:val="auto"/>
              </w:rPr>
            </w:pPr>
            <w:r>
              <w:rPr>
                <w:rFonts w:ascii="Arial" w:cs="Arial" w:eastAsia="Arial" w:hAnsi="Arial"/>
                <w:sz w:val="14"/>
                <w:szCs w:val="14"/>
                <w:color w:val="auto"/>
              </w:rPr>
              <w:t>94,443,029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b w:val="1"/>
          <w:bCs w:val="1"/>
          <w:color w:val="0071CE"/>
        </w:rPr>
        <w:t>Three-Year Average Burn Rate Calculation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three-year burn rate was approximately 2.95% as shown in the following table.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 w:type="dxa"/>
            <w:vAlign w:val="bottom"/>
            <w:tcBorders>
              <w:bottom w:val="single" w:sz="8" w:color="003595"/>
            </w:tcBorders>
            <w:shd w:val="clear" w:color="auto" w:fill="003595"/>
          </w:tcPr>
          <w:p>
            <w:pPr>
              <w:spacing w:after="0"/>
              <w:rPr>
                <w:sz w:val="19"/>
                <w:szCs w:val="19"/>
                <w:color w:val="auto"/>
              </w:rPr>
            </w:pPr>
          </w:p>
        </w:tc>
        <w:tc>
          <w:tcPr>
            <w:tcW w:w="2660" w:type="dxa"/>
            <w:vAlign w:val="bottom"/>
            <w:tcBorders>
              <w:bottom w:val="single" w:sz="8" w:color="003595"/>
            </w:tcBorders>
            <w:shd w:val="clear" w:color="auto" w:fill="003595"/>
          </w:tcPr>
          <w:p>
            <w:pPr>
              <w:spacing w:after="0"/>
              <w:rPr>
                <w:sz w:val="19"/>
                <w:szCs w:val="19"/>
                <w:color w:val="auto"/>
              </w:rPr>
            </w:pPr>
          </w:p>
        </w:tc>
        <w:tc>
          <w:tcPr>
            <w:tcW w:w="1040" w:type="dxa"/>
            <w:vAlign w:val="bottom"/>
            <w:tcBorders>
              <w:bottom w:val="single" w:sz="8" w:color="003595"/>
            </w:tcBorders>
            <w:shd w:val="clear" w:color="auto" w:fill="003595"/>
          </w:tcPr>
          <w:p>
            <w:pPr>
              <w:spacing w:after="0"/>
              <w:rPr>
                <w:sz w:val="19"/>
                <w:szCs w:val="19"/>
                <w:color w:val="auto"/>
              </w:rPr>
            </w:pPr>
          </w:p>
        </w:tc>
        <w:tc>
          <w:tcPr>
            <w:tcW w:w="620" w:type="dxa"/>
            <w:vAlign w:val="bottom"/>
            <w:tcBorders>
              <w:bottom w:val="single" w:sz="8" w:color="003595"/>
            </w:tcBorders>
            <w:shd w:val="clear" w:color="auto" w:fill="003595"/>
          </w:tcPr>
          <w:p>
            <w:pPr>
              <w:spacing w:after="0"/>
              <w:rPr>
                <w:sz w:val="19"/>
                <w:szCs w:val="19"/>
                <w:color w:val="auto"/>
              </w:rPr>
            </w:pPr>
          </w:p>
        </w:tc>
        <w:tc>
          <w:tcPr>
            <w:tcW w:w="60" w:type="dxa"/>
            <w:vAlign w:val="bottom"/>
            <w:tcBorders>
              <w:bottom w:val="single" w:sz="8" w:color="003595"/>
            </w:tcBorders>
            <w:shd w:val="clear" w:color="auto" w:fill="003595"/>
          </w:tcPr>
          <w:p>
            <w:pPr>
              <w:spacing w:after="0"/>
              <w:rPr>
                <w:sz w:val="19"/>
                <w:szCs w:val="19"/>
                <w:color w:val="auto"/>
              </w:rPr>
            </w:pPr>
          </w:p>
        </w:tc>
        <w:tc>
          <w:tcPr>
            <w:tcW w:w="40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4"/>
                <w:szCs w:val="14"/>
                <w:b w:val="1"/>
                <w:bCs w:val="1"/>
                <w:color w:val="FFFFFF"/>
                <w:shd w:val="clear" w:color="auto" w:fill="003595"/>
              </w:rPr>
              <w:t>2023</w:t>
            </w:r>
          </w:p>
        </w:tc>
        <w:tc>
          <w:tcPr>
            <w:tcW w:w="60" w:type="dxa"/>
            <w:vAlign w:val="bottom"/>
            <w:tcBorders>
              <w:bottom w:val="single" w:sz="8" w:color="003595"/>
            </w:tcBorders>
            <w:shd w:val="clear" w:color="auto" w:fill="003595"/>
          </w:tcPr>
          <w:p>
            <w:pPr>
              <w:spacing w:after="0"/>
              <w:rPr>
                <w:sz w:val="19"/>
                <w:szCs w:val="19"/>
                <w:color w:val="auto"/>
              </w:rPr>
            </w:pPr>
          </w:p>
        </w:tc>
        <w:tc>
          <w:tcPr>
            <w:tcW w:w="620" w:type="dxa"/>
            <w:vAlign w:val="bottom"/>
            <w:tcBorders>
              <w:bottom w:val="single" w:sz="8" w:color="003595"/>
            </w:tcBorders>
            <w:shd w:val="clear" w:color="auto" w:fill="003595"/>
          </w:tcPr>
          <w:p>
            <w:pPr>
              <w:spacing w:after="0"/>
              <w:rPr>
                <w:sz w:val="19"/>
                <w:szCs w:val="19"/>
                <w:color w:val="auto"/>
              </w:rPr>
            </w:pPr>
          </w:p>
        </w:tc>
        <w:tc>
          <w:tcPr>
            <w:tcW w:w="620" w:type="dxa"/>
            <w:vAlign w:val="bottom"/>
            <w:tcBorders>
              <w:bottom w:val="single" w:sz="8" w:color="003595"/>
            </w:tcBorders>
            <w:shd w:val="clear" w:color="auto" w:fill="003595"/>
          </w:tcPr>
          <w:p>
            <w:pPr>
              <w:spacing w:after="0"/>
              <w:rPr>
                <w:sz w:val="19"/>
                <w:szCs w:val="19"/>
                <w:color w:val="auto"/>
              </w:rPr>
            </w:pPr>
          </w:p>
        </w:tc>
        <w:tc>
          <w:tcPr>
            <w:tcW w:w="40" w:type="dxa"/>
            <w:vAlign w:val="bottom"/>
            <w:tcBorders>
              <w:bottom w:val="single" w:sz="8" w:color="003595"/>
            </w:tcBorders>
            <w:shd w:val="clear" w:color="auto" w:fill="003595"/>
          </w:tcPr>
          <w:p>
            <w:pPr>
              <w:spacing w:after="0"/>
              <w:rPr>
                <w:sz w:val="19"/>
                <w:szCs w:val="19"/>
                <w:color w:val="auto"/>
              </w:rPr>
            </w:pPr>
          </w:p>
        </w:tc>
        <w:tc>
          <w:tcPr>
            <w:tcW w:w="42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4"/>
                <w:szCs w:val="14"/>
                <w:b w:val="1"/>
                <w:bCs w:val="1"/>
                <w:color w:val="FFFFFF"/>
                <w:shd w:val="clear" w:color="auto" w:fill="003595"/>
              </w:rPr>
              <w:t>2024</w:t>
            </w:r>
          </w:p>
        </w:tc>
        <w:tc>
          <w:tcPr>
            <w:tcW w:w="40" w:type="dxa"/>
            <w:vAlign w:val="bottom"/>
            <w:tcBorders>
              <w:bottom w:val="single" w:sz="8" w:color="003595"/>
            </w:tcBorders>
            <w:shd w:val="clear" w:color="auto" w:fill="003595"/>
          </w:tcPr>
          <w:p>
            <w:pPr>
              <w:spacing w:after="0"/>
              <w:rPr>
                <w:sz w:val="19"/>
                <w:szCs w:val="19"/>
                <w:color w:val="auto"/>
              </w:rPr>
            </w:pPr>
          </w:p>
        </w:tc>
        <w:tc>
          <w:tcPr>
            <w:tcW w:w="620" w:type="dxa"/>
            <w:vAlign w:val="bottom"/>
            <w:tcBorders>
              <w:bottom w:val="single" w:sz="8" w:color="003595"/>
            </w:tcBorders>
            <w:shd w:val="clear" w:color="auto" w:fill="003595"/>
          </w:tcPr>
          <w:p>
            <w:pPr>
              <w:spacing w:after="0"/>
              <w:rPr>
                <w:sz w:val="19"/>
                <w:szCs w:val="19"/>
                <w:color w:val="auto"/>
              </w:rPr>
            </w:pPr>
          </w:p>
        </w:tc>
        <w:tc>
          <w:tcPr>
            <w:tcW w:w="540" w:type="dxa"/>
            <w:vAlign w:val="bottom"/>
            <w:tcBorders>
              <w:bottom w:val="single" w:sz="8" w:color="003595"/>
            </w:tcBorders>
            <w:shd w:val="clear" w:color="auto" w:fill="003595"/>
          </w:tcPr>
          <w:p>
            <w:pPr>
              <w:spacing w:after="0"/>
              <w:rPr>
                <w:sz w:val="19"/>
                <w:szCs w:val="19"/>
                <w:color w:val="auto"/>
              </w:rPr>
            </w:pPr>
          </w:p>
        </w:tc>
        <w:tc>
          <w:tcPr>
            <w:tcW w:w="120" w:type="dxa"/>
            <w:vAlign w:val="bottom"/>
            <w:tcBorders>
              <w:bottom w:val="single" w:sz="8" w:color="003595"/>
            </w:tcBorders>
            <w:shd w:val="clear" w:color="auto" w:fill="003595"/>
          </w:tcPr>
          <w:p>
            <w:pPr>
              <w:spacing w:after="0"/>
              <w:rPr>
                <w:sz w:val="19"/>
                <w:szCs w:val="19"/>
                <w:color w:val="auto"/>
              </w:rPr>
            </w:pPr>
          </w:p>
        </w:tc>
        <w:tc>
          <w:tcPr>
            <w:tcW w:w="400" w:type="dxa"/>
            <w:vAlign w:val="bottom"/>
            <w:tcBorders>
              <w:bottom w:val="single" w:sz="8" w:color="003595"/>
            </w:tcBorders>
            <w:shd w:val="clear" w:color="auto" w:fill="003595"/>
          </w:tcPr>
          <w:p>
            <w:pPr>
              <w:jc w:val="center"/>
              <w:spacing w:after="0"/>
              <w:rPr>
                <w:sz w:val="20"/>
                <w:szCs w:val="20"/>
                <w:color w:val="auto"/>
              </w:rPr>
            </w:pPr>
            <w:r>
              <w:rPr>
                <w:rFonts w:ascii="Arial" w:cs="Arial" w:eastAsia="Arial" w:hAnsi="Arial"/>
                <w:sz w:val="14"/>
                <w:szCs w:val="14"/>
                <w:b w:val="1"/>
                <w:bCs w:val="1"/>
                <w:color w:val="FFFFFF"/>
                <w:shd w:val="clear" w:color="auto" w:fill="003595"/>
              </w:rPr>
              <w:t>2025</w:t>
            </w:r>
          </w:p>
        </w:tc>
        <w:tc>
          <w:tcPr>
            <w:tcW w:w="120" w:type="dxa"/>
            <w:vAlign w:val="bottom"/>
            <w:tcBorders>
              <w:bottom w:val="single" w:sz="8" w:color="003595"/>
            </w:tcBorders>
            <w:shd w:val="clear" w:color="auto" w:fill="003595"/>
          </w:tcPr>
          <w:p>
            <w:pPr>
              <w:spacing w:after="0"/>
              <w:rPr>
                <w:sz w:val="19"/>
                <w:szCs w:val="19"/>
                <w:color w:val="auto"/>
              </w:rPr>
            </w:pPr>
          </w:p>
        </w:tc>
        <w:tc>
          <w:tcPr>
            <w:tcW w:w="520" w:type="dxa"/>
            <w:vAlign w:val="bottom"/>
            <w:tcBorders>
              <w:bottom w:val="single" w:sz="8" w:color="003595"/>
            </w:tcBorders>
            <w:shd w:val="clear" w:color="auto" w:fill="003595"/>
          </w:tcPr>
          <w:p>
            <w:pPr>
              <w:spacing w:after="0"/>
              <w:rPr>
                <w:sz w:val="19"/>
                <w:szCs w:val="19"/>
                <w:color w:val="auto"/>
              </w:rPr>
            </w:pPr>
          </w:p>
        </w:tc>
        <w:tc>
          <w:tcPr>
            <w:tcW w:w="1640" w:type="dxa"/>
            <w:vAlign w:val="bottom"/>
            <w:tcBorders>
              <w:bottom w:val="single" w:sz="8" w:color="003595"/>
            </w:tcBorders>
            <w:gridSpan w:val="3"/>
            <w:shd w:val="clear" w:color="auto" w:fill="003595"/>
          </w:tcPr>
          <w:p>
            <w:pPr>
              <w:jc w:val="center"/>
              <w:spacing w:after="0"/>
              <w:rPr>
                <w:sz w:val="20"/>
                <w:szCs w:val="20"/>
                <w:color w:val="auto"/>
              </w:rPr>
            </w:pPr>
            <w:r>
              <w:rPr>
                <w:rFonts w:ascii="Arial" w:cs="Arial" w:eastAsia="Arial" w:hAnsi="Arial"/>
                <w:sz w:val="14"/>
                <w:szCs w:val="14"/>
                <w:b w:val="1"/>
                <w:bCs w:val="1"/>
                <w:color w:val="FFFFFF"/>
                <w:shd w:val="clear" w:color="auto" w:fill="003595"/>
              </w:rPr>
              <w:t>Average Burn Rate</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highlight w:val="lightGray"/>
              </w:rPr>
              <w:t>Options Granted</w:t>
            </w:r>
          </w:p>
        </w:tc>
        <w:tc>
          <w:tcPr>
            <w:tcW w:w="104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highlight w:val="lightGray"/>
              </w:rPr>
              <w:t>—</w:t>
            </w:r>
          </w:p>
        </w:tc>
        <w:tc>
          <w:tcPr>
            <w:tcW w:w="6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highlight w:val="lightGray"/>
                <w:w w:val="99"/>
              </w:rPr>
              <w:t>—</w:t>
            </w:r>
          </w:p>
        </w:tc>
        <w:tc>
          <w:tcPr>
            <w:tcW w:w="4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highlight w:val="lightGray"/>
                <w:w w:val="99"/>
              </w:rPr>
              <w:t>—</w:t>
            </w:r>
          </w:p>
        </w:tc>
        <w:tc>
          <w:tcPr>
            <w:tcW w:w="1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Time-Based Restricted Stock Units Granted</w:t>
            </w:r>
          </w:p>
        </w:tc>
        <w:tc>
          <w:tcPr>
            <w:tcW w:w="1760" w:type="dxa"/>
            <w:vAlign w:val="bottom"/>
            <w:gridSpan w:val="5"/>
          </w:tcPr>
          <w:p>
            <w:pPr>
              <w:jc w:val="center"/>
              <w:spacing w:after="0"/>
              <w:rPr>
                <w:sz w:val="20"/>
                <w:szCs w:val="20"/>
                <w:color w:val="auto"/>
              </w:rPr>
            </w:pPr>
            <w:r>
              <w:rPr>
                <w:rFonts w:ascii="Arial" w:cs="Arial" w:eastAsia="Arial" w:hAnsi="Arial"/>
                <w:sz w:val="14"/>
                <w:szCs w:val="14"/>
                <w:color w:val="auto"/>
              </w:rPr>
              <w:t>1,765,391</w:t>
            </w:r>
          </w:p>
        </w:tc>
        <w:tc>
          <w:tcPr>
            <w:tcW w:w="1740" w:type="dxa"/>
            <w:vAlign w:val="bottom"/>
            <w:gridSpan w:val="5"/>
          </w:tcPr>
          <w:p>
            <w:pPr>
              <w:jc w:val="center"/>
              <w:ind w:right="20"/>
              <w:spacing w:after="0"/>
              <w:rPr>
                <w:sz w:val="20"/>
                <w:szCs w:val="20"/>
                <w:color w:val="auto"/>
              </w:rPr>
            </w:pPr>
            <w:r>
              <w:rPr>
                <w:rFonts w:ascii="Arial" w:cs="Arial" w:eastAsia="Arial" w:hAnsi="Arial"/>
                <w:sz w:val="14"/>
                <w:szCs w:val="14"/>
                <w:color w:val="auto"/>
              </w:rPr>
              <w:t>1,829,820</w:t>
            </w:r>
          </w:p>
        </w:tc>
        <w:tc>
          <w:tcPr>
            <w:tcW w:w="1180" w:type="dxa"/>
            <w:vAlign w:val="bottom"/>
            <w:gridSpan w:val="4"/>
          </w:tcPr>
          <w:p>
            <w:pPr>
              <w:jc w:val="center"/>
              <w:ind w:left="468"/>
              <w:spacing w:after="0"/>
              <w:rPr>
                <w:sz w:val="20"/>
                <w:szCs w:val="20"/>
                <w:color w:val="auto"/>
              </w:rPr>
            </w:pPr>
            <w:r>
              <w:rPr>
                <w:rFonts w:ascii="Arial" w:cs="Arial" w:eastAsia="Arial" w:hAnsi="Arial"/>
                <w:sz w:val="14"/>
                <w:szCs w:val="14"/>
                <w:color w:val="auto"/>
              </w:rPr>
              <w:t>3,269,504</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gridSpan w:val="2"/>
            <w:vMerge w:val="restart"/>
            <w:shd w:val="clear" w:color="auto" w:fill="DBDBDB"/>
          </w:tcPr>
          <w:p>
            <w:pPr>
              <w:ind w:left="20"/>
              <w:spacing w:after="0"/>
              <w:rPr>
                <w:sz w:val="20"/>
                <w:szCs w:val="20"/>
                <w:color w:val="auto"/>
              </w:rPr>
            </w:pPr>
            <w:r>
              <w:rPr>
                <w:rFonts w:ascii="Arial" w:cs="Arial" w:eastAsia="Arial" w:hAnsi="Arial"/>
                <w:sz w:val="14"/>
                <w:szCs w:val="14"/>
                <w:color w:val="auto"/>
                <w:highlight w:val="lightGray"/>
              </w:rPr>
              <w:t>Performance-Based Restricted Stock Units Granted</w:t>
            </w:r>
          </w:p>
        </w:tc>
        <w:tc>
          <w:tcPr>
            <w:tcW w:w="1040" w:type="dxa"/>
            <w:vAlign w:val="bottom"/>
            <w:shd w:val="clear" w:color="auto" w:fill="DBDBDB"/>
          </w:tcPr>
          <w:p>
            <w:pPr>
              <w:jc w:val="right"/>
              <w:ind w:right="873"/>
              <w:spacing w:after="0"/>
              <w:rPr>
                <w:sz w:val="20"/>
                <w:szCs w:val="20"/>
                <w:color w:val="auto"/>
              </w:rPr>
            </w:pPr>
            <w:r>
              <w:rPr>
                <w:rFonts w:ascii="Arial" w:cs="Arial" w:eastAsia="Arial" w:hAnsi="Arial"/>
                <w:sz w:val="9"/>
                <w:szCs w:val="9"/>
                <w:color w:val="auto"/>
                <w:highlight w:val="lightGray"/>
                <w:w w:val="90"/>
              </w:rPr>
              <w:t>(1)</w:t>
            </w:r>
          </w:p>
        </w:tc>
        <w:tc>
          <w:tcPr>
            <w:tcW w:w="620" w:type="dxa"/>
            <w:vAlign w:val="bottom"/>
            <w:shd w:val="clear" w:color="auto" w:fill="DBDBDB"/>
          </w:tcPr>
          <w:p>
            <w:pPr>
              <w:spacing w:after="0"/>
              <w:rPr>
                <w:sz w:val="12"/>
                <w:szCs w:val="12"/>
                <w:color w:val="auto"/>
              </w:rPr>
            </w:pPr>
          </w:p>
        </w:tc>
        <w:tc>
          <w:tcPr>
            <w:tcW w:w="520" w:type="dxa"/>
            <w:vAlign w:val="bottom"/>
            <w:gridSpan w:val="3"/>
            <w:vMerge w:val="restart"/>
            <w:shd w:val="clear" w:color="auto" w:fill="DBDBDB"/>
          </w:tcPr>
          <w:p>
            <w:pPr>
              <w:jc w:val="center"/>
              <w:spacing w:after="0"/>
              <w:rPr>
                <w:sz w:val="20"/>
                <w:szCs w:val="20"/>
                <w:color w:val="auto"/>
              </w:rPr>
            </w:pPr>
            <w:r>
              <w:rPr>
                <w:rFonts w:ascii="Arial" w:cs="Arial" w:eastAsia="Arial" w:hAnsi="Arial"/>
                <w:sz w:val="14"/>
                <w:szCs w:val="14"/>
                <w:color w:val="auto"/>
                <w:highlight w:val="lightGray"/>
              </w:rPr>
              <w:t>624,401</w:t>
            </w:r>
          </w:p>
        </w:tc>
        <w:tc>
          <w:tcPr>
            <w:tcW w:w="62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500" w:type="dxa"/>
            <w:vAlign w:val="bottom"/>
            <w:gridSpan w:val="3"/>
            <w:vMerge w:val="restart"/>
            <w:shd w:val="clear" w:color="auto" w:fill="DBDBDB"/>
          </w:tcPr>
          <w:p>
            <w:pPr>
              <w:jc w:val="center"/>
              <w:spacing w:after="0"/>
              <w:rPr>
                <w:sz w:val="20"/>
                <w:szCs w:val="20"/>
                <w:color w:val="auto"/>
              </w:rPr>
            </w:pPr>
            <w:r>
              <w:rPr>
                <w:rFonts w:ascii="Arial" w:cs="Arial" w:eastAsia="Arial" w:hAnsi="Arial"/>
                <w:sz w:val="14"/>
                <w:szCs w:val="14"/>
                <w:color w:val="auto"/>
                <w:highlight w:val="lightGray"/>
                <w:w w:val="98"/>
              </w:rPr>
              <w:t>830,302</w:t>
            </w:r>
          </w:p>
        </w:tc>
        <w:tc>
          <w:tcPr>
            <w:tcW w:w="62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640" w:type="dxa"/>
            <w:vAlign w:val="bottom"/>
            <w:gridSpan w:val="3"/>
            <w:vMerge w:val="restart"/>
            <w:shd w:val="clear" w:color="auto" w:fill="DBDBDB"/>
          </w:tcPr>
          <w:p>
            <w:pPr>
              <w:jc w:val="center"/>
              <w:spacing w:after="0"/>
              <w:rPr>
                <w:sz w:val="20"/>
                <w:szCs w:val="20"/>
                <w:color w:val="auto"/>
              </w:rPr>
            </w:pPr>
            <w:r>
              <w:rPr>
                <w:rFonts w:ascii="Arial" w:cs="Arial" w:eastAsia="Arial" w:hAnsi="Arial"/>
                <w:sz w:val="14"/>
                <w:szCs w:val="14"/>
                <w:color w:val="auto"/>
                <w:highlight w:val="lightGray"/>
              </w:rPr>
              <w:t>1,684,236</w:t>
            </w:r>
          </w:p>
        </w:tc>
        <w:tc>
          <w:tcPr>
            <w:tcW w:w="52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42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360" w:type="dxa"/>
            <w:vAlign w:val="bottom"/>
            <w:tcBorders>
              <w:bottom w:val="single" w:sz="8" w:color="DBDBDB"/>
            </w:tcBorders>
            <w:gridSpan w:val="2"/>
            <w:vMerge w:val="continue"/>
            <w:shd w:val="clear" w:color="auto" w:fill="DBDBDB"/>
          </w:tcPr>
          <w:p>
            <w:pPr>
              <w:spacing w:after="0"/>
              <w:rPr>
                <w:sz w:val="7"/>
                <w:szCs w:val="7"/>
                <w:color w:val="auto"/>
              </w:rPr>
            </w:pPr>
          </w:p>
        </w:tc>
        <w:tc>
          <w:tcPr>
            <w:tcW w:w="1040" w:type="dxa"/>
            <w:vAlign w:val="bottom"/>
            <w:tcBorders>
              <w:bottom w:val="single" w:sz="8" w:color="DBDBDB"/>
            </w:tcBorders>
            <w:shd w:val="clear" w:color="auto" w:fill="DBDBDB"/>
          </w:tcPr>
          <w:p>
            <w:pPr>
              <w:spacing w:after="0"/>
              <w:rPr>
                <w:sz w:val="7"/>
                <w:szCs w:val="7"/>
                <w:color w:val="auto"/>
              </w:rPr>
            </w:pPr>
          </w:p>
        </w:tc>
        <w:tc>
          <w:tcPr>
            <w:tcW w:w="620" w:type="dxa"/>
            <w:vAlign w:val="bottom"/>
            <w:tcBorders>
              <w:bottom w:val="single" w:sz="8" w:color="DBDBDB"/>
            </w:tcBorders>
            <w:shd w:val="clear" w:color="auto" w:fill="DBDBDB"/>
          </w:tcPr>
          <w:p>
            <w:pPr>
              <w:spacing w:after="0"/>
              <w:rPr>
                <w:sz w:val="7"/>
                <w:szCs w:val="7"/>
                <w:color w:val="auto"/>
              </w:rPr>
            </w:pPr>
          </w:p>
        </w:tc>
        <w:tc>
          <w:tcPr>
            <w:tcW w:w="520" w:type="dxa"/>
            <w:vAlign w:val="bottom"/>
            <w:tcBorders>
              <w:bottom w:val="single" w:sz="8" w:color="DBDBDB"/>
            </w:tcBorders>
            <w:gridSpan w:val="3"/>
            <w:vMerge w:val="continue"/>
            <w:shd w:val="clear" w:color="auto" w:fill="DBDBDB"/>
          </w:tcPr>
          <w:p>
            <w:pPr>
              <w:spacing w:after="0"/>
              <w:rPr>
                <w:sz w:val="7"/>
                <w:szCs w:val="7"/>
                <w:color w:val="auto"/>
              </w:rPr>
            </w:pPr>
          </w:p>
        </w:tc>
        <w:tc>
          <w:tcPr>
            <w:tcW w:w="620" w:type="dxa"/>
            <w:vAlign w:val="bottom"/>
            <w:tcBorders>
              <w:bottom w:val="single" w:sz="8" w:color="DBDBDB"/>
            </w:tcBorders>
            <w:shd w:val="clear" w:color="auto" w:fill="DBDBDB"/>
          </w:tcPr>
          <w:p>
            <w:pPr>
              <w:spacing w:after="0"/>
              <w:rPr>
                <w:sz w:val="7"/>
                <w:szCs w:val="7"/>
                <w:color w:val="auto"/>
              </w:rPr>
            </w:pPr>
          </w:p>
        </w:tc>
        <w:tc>
          <w:tcPr>
            <w:tcW w:w="620" w:type="dxa"/>
            <w:vAlign w:val="bottom"/>
            <w:tcBorders>
              <w:bottom w:val="single" w:sz="8" w:color="DBDBDB"/>
            </w:tcBorders>
            <w:shd w:val="clear" w:color="auto" w:fill="DBDBDB"/>
          </w:tcPr>
          <w:p>
            <w:pPr>
              <w:spacing w:after="0"/>
              <w:rPr>
                <w:sz w:val="7"/>
                <w:szCs w:val="7"/>
                <w:color w:val="auto"/>
              </w:rPr>
            </w:pPr>
          </w:p>
        </w:tc>
        <w:tc>
          <w:tcPr>
            <w:tcW w:w="500" w:type="dxa"/>
            <w:vAlign w:val="bottom"/>
            <w:tcBorders>
              <w:bottom w:val="single" w:sz="8" w:color="DBDBDB"/>
            </w:tcBorders>
            <w:gridSpan w:val="3"/>
            <w:vMerge w:val="continue"/>
            <w:shd w:val="clear" w:color="auto" w:fill="DBDBDB"/>
          </w:tcPr>
          <w:p>
            <w:pPr>
              <w:spacing w:after="0"/>
              <w:rPr>
                <w:sz w:val="7"/>
                <w:szCs w:val="7"/>
                <w:color w:val="auto"/>
              </w:rPr>
            </w:pPr>
          </w:p>
        </w:tc>
        <w:tc>
          <w:tcPr>
            <w:tcW w:w="620" w:type="dxa"/>
            <w:vAlign w:val="bottom"/>
            <w:tcBorders>
              <w:bottom w:val="single" w:sz="8" w:color="DBDBDB"/>
            </w:tcBorders>
            <w:shd w:val="clear" w:color="auto" w:fill="DBDBDB"/>
          </w:tcPr>
          <w:p>
            <w:pPr>
              <w:spacing w:after="0"/>
              <w:rPr>
                <w:sz w:val="7"/>
                <w:szCs w:val="7"/>
                <w:color w:val="auto"/>
              </w:rPr>
            </w:pPr>
          </w:p>
        </w:tc>
        <w:tc>
          <w:tcPr>
            <w:tcW w:w="540" w:type="dxa"/>
            <w:vAlign w:val="bottom"/>
            <w:tcBorders>
              <w:bottom w:val="single" w:sz="8" w:color="DBDBDB"/>
            </w:tcBorders>
            <w:shd w:val="clear" w:color="auto" w:fill="DBDBDB"/>
          </w:tcPr>
          <w:p>
            <w:pPr>
              <w:spacing w:after="0"/>
              <w:rPr>
                <w:sz w:val="7"/>
                <w:szCs w:val="7"/>
                <w:color w:val="auto"/>
              </w:rPr>
            </w:pPr>
          </w:p>
        </w:tc>
        <w:tc>
          <w:tcPr>
            <w:tcW w:w="640" w:type="dxa"/>
            <w:vAlign w:val="bottom"/>
            <w:tcBorders>
              <w:bottom w:val="single" w:sz="8" w:color="DBDBDB"/>
            </w:tcBorders>
            <w:gridSpan w:val="3"/>
            <w:vMerge w:val="continue"/>
            <w:shd w:val="clear" w:color="auto" w:fill="DBDBDB"/>
          </w:tcPr>
          <w:p>
            <w:pPr>
              <w:spacing w:after="0"/>
              <w:rPr>
                <w:sz w:val="7"/>
                <w:szCs w:val="7"/>
                <w:color w:val="auto"/>
              </w:rPr>
            </w:pPr>
          </w:p>
        </w:tc>
        <w:tc>
          <w:tcPr>
            <w:tcW w:w="520" w:type="dxa"/>
            <w:vAlign w:val="bottom"/>
            <w:tcBorders>
              <w:bottom w:val="single" w:sz="8" w:color="DBDBDB"/>
            </w:tcBorders>
            <w:shd w:val="clear" w:color="auto" w:fill="DBDBDB"/>
          </w:tcPr>
          <w:p>
            <w:pPr>
              <w:spacing w:after="0"/>
              <w:rPr>
                <w:sz w:val="7"/>
                <w:szCs w:val="7"/>
                <w:color w:val="auto"/>
              </w:rPr>
            </w:pPr>
          </w:p>
        </w:tc>
        <w:tc>
          <w:tcPr>
            <w:tcW w:w="620" w:type="dxa"/>
            <w:vAlign w:val="bottom"/>
            <w:tcBorders>
              <w:bottom w:val="single" w:sz="8" w:color="DBDBDB"/>
            </w:tcBorders>
            <w:shd w:val="clear" w:color="auto" w:fill="DBDBDB"/>
          </w:tcPr>
          <w:p>
            <w:pPr>
              <w:spacing w:after="0"/>
              <w:rPr>
                <w:sz w:val="7"/>
                <w:szCs w:val="7"/>
                <w:color w:val="auto"/>
              </w:rPr>
            </w:pPr>
          </w:p>
        </w:tc>
        <w:tc>
          <w:tcPr>
            <w:tcW w:w="420" w:type="dxa"/>
            <w:vAlign w:val="bottom"/>
            <w:tcBorders>
              <w:bottom w:val="single" w:sz="8" w:color="DBDBDB"/>
            </w:tcBorders>
            <w:shd w:val="clear" w:color="auto" w:fill="DBDBDB"/>
          </w:tcPr>
          <w:p>
            <w:pPr>
              <w:spacing w:after="0"/>
              <w:rPr>
                <w:sz w:val="7"/>
                <w:szCs w:val="7"/>
                <w:color w:val="auto"/>
              </w:rPr>
            </w:pPr>
          </w:p>
        </w:tc>
        <w:tc>
          <w:tcPr>
            <w:tcW w:w="600" w:type="dxa"/>
            <w:vAlign w:val="bottom"/>
            <w:tcBorders>
              <w:bottom w:val="single" w:sz="8" w:color="DBDBDB"/>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Total Granted</w:t>
            </w:r>
          </w:p>
        </w:tc>
        <w:tc>
          <w:tcPr>
            <w:tcW w:w="1760" w:type="dxa"/>
            <w:vAlign w:val="bottom"/>
            <w:tcBorders>
              <w:top w:val="single" w:sz="8" w:color="003595"/>
            </w:tcBorders>
            <w:gridSpan w:val="5"/>
          </w:tcPr>
          <w:p>
            <w:pPr>
              <w:jc w:val="center"/>
              <w:spacing w:after="0"/>
              <w:rPr>
                <w:sz w:val="20"/>
                <w:szCs w:val="20"/>
                <w:color w:val="auto"/>
              </w:rPr>
            </w:pPr>
            <w:r>
              <w:rPr>
                <w:rFonts w:ascii="Arial" w:cs="Arial" w:eastAsia="Arial" w:hAnsi="Arial"/>
                <w:sz w:val="14"/>
                <w:szCs w:val="14"/>
                <w:color w:val="auto"/>
              </w:rPr>
              <w:t>2,389,792</w:t>
            </w:r>
          </w:p>
        </w:tc>
        <w:tc>
          <w:tcPr>
            <w:tcW w:w="1740" w:type="dxa"/>
            <w:vAlign w:val="bottom"/>
            <w:tcBorders>
              <w:top w:val="single" w:sz="8" w:color="003595"/>
            </w:tcBorders>
            <w:gridSpan w:val="5"/>
          </w:tcPr>
          <w:p>
            <w:pPr>
              <w:jc w:val="center"/>
              <w:ind w:right="20"/>
              <w:spacing w:after="0"/>
              <w:rPr>
                <w:sz w:val="20"/>
                <w:szCs w:val="20"/>
                <w:color w:val="auto"/>
              </w:rPr>
            </w:pPr>
            <w:r>
              <w:rPr>
                <w:rFonts w:ascii="Arial" w:cs="Arial" w:eastAsia="Arial" w:hAnsi="Arial"/>
                <w:sz w:val="14"/>
                <w:szCs w:val="14"/>
                <w:color w:val="auto"/>
              </w:rPr>
              <w:t>2,660,122</w:t>
            </w:r>
          </w:p>
        </w:tc>
        <w:tc>
          <w:tcPr>
            <w:tcW w:w="1180" w:type="dxa"/>
            <w:vAlign w:val="bottom"/>
            <w:tcBorders>
              <w:top w:val="single" w:sz="8" w:color="003595"/>
            </w:tcBorders>
            <w:gridSpan w:val="4"/>
          </w:tcPr>
          <w:p>
            <w:pPr>
              <w:jc w:val="center"/>
              <w:ind w:left="468"/>
              <w:spacing w:after="0"/>
              <w:rPr>
                <w:sz w:val="20"/>
                <w:szCs w:val="20"/>
                <w:color w:val="auto"/>
              </w:rPr>
            </w:pPr>
            <w:r>
              <w:rPr>
                <w:rFonts w:ascii="Arial" w:cs="Arial" w:eastAsia="Arial" w:hAnsi="Arial"/>
                <w:sz w:val="14"/>
                <w:szCs w:val="14"/>
                <w:color w:val="auto"/>
              </w:rPr>
              <w:t>4,953,740</w:t>
            </w:r>
          </w:p>
        </w:tc>
        <w:tc>
          <w:tcPr>
            <w:tcW w:w="520" w:type="dxa"/>
            <w:vAlign w:val="bottom"/>
            <w:tcBorders>
              <w:top w:val="single" w:sz="8" w:color="003595"/>
            </w:tcBorders>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4"/>
                <w:szCs w:val="14"/>
                <w:color w:val="auto"/>
                <w:highlight w:val="lightGray"/>
              </w:rPr>
              <w:t>Performance-Based Restricted Stock Units Earned &amp; Vested</w:t>
            </w:r>
          </w:p>
        </w:tc>
        <w:tc>
          <w:tcPr>
            <w:tcW w:w="6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gridSpan w:val="3"/>
            <w:shd w:val="clear" w:color="auto" w:fill="DBDBDB"/>
          </w:tcPr>
          <w:p>
            <w:pPr>
              <w:jc w:val="center"/>
              <w:spacing w:after="0"/>
              <w:rPr>
                <w:sz w:val="20"/>
                <w:szCs w:val="20"/>
                <w:color w:val="auto"/>
              </w:rPr>
            </w:pPr>
            <w:r>
              <w:rPr>
                <w:rFonts w:ascii="Arial" w:cs="Arial" w:eastAsia="Arial" w:hAnsi="Arial"/>
                <w:sz w:val="14"/>
                <w:szCs w:val="14"/>
                <w:color w:val="auto"/>
                <w:highlight w:val="lightGray"/>
              </w:rPr>
              <w:t>330,257</w:t>
            </w:r>
          </w:p>
        </w:tc>
        <w:tc>
          <w:tcPr>
            <w:tcW w:w="6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DBDBDB"/>
            </w:tcBorders>
            <w:gridSpan w:val="3"/>
            <w:shd w:val="clear" w:color="auto" w:fill="DBDBDB"/>
          </w:tcPr>
          <w:p>
            <w:pPr>
              <w:jc w:val="center"/>
              <w:spacing w:after="0"/>
              <w:rPr>
                <w:sz w:val="20"/>
                <w:szCs w:val="20"/>
                <w:color w:val="auto"/>
              </w:rPr>
            </w:pPr>
            <w:r>
              <w:rPr>
                <w:rFonts w:ascii="Arial" w:cs="Arial" w:eastAsia="Arial" w:hAnsi="Arial"/>
                <w:sz w:val="14"/>
                <w:szCs w:val="14"/>
                <w:color w:val="auto"/>
                <w:highlight w:val="lightGray"/>
                <w:w w:val="98"/>
              </w:rPr>
              <w:t>307,906</w:t>
            </w:r>
          </w:p>
        </w:tc>
        <w:tc>
          <w:tcPr>
            <w:tcW w:w="6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gridSpan w:val="3"/>
            <w:shd w:val="clear" w:color="auto" w:fill="DBDBDB"/>
          </w:tcPr>
          <w:p>
            <w:pPr>
              <w:jc w:val="center"/>
              <w:spacing w:after="0"/>
              <w:rPr>
                <w:sz w:val="20"/>
                <w:szCs w:val="20"/>
                <w:color w:val="auto"/>
              </w:rPr>
            </w:pPr>
            <w:r>
              <w:rPr>
                <w:rFonts w:ascii="Arial" w:cs="Arial" w:eastAsia="Arial" w:hAnsi="Arial"/>
                <w:sz w:val="14"/>
                <w:szCs w:val="14"/>
                <w:color w:val="auto"/>
                <w:highlight w:val="lightGray"/>
              </w:rPr>
              <w:t>388,956</w:t>
            </w:r>
          </w:p>
        </w:tc>
        <w:tc>
          <w:tcPr>
            <w:tcW w:w="5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Weighted Average # of Shares of Common Stock Outstanding</w:t>
            </w:r>
          </w:p>
        </w:tc>
        <w:tc>
          <w:tcPr>
            <w:tcW w:w="1760" w:type="dxa"/>
            <w:vAlign w:val="bottom"/>
            <w:gridSpan w:val="5"/>
          </w:tcPr>
          <w:p>
            <w:pPr>
              <w:jc w:val="center"/>
              <w:spacing w:after="0"/>
              <w:rPr>
                <w:sz w:val="20"/>
                <w:szCs w:val="20"/>
                <w:color w:val="auto"/>
              </w:rPr>
            </w:pPr>
            <w:r>
              <w:rPr>
                <w:rFonts w:ascii="Arial" w:cs="Arial" w:eastAsia="Arial" w:hAnsi="Arial"/>
                <w:sz w:val="14"/>
                <w:szCs w:val="14"/>
                <w:color w:val="auto"/>
              </w:rPr>
              <w:t>82,762,935</w:t>
            </w:r>
          </w:p>
        </w:tc>
        <w:tc>
          <w:tcPr>
            <w:tcW w:w="1740" w:type="dxa"/>
            <w:vAlign w:val="bottom"/>
            <w:gridSpan w:val="5"/>
          </w:tcPr>
          <w:p>
            <w:pPr>
              <w:jc w:val="center"/>
              <w:ind w:right="20"/>
              <w:spacing w:after="0"/>
              <w:rPr>
                <w:sz w:val="20"/>
                <w:szCs w:val="20"/>
                <w:color w:val="auto"/>
              </w:rPr>
            </w:pPr>
            <w:r>
              <w:rPr>
                <w:rFonts w:ascii="Arial" w:cs="Arial" w:eastAsia="Arial" w:hAnsi="Arial"/>
                <w:sz w:val="14"/>
                <w:szCs w:val="14"/>
                <w:color w:val="auto"/>
              </w:rPr>
              <w:t>90,636,269</w:t>
            </w:r>
          </w:p>
        </w:tc>
        <w:tc>
          <w:tcPr>
            <w:tcW w:w="1700" w:type="dxa"/>
            <w:vAlign w:val="bottom"/>
            <w:gridSpan w:val="5"/>
          </w:tcPr>
          <w:p>
            <w:pPr>
              <w:jc w:val="center"/>
              <w:spacing w:after="0"/>
              <w:rPr>
                <w:sz w:val="20"/>
                <w:szCs w:val="20"/>
                <w:color w:val="auto"/>
              </w:rPr>
            </w:pPr>
            <w:r>
              <w:rPr>
                <w:rFonts w:ascii="Arial" w:cs="Arial" w:eastAsia="Arial" w:hAnsi="Arial"/>
                <w:sz w:val="14"/>
                <w:szCs w:val="14"/>
                <w:color w:val="auto"/>
              </w:rPr>
              <w:t>92,572,999</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highlight w:val="lightGray"/>
              </w:rPr>
              <w:t>Burn Rate</w:t>
            </w:r>
          </w:p>
        </w:tc>
        <w:tc>
          <w:tcPr>
            <w:tcW w:w="2660" w:type="dxa"/>
            <w:vAlign w:val="bottom"/>
            <w:shd w:val="clear" w:color="auto" w:fill="DBDBDB"/>
          </w:tcPr>
          <w:p>
            <w:pPr>
              <w:jc w:val="right"/>
              <w:ind w:right="2493"/>
              <w:spacing w:after="0"/>
              <w:rPr>
                <w:sz w:val="20"/>
                <w:szCs w:val="20"/>
                <w:color w:val="auto"/>
              </w:rPr>
            </w:pPr>
            <w:r>
              <w:rPr>
                <w:rFonts w:ascii="Arial" w:cs="Arial" w:eastAsia="Arial" w:hAnsi="Arial"/>
                <w:sz w:val="9"/>
                <w:szCs w:val="9"/>
                <w:color w:val="auto"/>
                <w:highlight w:val="lightGray"/>
                <w:w w:val="90"/>
              </w:rPr>
              <w:t>(2)</w:t>
            </w:r>
          </w:p>
        </w:tc>
        <w:tc>
          <w:tcPr>
            <w:tcW w:w="1040" w:type="dxa"/>
            <w:vAlign w:val="bottom"/>
            <w:shd w:val="clear" w:color="auto" w:fill="DBDBDB"/>
          </w:tcPr>
          <w:p>
            <w:pPr>
              <w:spacing w:after="0"/>
              <w:rPr>
                <w:sz w:val="12"/>
                <w:szCs w:val="12"/>
                <w:color w:val="auto"/>
              </w:rPr>
            </w:pPr>
          </w:p>
        </w:tc>
        <w:tc>
          <w:tcPr>
            <w:tcW w:w="680" w:type="dxa"/>
            <w:vAlign w:val="bottom"/>
            <w:gridSpan w:val="2"/>
            <w:shd w:val="clear" w:color="auto" w:fill="DBDBDB"/>
          </w:tcPr>
          <w:p>
            <w:pPr>
              <w:spacing w:after="0"/>
              <w:rPr>
                <w:sz w:val="12"/>
                <w:szCs w:val="12"/>
                <w:color w:val="auto"/>
              </w:rPr>
            </w:pPr>
          </w:p>
        </w:tc>
        <w:tc>
          <w:tcPr>
            <w:tcW w:w="40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highlight w:val="lightGray"/>
              </w:rPr>
              <w:t>2.53%</w:t>
            </w:r>
          </w:p>
        </w:tc>
        <w:tc>
          <w:tcPr>
            <w:tcW w:w="6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660" w:type="dxa"/>
            <w:vAlign w:val="bottom"/>
            <w:gridSpan w:val="2"/>
            <w:shd w:val="clear" w:color="auto" w:fill="DBDBDB"/>
          </w:tcPr>
          <w:p>
            <w:pPr>
              <w:spacing w:after="0"/>
              <w:rPr>
                <w:sz w:val="12"/>
                <w:szCs w:val="12"/>
                <w:color w:val="auto"/>
              </w:rPr>
            </w:pPr>
          </w:p>
        </w:tc>
        <w:tc>
          <w:tcPr>
            <w:tcW w:w="4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highlight w:val="lightGray"/>
              </w:rPr>
              <w:t>2.36%</w:t>
            </w:r>
          </w:p>
        </w:tc>
        <w:tc>
          <w:tcPr>
            <w:tcW w:w="4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660" w:type="dxa"/>
            <w:vAlign w:val="bottom"/>
            <w:gridSpan w:val="2"/>
            <w:shd w:val="clear" w:color="auto" w:fill="DBDBDB"/>
          </w:tcPr>
          <w:p>
            <w:pPr>
              <w:spacing w:after="0"/>
              <w:rPr>
                <w:sz w:val="12"/>
                <w:szCs w:val="12"/>
                <w:color w:val="auto"/>
              </w:rPr>
            </w:pPr>
          </w:p>
        </w:tc>
        <w:tc>
          <w:tcPr>
            <w:tcW w:w="40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highlight w:val="lightGray"/>
              </w:rPr>
              <w:t>3.95%</w:t>
            </w:r>
          </w:p>
        </w:tc>
        <w:tc>
          <w:tcPr>
            <w:tcW w:w="12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4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highlight w:val="lightGray"/>
                <w:w w:val="95"/>
              </w:rPr>
              <w:t>2.95%</w:t>
            </w:r>
          </w:p>
        </w:tc>
        <w:tc>
          <w:tcPr>
            <w:tcW w:w="6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700" w:type="dxa"/>
            <w:vAlign w:val="bottom"/>
            <w:vMerge w:val="continue"/>
            <w:shd w:val="clear" w:color="auto" w:fill="DBDBDB"/>
          </w:tcPr>
          <w:p>
            <w:pPr>
              <w:spacing w:after="0"/>
              <w:rPr>
                <w:sz w:val="4"/>
                <w:szCs w:val="4"/>
                <w:color w:val="auto"/>
              </w:rPr>
            </w:pPr>
          </w:p>
        </w:tc>
        <w:tc>
          <w:tcPr>
            <w:tcW w:w="2660" w:type="dxa"/>
            <w:vAlign w:val="bottom"/>
            <w:shd w:val="clear" w:color="auto" w:fill="DBDBDB"/>
          </w:tcPr>
          <w:p>
            <w:pPr>
              <w:spacing w:after="0"/>
              <w:rPr>
                <w:sz w:val="4"/>
                <w:szCs w:val="4"/>
                <w:color w:val="auto"/>
              </w:rPr>
            </w:pPr>
          </w:p>
        </w:tc>
        <w:tc>
          <w:tcPr>
            <w:tcW w:w="1040" w:type="dxa"/>
            <w:vAlign w:val="bottom"/>
            <w:shd w:val="clear" w:color="auto" w:fill="DBDBDB"/>
          </w:tcPr>
          <w:p>
            <w:pPr>
              <w:spacing w:after="0"/>
              <w:rPr>
                <w:sz w:val="4"/>
                <w:szCs w:val="4"/>
                <w:color w:val="auto"/>
              </w:rPr>
            </w:pPr>
          </w:p>
        </w:tc>
        <w:tc>
          <w:tcPr>
            <w:tcW w:w="620" w:type="dxa"/>
            <w:vAlign w:val="bottom"/>
            <w:shd w:val="clear" w:color="auto" w:fill="DBDBDB"/>
          </w:tcPr>
          <w:p>
            <w:pPr>
              <w:spacing w:after="0"/>
              <w:rPr>
                <w:sz w:val="4"/>
                <w:szCs w:val="4"/>
                <w:color w:val="auto"/>
              </w:rPr>
            </w:pPr>
          </w:p>
        </w:tc>
        <w:tc>
          <w:tcPr>
            <w:tcW w:w="60" w:type="dxa"/>
            <w:vAlign w:val="bottom"/>
            <w:shd w:val="clear" w:color="auto" w:fill="DBDBDB"/>
          </w:tcPr>
          <w:p>
            <w:pPr>
              <w:spacing w:after="0"/>
              <w:rPr>
                <w:sz w:val="4"/>
                <w:szCs w:val="4"/>
                <w:color w:val="auto"/>
              </w:rPr>
            </w:pPr>
          </w:p>
        </w:tc>
        <w:tc>
          <w:tcPr>
            <w:tcW w:w="400" w:type="dxa"/>
            <w:vAlign w:val="bottom"/>
            <w:vMerge w:val="continue"/>
            <w:shd w:val="clear" w:color="auto" w:fill="DBDBDB"/>
          </w:tcPr>
          <w:p>
            <w:pPr>
              <w:spacing w:after="0"/>
              <w:rPr>
                <w:sz w:val="4"/>
                <w:szCs w:val="4"/>
                <w:color w:val="auto"/>
              </w:rPr>
            </w:pPr>
          </w:p>
        </w:tc>
        <w:tc>
          <w:tcPr>
            <w:tcW w:w="60" w:type="dxa"/>
            <w:vAlign w:val="bottom"/>
            <w:shd w:val="clear" w:color="auto" w:fill="DBDBDB"/>
          </w:tcPr>
          <w:p>
            <w:pPr>
              <w:spacing w:after="0"/>
              <w:rPr>
                <w:sz w:val="4"/>
                <w:szCs w:val="4"/>
                <w:color w:val="auto"/>
              </w:rPr>
            </w:pPr>
          </w:p>
        </w:tc>
        <w:tc>
          <w:tcPr>
            <w:tcW w:w="620" w:type="dxa"/>
            <w:vAlign w:val="bottom"/>
            <w:shd w:val="clear" w:color="auto" w:fill="DBDBDB"/>
          </w:tcPr>
          <w:p>
            <w:pPr>
              <w:spacing w:after="0"/>
              <w:rPr>
                <w:sz w:val="4"/>
                <w:szCs w:val="4"/>
                <w:color w:val="auto"/>
              </w:rPr>
            </w:pPr>
          </w:p>
        </w:tc>
        <w:tc>
          <w:tcPr>
            <w:tcW w:w="620" w:type="dxa"/>
            <w:vAlign w:val="bottom"/>
            <w:shd w:val="clear" w:color="auto" w:fill="DBDBDB"/>
          </w:tcPr>
          <w:p>
            <w:pPr>
              <w:spacing w:after="0"/>
              <w:rPr>
                <w:sz w:val="4"/>
                <w:szCs w:val="4"/>
                <w:color w:val="auto"/>
              </w:rPr>
            </w:pPr>
          </w:p>
        </w:tc>
        <w:tc>
          <w:tcPr>
            <w:tcW w:w="40" w:type="dxa"/>
            <w:vAlign w:val="bottom"/>
            <w:shd w:val="clear" w:color="auto" w:fill="DBDBDB"/>
          </w:tcPr>
          <w:p>
            <w:pPr>
              <w:spacing w:after="0"/>
              <w:rPr>
                <w:sz w:val="4"/>
                <w:szCs w:val="4"/>
                <w:color w:val="auto"/>
              </w:rPr>
            </w:pPr>
          </w:p>
        </w:tc>
        <w:tc>
          <w:tcPr>
            <w:tcW w:w="420" w:type="dxa"/>
            <w:vAlign w:val="bottom"/>
            <w:vMerge w:val="continue"/>
            <w:shd w:val="clear" w:color="auto" w:fill="DBDBDB"/>
          </w:tcPr>
          <w:p>
            <w:pPr>
              <w:spacing w:after="0"/>
              <w:rPr>
                <w:sz w:val="4"/>
                <w:szCs w:val="4"/>
                <w:color w:val="auto"/>
              </w:rPr>
            </w:pPr>
          </w:p>
        </w:tc>
        <w:tc>
          <w:tcPr>
            <w:tcW w:w="40" w:type="dxa"/>
            <w:vAlign w:val="bottom"/>
            <w:shd w:val="clear" w:color="auto" w:fill="DBDBDB"/>
          </w:tcPr>
          <w:p>
            <w:pPr>
              <w:spacing w:after="0"/>
              <w:rPr>
                <w:sz w:val="4"/>
                <w:szCs w:val="4"/>
                <w:color w:val="auto"/>
              </w:rPr>
            </w:pPr>
          </w:p>
        </w:tc>
        <w:tc>
          <w:tcPr>
            <w:tcW w:w="620" w:type="dxa"/>
            <w:vAlign w:val="bottom"/>
            <w:shd w:val="clear" w:color="auto" w:fill="DBDBDB"/>
          </w:tcPr>
          <w:p>
            <w:pPr>
              <w:spacing w:after="0"/>
              <w:rPr>
                <w:sz w:val="4"/>
                <w:szCs w:val="4"/>
                <w:color w:val="auto"/>
              </w:rPr>
            </w:pPr>
          </w:p>
        </w:tc>
        <w:tc>
          <w:tcPr>
            <w:tcW w:w="540" w:type="dxa"/>
            <w:vAlign w:val="bottom"/>
            <w:shd w:val="clear" w:color="auto" w:fill="DBDBDB"/>
          </w:tcPr>
          <w:p>
            <w:pPr>
              <w:spacing w:after="0"/>
              <w:rPr>
                <w:sz w:val="4"/>
                <w:szCs w:val="4"/>
                <w:color w:val="auto"/>
              </w:rPr>
            </w:pPr>
          </w:p>
        </w:tc>
        <w:tc>
          <w:tcPr>
            <w:tcW w:w="120" w:type="dxa"/>
            <w:vAlign w:val="bottom"/>
            <w:shd w:val="clear" w:color="auto" w:fill="DBDBDB"/>
          </w:tcPr>
          <w:p>
            <w:pPr>
              <w:spacing w:after="0"/>
              <w:rPr>
                <w:sz w:val="4"/>
                <w:szCs w:val="4"/>
                <w:color w:val="auto"/>
              </w:rPr>
            </w:pPr>
          </w:p>
        </w:tc>
        <w:tc>
          <w:tcPr>
            <w:tcW w:w="400" w:type="dxa"/>
            <w:vAlign w:val="bottom"/>
            <w:vMerge w:val="continue"/>
            <w:shd w:val="clear" w:color="auto" w:fill="DBDBDB"/>
          </w:tcPr>
          <w:p>
            <w:pPr>
              <w:spacing w:after="0"/>
              <w:rPr>
                <w:sz w:val="4"/>
                <w:szCs w:val="4"/>
                <w:color w:val="auto"/>
              </w:rPr>
            </w:pPr>
          </w:p>
        </w:tc>
        <w:tc>
          <w:tcPr>
            <w:tcW w:w="120" w:type="dxa"/>
            <w:vAlign w:val="bottom"/>
            <w:shd w:val="clear" w:color="auto" w:fill="DBDBDB"/>
          </w:tcPr>
          <w:p>
            <w:pPr>
              <w:spacing w:after="0"/>
              <w:rPr>
                <w:sz w:val="4"/>
                <w:szCs w:val="4"/>
                <w:color w:val="auto"/>
              </w:rPr>
            </w:pPr>
          </w:p>
        </w:tc>
        <w:tc>
          <w:tcPr>
            <w:tcW w:w="520" w:type="dxa"/>
            <w:vAlign w:val="bottom"/>
            <w:shd w:val="clear" w:color="auto" w:fill="DBDBDB"/>
          </w:tcPr>
          <w:p>
            <w:pPr>
              <w:spacing w:after="0"/>
              <w:rPr>
                <w:sz w:val="4"/>
                <w:szCs w:val="4"/>
                <w:color w:val="auto"/>
              </w:rPr>
            </w:pPr>
          </w:p>
        </w:tc>
        <w:tc>
          <w:tcPr>
            <w:tcW w:w="620" w:type="dxa"/>
            <w:vAlign w:val="bottom"/>
            <w:shd w:val="clear" w:color="auto" w:fill="DBDBDB"/>
          </w:tcPr>
          <w:p>
            <w:pPr>
              <w:spacing w:after="0"/>
              <w:rPr>
                <w:sz w:val="4"/>
                <w:szCs w:val="4"/>
                <w:color w:val="auto"/>
              </w:rPr>
            </w:pPr>
          </w:p>
        </w:tc>
        <w:tc>
          <w:tcPr>
            <w:tcW w:w="420" w:type="dxa"/>
            <w:vAlign w:val="bottom"/>
            <w:vMerge w:val="continue"/>
            <w:shd w:val="clear" w:color="auto" w:fill="DBDBDB"/>
          </w:tcPr>
          <w:p>
            <w:pPr>
              <w:spacing w:after="0"/>
              <w:rPr>
                <w:sz w:val="4"/>
                <w:szCs w:val="4"/>
                <w:color w:val="auto"/>
              </w:rPr>
            </w:pPr>
          </w:p>
        </w:tc>
        <w:tc>
          <w:tcPr>
            <w:tcW w:w="60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700" w:type="dxa"/>
            <w:vAlign w:val="bottom"/>
            <w:shd w:val="clear" w:color="auto" w:fill="DBDBDB"/>
          </w:tcPr>
          <w:p>
            <w:pPr>
              <w:spacing w:after="0"/>
              <w:rPr>
                <w:sz w:val="3"/>
                <w:szCs w:val="3"/>
                <w:color w:val="auto"/>
              </w:rPr>
            </w:pPr>
          </w:p>
        </w:tc>
        <w:tc>
          <w:tcPr>
            <w:tcW w:w="2660" w:type="dxa"/>
            <w:vAlign w:val="bottom"/>
            <w:shd w:val="clear" w:color="auto" w:fill="DBDBDB"/>
          </w:tcPr>
          <w:p>
            <w:pPr>
              <w:spacing w:after="0"/>
              <w:rPr>
                <w:sz w:val="3"/>
                <w:szCs w:val="3"/>
                <w:color w:val="auto"/>
              </w:rPr>
            </w:pPr>
          </w:p>
        </w:tc>
        <w:tc>
          <w:tcPr>
            <w:tcW w:w="1040" w:type="dxa"/>
            <w:vAlign w:val="bottom"/>
            <w:shd w:val="clear" w:color="auto" w:fill="DBDBDB"/>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60" w:type="dxa"/>
            <w:vAlign w:val="bottom"/>
            <w:shd w:val="clear" w:color="auto" w:fill="DBDBDB"/>
          </w:tcPr>
          <w:p>
            <w:pPr>
              <w:spacing w:after="0"/>
              <w:rPr>
                <w:sz w:val="3"/>
                <w:szCs w:val="3"/>
                <w:color w:val="auto"/>
              </w:rPr>
            </w:pPr>
          </w:p>
        </w:tc>
        <w:tc>
          <w:tcPr>
            <w:tcW w:w="400" w:type="dxa"/>
            <w:vAlign w:val="bottom"/>
            <w:shd w:val="clear" w:color="auto" w:fill="DBDBDB"/>
          </w:tcPr>
          <w:p>
            <w:pPr>
              <w:spacing w:after="0"/>
              <w:rPr>
                <w:sz w:val="3"/>
                <w:szCs w:val="3"/>
                <w:color w:val="auto"/>
              </w:rPr>
            </w:pPr>
          </w:p>
        </w:tc>
        <w:tc>
          <w:tcPr>
            <w:tcW w:w="60" w:type="dxa"/>
            <w:vAlign w:val="bottom"/>
            <w:shd w:val="clear" w:color="auto" w:fill="DBDBDB"/>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40" w:type="dxa"/>
            <w:vAlign w:val="bottom"/>
            <w:shd w:val="clear" w:color="auto" w:fill="DBDBDB"/>
          </w:tcPr>
          <w:p>
            <w:pPr>
              <w:spacing w:after="0"/>
              <w:rPr>
                <w:sz w:val="3"/>
                <w:szCs w:val="3"/>
                <w:color w:val="auto"/>
              </w:rPr>
            </w:pPr>
          </w:p>
        </w:tc>
        <w:tc>
          <w:tcPr>
            <w:tcW w:w="420" w:type="dxa"/>
            <w:vAlign w:val="bottom"/>
            <w:shd w:val="clear" w:color="auto" w:fill="DBDBDB"/>
          </w:tcPr>
          <w:p>
            <w:pPr>
              <w:spacing w:after="0"/>
              <w:rPr>
                <w:sz w:val="3"/>
                <w:szCs w:val="3"/>
                <w:color w:val="auto"/>
              </w:rPr>
            </w:pPr>
          </w:p>
        </w:tc>
        <w:tc>
          <w:tcPr>
            <w:tcW w:w="40" w:type="dxa"/>
            <w:vAlign w:val="bottom"/>
            <w:shd w:val="clear" w:color="auto" w:fill="DBDBDB"/>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54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40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420" w:type="dxa"/>
            <w:vAlign w:val="bottom"/>
            <w:shd w:val="clear" w:color="auto" w:fill="DBDBDB"/>
          </w:tcPr>
          <w:p>
            <w:pPr>
              <w:spacing w:after="0"/>
              <w:rPr>
                <w:sz w:val="3"/>
                <w:szCs w:val="3"/>
                <w:color w:val="auto"/>
              </w:rPr>
            </w:pPr>
          </w:p>
        </w:tc>
        <w:tc>
          <w:tcPr>
            <w:tcW w:w="600" w:type="dxa"/>
            <w:vAlign w:val="bottom"/>
            <w:shd w:val="clear" w:color="auto" w:fill="DBDBDB"/>
          </w:tcPr>
          <w:p>
            <w:pPr>
              <w:spacing w:after="0"/>
              <w:rPr>
                <w:sz w:val="3"/>
                <w:szCs w:val="3"/>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40" w:hanging="189"/>
        <w:spacing w:after="0"/>
        <w:tabs>
          <w:tab w:leader="none" w:pos="4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Performance-based restricted stock units are reflected at target grant levels.</w:t>
      </w:r>
    </w:p>
    <w:p>
      <w:pPr>
        <w:spacing w:after="0" w:line="16" w:lineRule="exact"/>
        <w:rPr>
          <w:rFonts w:ascii="Arial" w:cs="Arial" w:eastAsia="Arial" w:hAnsi="Arial"/>
          <w:sz w:val="13"/>
          <w:szCs w:val="13"/>
          <w:color w:val="auto"/>
        </w:rPr>
      </w:pPr>
    </w:p>
    <w:p>
      <w:pPr>
        <w:ind w:left="260" w:right="260" w:hanging="9"/>
        <w:spacing w:after="0" w:line="258" w:lineRule="auto"/>
        <w:tabs>
          <w:tab w:leader="none" w:pos="456" w:val="left"/>
        </w:tabs>
        <w:numPr>
          <w:ilvl w:val="0"/>
          <w:numId w:val="82"/>
        </w:numPr>
        <w:rPr>
          <w:rFonts w:ascii="Arial" w:cs="Arial" w:eastAsia="Arial" w:hAnsi="Arial"/>
          <w:sz w:val="13"/>
          <w:szCs w:val="13"/>
          <w:color w:val="auto"/>
        </w:rPr>
      </w:pPr>
      <w:r>
        <w:rPr>
          <w:rFonts w:ascii="Arial" w:cs="Arial" w:eastAsia="Arial" w:hAnsi="Arial"/>
          <w:sz w:val="13"/>
          <w:szCs w:val="13"/>
          <w:color w:val="auto"/>
        </w:rPr>
        <w:t>Burn rate is calculated by taking the sum of time-based restricted stock units and performance-based restricted stock units earned and vested over the weighted number of common stock outstanding.</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0071CE"/>
        </w:rPr>
        <w:t>New Plan Benefits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expect to make grants to our non-employee directors as described above under ‘‘Executive and Director Compensation-Compensation Discussion and Analysis-Director Compensation-Equity Awards" on or about June 4, 2026. We also expect to make certain future awards under the 2026 Plan to our executive officers and employees in connection with our 2026 annual equity granting cycle. An estimate of the amounts of these future annual equity awards, in the form of PSUs, which are expected to be granted on or about June 4, 2026, are set forth in the table below. Except for the aforementioned equity awards, the amounts of future awards under the 2026 Plan are not determinable and will be granted at the sole discretion of the Board or authorized committee, including grants to our NEOs, our current executive officers, our current directors who are not executive officers, and employees who are not executive officers, although we anticipate that most of our grants will be in the form of RSUs and PSUs and we will use most of the additional shares proposed to be authorized under the 2026 Plan to make grants in 2026 and beyond.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60" w:type="dxa"/>
            <w:vAlign w:val="bottom"/>
            <w:shd w:val="clear" w:color="auto" w:fill="003595"/>
          </w:tcPr>
          <w:p>
            <w:pPr>
              <w:spacing w:after="0"/>
              <w:rPr>
                <w:sz w:val="17"/>
                <w:szCs w:val="17"/>
                <w:color w:val="auto"/>
              </w:rPr>
            </w:pPr>
          </w:p>
        </w:tc>
        <w:tc>
          <w:tcPr>
            <w:tcW w:w="4700" w:type="dxa"/>
            <w:vAlign w:val="bottom"/>
            <w:shd w:val="clear" w:color="auto" w:fill="003595"/>
          </w:tcPr>
          <w:p>
            <w:pPr>
              <w:spacing w:after="0"/>
              <w:rPr>
                <w:sz w:val="17"/>
                <w:szCs w:val="17"/>
                <w:color w:val="auto"/>
              </w:rPr>
            </w:pPr>
          </w:p>
        </w:tc>
        <w:tc>
          <w:tcPr>
            <w:tcW w:w="2520" w:type="dxa"/>
            <w:vAlign w:val="bottom"/>
            <w:shd w:val="clear" w:color="auto" w:fill="003595"/>
          </w:tcPr>
          <w:p>
            <w:pPr>
              <w:spacing w:after="0"/>
              <w:rPr>
                <w:sz w:val="17"/>
                <w:szCs w:val="17"/>
                <w:color w:val="auto"/>
              </w:rPr>
            </w:pPr>
          </w:p>
        </w:tc>
        <w:tc>
          <w:tcPr>
            <w:tcW w:w="1440" w:type="dxa"/>
            <w:vAlign w:val="bottom"/>
            <w:gridSpan w:val="2"/>
            <w:shd w:val="clear" w:color="auto" w:fill="003595"/>
          </w:tcPr>
          <w:p>
            <w:pPr>
              <w:spacing w:after="0"/>
              <w:rPr>
                <w:sz w:val="20"/>
                <w:szCs w:val="20"/>
                <w:color w:val="auto"/>
              </w:rPr>
            </w:pPr>
            <w:r>
              <w:rPr>
                <w:rFonts w:ascii="Arial" w:cs="Arial" w:eastAsia="Arial" w:hAnsi="Arial"/>
                <w:sz w:val="16"/>
                <w:szCs w:val="16"/>
                <w:b w:val="1"/>
                <w:bCs w:val="1"/>
                <w:color w:val="FFFFFF"/>
                <w:shd w:val="clear" w:color="auto" w:fill="003595"/>
              </w:rPr>
              <w:t>Number of Shares</w:t>
            </w:r>
          </w:p>
        </w:tc>
        <w:tc>
          <w:tcPr>
            <w:tcW w:w="320" w:type="dxa"/>
            <w:vAlign w:val="bottom"/>
            <w:shd w:val="clear" w:color="auto" w:fill="003595"/>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260" w:type="dxa"/>
            <w:vAlign w:val="bottom"/>
            <w:vMerge w:val="restart"/>
            <w:shd w:val="clear" w:color="auto" w:fill="003595"/>
          </w:tcPr>
          <w:p>
            <w:pPr>
              <w:ind w:left="20"/>
              <w:spacing w:after="0"/>
              <w:rPr>
                <w:sz w:val="20"/>
                <w:szCs w:val="20"/>
                <w:color w:val="auto"/>
              </w:rPr>
            </w:pPr>
            <w:r>
              <w:rPr>
                <w:rFonts w:ascii="Arial" w:cs="Arial" w:eastAsia="Arial" w:hAnsi="Arial"/>
                <w:sz w:val="16"/>
                <w:szCs w:val="16"/>
                <w:b w:val="1"/>
                <w:bCs w:val="1"/>
                <w:color w:val="FFFFFF"/>
                <w:shd w:val="clear" w:color="auto" w:fill="003595"/>
              </w:rPr>
              <w:t>Name and Position, or Group</w:t>
            </w:r>
          </w:p>
        </w:tc>
        <w:tc>
          <w:tcPr>
            <w:tcW w:w="4700" w:type="dxa"/>
            <w:vAlign w:val="bottom"/>
            <w:shd w:val="clear" w:color="auto" w:fill="003595"/>
          </w:tcPr>
          <w:p>
            <w:pPr>
              <w:spacing w:after="0"/>
              <w:rPr>
                <w:sz w:val="12"/>
                <w:szCs w:val="12"/>
                <w:color w:val="auto"/>
              </w:rPr>
            </w:pPr>
          </w:p>
        </w:tc>
        <w:tc>
          <w:tcPr>
            <w:tcW w:w="2520" w:type="dxa"/>
            <w:vAlign w:val="bottom"/>
            <w:shd w:val="clear" w:color="auto" w:fill="003595"/>
          </w:tcPr>
          <w:p>
            <w:pPr>
              <w:spacing w:after="0"/>
              <w:rPr>
                <w:sz w:val="12"/>
                <w:szCs w:val="12"/>
                <w:color w:val="auto"/>
              </w:rPr>
            </w:pPr>
          </w:p>
        </w:tc>
        <w:tc>
          <w:tcPr>
            <w:tcW w:w="1320" w:type="dxa"/>
            <w:vAlign w:val="bottom"/>
            <w:vMerge w:val="restart"/>
            <w:shd w:val="clear" w:color="auto" w:fill="003595"/>
          </w:tcPr>
          <w:p>
            <w:pPr>
              <w:spacing w:after="0"/>
              <w:rPr>
                <w:sz w:val="20"/>
                <w:szCs w:val="20"/>
                <w:color w:val="auto"/>
              </w:rPr>
            </w:pPr>
            <w:r>
              <w:rPr>
                <w:rFonts w:ascii="Arial" w:cs="Arial" w:eastAsia="Arial" w:hAnsi="Arial"/>
                <w:sz w:val="16"/>
                <w:szCs w:val="16"/>
                <w:b w:val="1"/>
                <w:bCs w:val="1"/>
                <w:color w:val="FFFFFF"/>
                <w:shd w:val="clear" w:color="auto" w:fill="003595"/>
              </w:rPr>
              <w:t>Underlying PSUs</w:t>
            </w:r>
          </w:p>
        </w:tc>
        <w:tc>
          <w:tcPr>
            <w:tcW w:w="120" w:type="dxa"/>
            <w:vAlign w:val="bottom"/>
            <w:shd w:val="clear" w:color="auto" w:fill="003595"/>
          </w:tcPr>
          <w:p>
            <w:pPr>
              <w:jc w:val="right"/>
              <w:spacing w:after="0"/>
              <w:rPr>
                <w:sz w:val="20"/>
                <w:szCs w:val="20"/>
                <w:color w:val="auto"/>
              </w:rPr>
            </w:pPr>
            <w:r>
              <w:rPr>
                <w:rFonts w:ascii="Arial" w:cs="Arial" w:eastAsia="Arial" w:hAnsi="Arial"/>
                <w:sz w:val="11"/>
                <w:szCs w:val="11"/>
                <w:b w:val="1"/>
                <w:bCs w:val="1"/>
                <w:color w:val="FFFFFF"/>
                <w:w w:val="74"/>
                <w:shd w:val="clear" w:color="auto" w:fill="003595"/>
              </w:rPr>
              <w:t>(1)</w:t>
            </w:r>
          </w:p>
        </w:tc>
        <w:tc>
          <w:tcPr>
            <w:tcW w:w="320" w:type="dxa"/>
            <w:vAlign w:val="bottom"/>
            <w:vMerge w:val="restart"/>
            <w:shd w:val="clear" w:color="auto" w:fill="003595"/>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003595"/>
            </w:tcBorders>
            <w:vMerge w:val="continue"/>
            <w:shd w:val="clear" w:color="auto" w:fill="003595"/>
          </w:tcPr>
          <w:p>
            <w:pPr>
              <w:spacing w:after="0"/>
              <w:rPr>
                <w:sz w:val="6"/>
                <w:szCs w:val="6"/>
                <w:color w:val="auto"/>
              </w:rPr>
            </w:pPr>
          </w:p>
        </w:tc>
        <w:tc>
          <w:tcPr>
            <w:tcW w:w="4700" w:type="dxa"/>
            <w:vAlign w:val="bottom"/>
            <w:tcBorders>
              <w:bottom w:val="single" w:sz="8" w:color="003595"/>
            </w:tcBorders>
            <w:shd w:val="clear" w:color="auto" w:fill="003595"/>
          </w:tcPr>
          <w:p>
            <w:pPr>
              <w:spacing w:after="0"/>
              <w:rPr>
                <w:sz w:val="6"/>
                <w:szCs w:val="6"/>
                <w:color w:val="auto"/>
              </w:rPr>
            </w:pPr>
          </w:p>
        </w:tc>
        <w:tc>
          <w:tcPr>
            <w:tcW w:w="2520" w:type="dxa"/>
            <w:vAlign w:val="bottom"/>
            <w:tcBorders>
              <w:bottom w:val="single" w:sz="8" w:color="003595"/>
            </w:tcBorders>
            <w:shd w:val="clear" w:color="auto" w:fill="003595"/>
          </w:tcPr>
          <w:p>
            <w:pPr>
              <w:spacing w:after="0"/>
              <w:rPr>
                <w:sz w:val="6"/>
                <w:szCs w:val="6"/>
                <w:color w:val="auto"/>
              </w:rPr>
            </w:pPr>
          </w:p>
        </w:tc>
        <w:tc>
          <w:tcPr>
            <w:tcW w:w="1320" w:type="dxa"/>
            <w:vAlign w:val="bottom"/>
            <w:tcBorders>
              <w:bottom w:val="single" w:sz="8" w:color="003595"/>
            </w:tcBorders>
            <w:vMerge w:val="continue"/>
            <w:shd w:val="clear" w:color="auto" w:fill="003595"/>
          </w:tcPr>
          <w:p>
            <w:pPr>
              <w:spacing w:after="0"/>
              <w:rPr>
                <w:sz w:val="6"/>
                <w:szCs w:val="6"/>
                <w:color w:val="auto"/>
              </w:rPr>
            </w:pPr>
          </w:p>
        </w:tc>
        <w:tc>
          <w:tcPr>
            <w:tcW w:w="120" w:type="dxa"/>
            <w:vAlign w:val="bottom"/>
            <w:tcBorders>
              <w:bottom w:val="single" w:sz="8" w:color="003595"/>
            </w:tcBorders>
            <w:shd w:val="clear" w:color="auto" w:fill="003595"/>
          </w:tcPr>
          <w:p>
            <w:pPr>
              <w:spacing w:after="0"/>
              <w:rPr>
                <w:sz w:val="6"/>
                <w:szCs w:val="6"/>
                <w:color w:val="auto"/>
              </w:rPr>
            </w:pPr>
          </w:p>
        </w:tc>
        <w:tc>
          <w:tcPr>
            <w:tcW w:w="320" w:type="dxa"/>
            <w:vAlign w:val="bottom"/>
            <w:tcBorders>
              <w:bottom w:val="single" w:sz="8" w:color="003595"/>
            </w:tcBorders>
            <w:vMerge w:val="continue"/>
            <w:shd w:val="clear" w:color="auto" w:fill="003595"/>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260" w:type="dxa"/>
            <w:vAlign w:val="bottom"/>
            <w:tcBorders>
              <w:bottom w:val="single" w:sz="8" w:color="80B8E6"/>
            </w:tcBorders>
            <w:shd w:val="clear" w:color="auto" w:fill="80B8E6"/>
          </w:tcPr>
          <w:p>
            <w:pPr>
              <w:ind w:left="20"/>
              <w:spacing w:after="0"/>
              <w:rPr>
                <w:sz w:val="20"/>
                <w:szCs w:val="20"/>
                <w:color w:val="auto"/>
              </w:rPr>
            </w:pPr>
            <w:r>
              <w:rPr>
                <w:rFonts w:ascii="Arial" w:cs="Arial" w:eastAsia="Arial" w:hAnsi="Arial"/>
                <w:sz w:val="16"/>
                <w:szCs w:val="16"/>
                <w:color w:val="003595"/>
                <w:shd w:val="clear" w:color="auto" w:fill="80B8E6"/>
              </w:rPr>
              <w:t>Named Executive Officers</w:t>
            </w:r>
          </w:p>
        </w:tc>
        <w:tc>
          <w:tcPr>
            <w:tcW w:w="4700" w:type="dxa"/>
            <w:vAlign w:val="bottom"/>
            <w:tcBorders>
              <w:bottom w:val="single" w:sz="8" w:color="80B8E6"/>
            </w:tcBorders>
            <w:shd w:val="clear" w:color="auto" w:fill="80B8E6"/>
          </w:tcPr>
          <w:p>
            <w:pPr>
              <w:spacing w:after="0"/>
              <w:rPr>
                <w:sz w:val="21"/>
                <w:szCs w:val="21"/>
                <w:color w:val="auto"/>
              </w:rPr>
            </w:pPr>
          </w:p>
        </w:tc>
        <w:tc>
          <w:tcPr>
            <w:tcW w:w="2520" w:type="dxa"/>
            <w:vAlign w:val="bottom"/>
            <w:tcBorders>
              <w:bottom w:val="single" w:sz="8" w:color="80B8E6"/>
            </w:tcBorders>
            <w:shd w:val="clear" w:color="auto" w:fill="80B8E6"/>
          </w:tcPr>
          <w:p>
            <w:pPr>
              <w:spacing w:after="0"/>
              <w:rPr>
                <w:sz w:val="21"/>
                <w:szCs w:val="21"/>
                <w:color w:val="auto"/>
              </w:rPr>
            </w:pPr>
          </w:p>
        </w:tc>
        <w:tc>
          <w:tcPr>
            <w:tcW w:w="1320" w:type="dxa"/>
            <w:vAlign w:val="bottom"/>
            <w:tcBorders>
              <w:bottom w:val="single" w:sz="8" w:color="80B8E6"/>
            </w:tcBorders>
            <w:shd w:val="clear" w:color="auto" w:fill="80B8E6"/>
          </w:tcPr>
          <w:p>
            <w:pPr>
              <w:spacing w:after="0"/>
              <w:rPr>
                <w:sz w:val="21"/>
                <w:szCs w:val="21"/>
                <w:color w:val="auto"/>
              </w:rPr>
            </w:pPr>
          </w:p>
        </w:tc>
        <w:tc>
          <w:tcPr>
            <w:tcW w:w="120" w:type="dxa"/>
            <w:vAlign w:val="bottom"/>
            <w:tcBorders>
              <w:bottom w:val="single" w:sz="8" w:color="80B8E6"/>
            </w:tcBorders>
            <w:shd w:val="clear" w:color="auto" w:fill="80B8E6"/>
          </w:tcPr>
          <w:p>
            <w:pPr>
              <w:spacing w:after="0"/>
              <w:rPr>
                <w:sz w:val="21"/>
                <w:szCs w:val="21"/>
                <w:color w:val="auto"/>
              </w:rPr>
            </w:pPr>
          </w:p>
        </w:tc>
        <w:tc>
          <w:tcPr>
            <w:tcW w:w="320" w:type="dxa"/>
            <w:vAlign w:val="bottom"/>
            <w:tcBorders>
              <w:bottom w:val="single" w:sz="8" w:color="80B8E6"/>
            </w:tcBorders>
            <w:shd w:val="clear" w:color="auto" w:fill="80B8E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tcBorders>
              <w:top w:val="single" w:sz="8" w:color="003595"/>
              <w:bottom w:val="single" w:sz="8" w:color="003595"/>
            </w:tcBorders>
            <w:gridSpan w:val="2"/>
          </w:tcPr>
          <w:p>
            <w:pPr>
              <w:ind w:left="20"/>
              <w:spacing w:after="0"/>
              <w:rPr>
                <w:sz w:val="20"/>
                <w:szCs w:val="20"/>
                <w:color w:val="auto"/>
              </w:rPr>
            </w:pPr>
            <w:r>
              <w:rPr>
                <w:rFonts w:ascii="Arial" w:cs="Arial" w:eastAsia="Arial" w:hAnsi="Arial"/>
                <w:sz w:val="16"/>
                <w:szCs w:val="16"/>
                <w:color w:val="003595"/>
              </w:rPr>
              <w:t>Samraat S. Raha, President and Chief Executive Officer</w:t>
            </w:r>
          </w:p>
        </w:tc>
        <w:tc>
          <w:tcPr>
            <w:tcW w:w="3840" w:type="dxa"/>
            <w:vAlign w:val="bottom"/>
            <w:tcBorders>
              <w:top w:val="single" w:sz="8" w:color="003595"/>
              <w:bottom w:val="single" w:sz="8" w:color="003595"/>
            </w:tcBorders>
            <w:gridSpan w:val="2"/>
          </w:tcPr>
          <w:p>
            <w:pPr>
              <w:jc w:val="center"/>
              <w:ind w:left="2539"/>
              <w:spacing w:after="0"/>
              <w:rPr>
                <w:sz w:val="20"/>
                <w:szCs w:val="20"/>
                <w:color w:val="auto"/>
              </w:rPr>
            </w:pPr>
            <w:r>
              <w:rPr>
                <w:rFonts w:ascii="Arial" w:cs="Arial" w:eastAsia="Arial" w:hAnsi="Arial"/>
                <w:sz w:val="16"/>
                <w:szCs w:val="16"/>
                <w:color w:val="003595"/>
              </w:rPr>
              <w:t>618,556</w:t>
            </w:r>
          </w:p>
        </w:tc>
        <w:tc>
          <w:tcPr>
            <w:tcW w:w="120" w:type="dxa"/>
            <w:vAlign w:val="bottom"/>
            <w:tcBorders>
              <w:top w:val="single" w:sz="8" w:color="003595"/>
              <w:bottom w:val="single" w:sz="8" w:color="003595"/>
            </w:tcBorders>
          </w:tcPr>
          <w:p>
            <w:pPr>
              <w:spacing w:after="0"/>
              <w:rPr>
                <w:sz w:val="20"/>
                <w:szCs w:val="20"/>
                <w:color w:val="auto"/>
              </w:rPr>
            </w:pPr>
          </w:p>
        </w:tc>
        <w:tc>
          <w:tcPr>
            <w:tcW w:w="320" w:type="dxa"/>
            <w:vAlign w:val="bottom"/>
            <w:tcBorders>
              <w:top w:val="single" w:sz="8" w:color="003595"/>
              <w:bottom w:val="single" w:sz="8" w:color="003595"/>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60" w:type="dxa"/>
            <w:vAlign w:val="bottom"/>
            <w:tcBorders>
              <w:bottom w:val="single" w:sz="8" w:color="003595"/>
            </w:tcBorders>
            <w:gridSpan w:val="2"/>
          </w:tcPr>
          <w:p>
            <w:pPr>
              <w:ind w:left="20"/>
              <w:spacing w:after="0"/>
              <w:rPr>
                <w:sz w:val="20"/>
                <w:szCs w:val="20"/>
                <w:color w:val="auto"/>
              </w:rPr>
            </w:pPr>
            <w:r>
              <w:rPr>
                <w:rFonts w:ascii="Arial" w:cs="Arial" w:eastAsia="Arial" w:hAnsi="Arial"/>
                <w:sz w:val="16"/>
                <w:szCs w:val="16"/>
                <w:color w:val="003595"/>
              </w:rPr>
              <w:t>Benjamin R. Wheeler, Chief Financial Officer</w:t>
            </w:r>
          </w:p>
        </w:tc>
        <w:tc>
          <w:tcPr>
            <w:tcW w:w="3840" w:type="dxa"/>
            <w:vAlign w:val="bottom"/>
            <w:tcBorders>
              <w:bottom w:val="single" w:sz="8" w:color="003595"/>
            </w:tcBorders>
            <w:gridSpan w:val="2"/>
          </w:tcPr>
          <w:p>
            <w:pPr>
              <w:jc w:val="center"/>
              <w:ind w:left="2539"/>
              <w:spacing w:after="0"/>
              <w:rPr>
                <w:sz w:val="20"/>
                <w:szCs w:val="20"/>
                <w:color w:val="auto"/>
              </w:rPr>
            </w:pPr>
            <w:r>
              <w:rPr>
                <w:rFonts w:ascii="Arial" w:cs="Arial" w:eastAsia="Arial" w:hAnsi="Arial"/>
                <w:sz w:val="16"/>
                <w:szCs w:val="16"/>
                <w:color w:val="003595"/>
              </w:rPr>
              <w:t>206,185</w:t>
            </w:r>
          </w:p>
        </w:tc>
        <w:tc>
          <w:tcPr>
            <w:tcW w:w="120" w:type="dxa"/>
            <w:vAlign w:val="bottom"/>
            <w:tcBorders>
              <w:bottom w:val="single" w:sz="8" w:color="003595"/>
            </w:tcBorders>
          </w:tcPr>
          <w:p>
            <w:pPr>
              <w:spacing w:after="0"/>
              <w:rPr>
                <w:sz w:val="20"/>
                <w:szCs w:val="20"/>
                <w:color w:val="auto"/>
              </w:rPr>
            </w:pPr>
          </w:p>
        </w:tc>
        <w:tc>
          <w:tcPr>
            <w:tcW w:w="320" w:type="dxa"/>
            <w:vAlign w:val="bottom"/>
            <w:tcBorders>
              <w:bottom w:val="single" w:sz="8" w:color="003595"/>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60" w:type="dxa"/>
            <w:vAlign w:val="bottom"/>
            <w:tcBorders>
              <w:bottom w:val="single" w:sz="8" w:color="003595"/>
            </w:tcBorders>
            <w:gridSpan w:val="2"/>
          </w:tcPr>
          <w:p>
            <w:pPr>
              <w:ind w:left="20"/>
              <w:spacing w:after="0"/>
              <w:rPr>
                <w:sz w:val="20"/>
                <w:szCs w:val="20"/>
                <w:color w:val="auto"/>
              </w:rPr>
            </w:pPr>
            <w:r>
              <w:rPr>
                <w:rFonts w:ascii="Arial" w:cs="Arial" w:eastAsia="Arial" w:hAnsi="Arial"/>
                <w:sz w:val="16"/>
                <w:szCs w:val="16"/>
                <w:color w:val="003595"/>
              </w:rPr>
              <w:t>Mark S. Verratti, Chief Operating Officer</w:t>
            </w:r>
          </w:p>
        </w:tc>
        <w:tc>
          <w:tcPr>
            <w:tcW w:w="3840" w:type="dxa"/>
            <w:vAlign w:val="bottom"/>
            <w:tcBorders>
              <w:bottom w:val="single" w:sz="8" w:color="003595"/>
            </w:tcBorders>
            <w:gridSpan w:val="2"/>
          </w:tcPr>
          <w:p>
            <w:pPr>
              <w:jc w:val="center"/>
              <w:ind w:left="2539"/>
              <w:spacing w:after="0"/>
              <w:rPr>
                <w:sz w:val="20"/>
                <w:szCs w:val="20"/>
                <w:color w:val="auto"/>
              </w:rPr>
            </w:pPr>
            <w:r>
              <w:rPr>
                <w:rFonts w:ascii="Arial" w:cs="Arial" w:eastAsia="Arial" w:hAnsi="Arial"/>
                <w:sz w:val="16"/>
                <w:szCs w:val="16"/>
                <w:color w:val="003595"/>
              </w:rPr>
              <w:t>247,422</w:t>
            </w:r>
          </w:p>
        </w:tc>
        <w:tc>
          <w:tcPr>
            <w:tcW w:w="120" w:type="dxa"/>
            <w:vAlign w:val="bottom"/>
            <w:tcBorders>
              <w:bottom w:val="single" w:sz="8" w:color="003595"/>
            </w:tcBorders>
          </w:tcPr>
          <w:p>
            <w:pPr>
              <w:spacing w:after="0"/>
              <w:rPr>
                <w:sz w:val="20"/>
                <w:szCs w:val="20"/>
                <w:color w:val="auto"/>
              </w:rPr>
            </w:pPr>
          </w:p>
        </w:tc>
        <w:tc>
          <w:tcPr>
            <w:tcW w:w="320" w:type="dxa"/>
            <w:vAlign w:val="bottom"/>
            <w:tcBorders>
              <w:bottom w:val="single" w:sz="8" w:color="003595"/>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60" w:type="dxa"/>
            <w:vAlign w:val="bottom"/>
            <w:tcBorders>
              <w:bottom w:val="single" w:sz="8" w:color="003595"/>
            </w:tcBorders>
            <w:gridSpan w:val="2"/>
          </w:tcPr>
          <w:p>
            <w:pPr>
              <w:ind w:left="20"/>
              <w:spacing w:after="0"/>
              <w:rPr>
                <w:sz w:val="20"/>
                <w:szCs w:val="20"/>
                <w:color w:val="auto"/>
              </w:rPr>
            </w:pPr>
            <w:r>
              <w:rPr>
                <w:rFonts w:ascii="Arial" w:cs="Arial" w:eastAsia="Arial" w:hAnsi="Arial"/>
                <w:sz w:val="16"/>
                <w:szCs w:val="16"/>
                <w:color w:val="003595"/>
              </w:rPr>
              <w:t>Brian J. Donnelly, Chief Commercial Officer</w:t>
            </w:r>
          </w:p>
        </w:tc>
        <w:tc>
          <w:tcPr>
            <w:tcW w:w="3840" w:type="dxa"/>
            <w:vAlign w:val="bottom"/>
            <w:tcBorders>
              <w:bottom w:val="single" w:sz="8" w:color="003595"/>
            </w:tcBorders>
            <w:gridSpan w:val="2"/>
          </w:tcPr>
          <w:p>
            <w:pPr>
              <w:jc w:val="center"/>
              <w:ind w:left="2539"/>
              <w:spacing w:after="0"/>
              <w:rPr>
                <w:sz w:val="20"/>
                <w:szCs w:val="20"/>
                <w:color w:val="auto"/>
              </w:rPr>
            </w:pPr>
            <w:r>
              <w:rPr>
                <w:rFonts w:ascii="Arial" w:cs="Arial" w:eastAsia="Arial" w:hAnsi="Arial"/>
                <w:sz w:val="16"/>
                <w:szCs w:val="16"/>
                <w:color w:val="003595"/>
              </w:rPr>
              <w:t>226,804</w:t>
            </w:r>
          </w:p>
        </w:tc>
        <w:tc>
          <w:tcPr>
            <w:tcW w:w="120" w:type="dxa"/>
            <w:vAlign w:val="bottom"/>
            <w:tcBorders>
              <w:bottom w:val="single" w:sz="8" w:color="003595"/>
            </w:tcBorders>
          </w:tcPr>
          <w:p>
            <w:pPr>
              <w:spacing w:after="0"/>
              <w:rPr>
                <w:sz w:val="20"/>
                <w:szCs w:val="20"/>
                <w:color w:val="auto"/>
              </w:rPr>
            </w:pPr>
          </w:p>
        </w:tc>
        <w:tc>
          <w:tcPr>
            <w:tcW w:w="320" w:type="dxa"/>
            <w:vAlign w:val="bottom"/>
            <w:tcBorders>
              <w:bottom w:val="single" w:sz="8" w:color="003595"/>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60" w:type="dxa"/>
            <w:vAlign w:val="bottom"/>
            <w:tcBorders>
              <w:bottom w:val="single" w:sz="8" w:color="003595"/>
            </w:tcBorders>
            <w:gridSpan w:val="2"/>
          </w:tcPr>
          <w:p>
            <w:pPr>
              <w:ind w:left="20"/>
              <w:spacing w:after="0"/>
              <w:rPr>
                <w:sz w:val="20"/>
                <w:szCs w:val="20"/>
                <w:color w:val="auto"/>
              </w:rPr>
            </w:pPr>
            <w:r>
              <w:rPr>
                <w:rFonts w:ascii="Arial" w:cs="Arial" w:eastAsia="Arial" w:hAnsi="Arial"/>
                <w:sz w:val="16"/>
                <w:szCs w:val="16"/>
                <w:color w:val="003595"/>
              </w:rPr>
              <w:t>Dale Muzzey, Ph.D., Chief Scientific Officer</w:t>
            </w:r>
          </w:p>
        </w:tc>
        <w:tc>
          <w:tcPr>
            <w:tcW w:w="3840" w:type="dxa"/>
            <w:vAlign w:val="bottom"/>
            <w:tcBorders>
              <w:bottom w:val="single" w:sz="8" w:color="003595"/>
            </w:tcBorders>
            <w:gridSpan w:val="2"/>
          </w:tcPr>
          <w:p>
            <w:pPr>
              <w:jc w:val="center"/>
              <w:ind w:left="2539"/>
              <w:spacing w:after="0"/>
              <w:rPr>
                <w:sz w:val="20"/>
                <w:szCs w:val="20"/>
                <w:color w:val="auto"/>
              </w:rPr>
            </w:pPr>
            <w:r>
              <w:rPr>
                <w:rFonts w:ascii="Arial" w:cs="Arial" w:eastAsia="Arial" w:hAnsi="Arial"/>
                <w:sz w:val="16"/>
                <w:szCs w:val="16"/>
                <w:color w:val="003595"/>
              </w:rPr>
              <w:t>173,195</w:t>
            </w:r>
          </w:p>
        </w:tc>
        <w:tc>
          <w:tcPr>
            <w:tcW w:w="120" w:type="dxa"/>
            <w:vAlign w:val="bottom"/>
            <w:tcBorders>
              <w:bottom w:val="single" w:sz="8" w:color="003595"/>
            </w:tcBorders>
          </w:tcPr>
          <w:p>
            <w:pPr>
              <w:spacing w:after="0"/>
              <w:rPr>
                <w:sz w:val="20"/>
                <w:szCs w:val="20"/>
                <w:color w:val="auto"/>
              </w:rPr>
            </w:pPr>
          </w:p>
        </w:tc>
        <w:tc>
          <w:tcPr>
            <w:tcW w:w="320" w:type="dxa"/>
            <w:vAlign w:val="bottom"/>
            <w:tcBorders>
              <w:bottom w:val="single" w:sz="8" w:color="003595"/>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60" w:type="dxa"/>
            <w:vAlign w:val="bottom"/>
            <w:tcBorders>
              <w:bottom w:val="single" w:sz="8" w:color="003595"/>
            </w:tcBorders>
            <w:gridSpan w:val="2"/>
          </w:tcPr>
          <w:p>
            <w:pPr>
              <w:ind w:left="20"/>
              <w:spacing w:after="0"/>
              <w:rPr>
                <w:sz w:val="20"/>
                <w:szCs w:val="20"/>
                <w:color w:val="auto"/>
              </w:rPr>
            </w:pPr>
            <w:r>
              <w:rPr>
                <w:rFonts w:ascii="Arial" w:cs="Arial" w:eastAsia="Arial" w:hAnsi="Arial"/>
                <w:sz w:val="16"/>
                <w:szCs w:val="16"/>
                <w:color w:val="003595"/>
              </w:rPr>
              <w:t>Paul J. Diaz, Former President and Chief Executive Officer</w:t>
            </w:r>
            <w:r>
              <w:rPr>
                <w:rFonts w:ascii="Arial" w:cs="Arial" w:eastAsia="Arial" w:hAnsi="Arial"/>
                <w:sz w:val="21"/>
                <w:szCs w:val="21"/>
                <w:color w:val="003595"/>
                <w:vertAlign w:val="superscript"/>
              </w:rPr>
              <w:t>(2)</w:t>
            </w:r>
          </w:p>
        </w:tc>
        <w:tc>
          <w:tcPr>
            <w:tcW w:w="2520" w:type="dxa"/>
            <w:vAlign w:val="bottom"/>
            <w:tcBorders>
              <w:bottom w:val="single" w:sz="8" w:color="003595"/>
            </w:tcBorders>
          </w:tcPr>
          <w:p>
            <w:pPr>
              <w:spacing w:after="0"/>
              <w:rPr>
                <w:sz w:val="21"/>
                <w:szCs w:val="21"/>
                <w:color w:val="auto"/>
              </w:rPr>
            </w:pPr>
          </w:p>
        </w:tc>
        <w:tc>
          <w:tcPr>
            <w:tcW w:w="1760" w:type="dxa"/>
            <w:vAlign w:val="bottom"/>
            <w:tcBorders>
              <w:bottom w:val="single" w:sz="8" w:color="003595"/>
            </w:tcBorders>
            <w:gridSpan w:val="3"/>
          </w:tcPr>
          <w:p>
            <w:pPr>
              <w:jc w:val="center"/>
              <w:ind w:right="360"/>
              <w:spacing w:after="0"/>
              <w:rPr>
                <w:sz w:val="20"/>
                <w:szCs w:val="20"/>
                <w:color w:val="auto"/>
              </w:rPr>
            </w:pPr>
            <w:r>
              <w:rPr>
                <w:rFonts w:ascii="Arial" w:cs="Arial" w:eastAsia="Arial" w:hAnsi="Arial"/>
                <w:sz w:val="16"/>
                <w:szCs w:val="16"/>
                <w:color w:val="003595"/>
                <w:w w:val="99"/>
              </w:rPr>
              <w:t>—</w:t>
            </w:r>
          </w:p>
        </w:tc>
        <w:tc>
          <w:tcPr>
            <w:tcW w:w="0" w:type="dxa"/>
            <w:vAlign w:val="bottom"/>
          </w:tcPr>
          <w:p>
            <w:pPr>
              <w:spacing w:after="0"/>
              <w:rPr>
                <w:sz w:val="1"/>
                <w:szCs w:val="1"/>
                <w:color w:val="auto"/>
              </w:rPr>
            </w:pPr>
          </w:p>
        </w:tc>
      </w:tr>
      <w:tr>
        <w:trPr>
          <w:trHeight w:val="236"/>
        </w:trPr>
        <w:tc>
          <w:tcPr>
            <w:tcW w:w="6960" w:type="dxa"/>
            <w:vAlign w:val="bottom"/>
            <w:tcBorders>
              <w:bottom w:val="single" w:sz="8" w:color="003595"/>
            </w:tcBorders>
            <w:gridSpan w:val="2"/>
          </w:tcPr>
          <w:p>
            <w:pPr>
              <w:ind w:left="20"/>
              <w:spacing w:after="0" w:line="237" w:lineRule="exact"/>
              <w:rPr>
                <w:sz w:val="20"/>
                <w:szCs w:val="20"/>
                <w:color w:val="auto"/>
              </w:rPr>
            </w:pPr>
            <w:r>
              <w:rPr>
                <w:rFonts w:ascii="Arial" w:cs="Arial" w:eastAsia="Arial" w:hAnsi="Arial"/>
                <w:sz w:val="16"/>
                <w:szCs w:val="16"/>
                <w:color w:val="003595"/>
              </w:rPr>
              <w:t>Scott J. Leffler, Former Chief Financial Officer</w:t>
            </w:r>
            <w:r>
              <w:rPr>
                <w:rFonts w:ascii="Arial" w:cs="Arial" w:eastAsia="Arial" w:hAnsi="Arial"/>
                <w:sz w:val="21"/>
                <w:szCs w:val="21"/>
                <w:color w:val="003595"/>
                <w:vertAlign w:val="superscript"/>
              </w:rPr>
              <w:t>(3)</w:t>
            </w:r>
          </w:p>
        </w:tc>
        <w:tc>
          <w:tcPr>
            <w:tcW w:w="2520" w:type="dxa"/>
            <w:vAlign w:val="bottom"/>
            <w:tcBorders>
              <w:bottom w:val="single" w:sz="8" w:color="003595"/>
            </w:tcBorders>
          </w:tcPr>
          <w:p>
            <w:pPr>
              <w:spacing w:after="0"/>
              <w:rPr>
                <w:sz w:val="20"/>
                <w:szCs w:val="20"/>
                <w:color w:val="auto"/>
              </w:rPr>
            </w:pPr>
          </w:p>
        </w:tc>
        <w:tc>
          <w:tcPr>
            <w:tcW w:w="1760" w:type="dxa"/>
            <w:vAlign w:val="bottom"/>
            <w:tcBorders>
              <w:bottom w:val="single" w:sz="8" w:color="003595"/>
            </w:tcBorders>
            <w:gridSpan w:val="3"/>
          </w:tcPr>
          <w:p>
            <w:pPr>
              <w:jc w:val="center"/>
              <w:ind w:right="360"/>
              <w:spacing w:after="0"/>
              <w:rPr>
                <w:sz w:val="20"/>
                <w:szCs w:val="20"/>
                <w:color w:val="auto"/>
              </w:rPr>
            </w:pPr>
            <w:r>
              <w:rPr>
                <w:rFonts w:ascii="Arial" w:cs="Arial" w:eastAsia="Arial" w:hAnsi="Arial"/>
                <w:sz w:val="16"/>
                <w:szCs w:val="16"/>
                <w:color w:val="003595"/>
                <w:w w:val="99"/>
              </w:rPr>
              <w:t>—</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003595"/>
            </w:tcBorders>
            <w:gridSpan w:val="2"/>
          </w:tcPr>
          <w:p>
            <w:pPr>
              <w:ind w:left="20"/>
              <w:spacing w:after="0" w:line="237" w:lineRule="exact"/>
              <w:rPr>
                <w:sz w:val="20"/>
                <w:szCs w:val="20"/>
                <w:color w:val="auto"/>
              </w:rPr>
            </w:pPr>
            <w:r>
              <w:rPr>
                <w:rFonts w:ascii="Arial" w:cs="Arial" w:eastAsia="Arial" w:hAnsi="Arial"/>
                <w:sz w:val="16"/>
                <w:szCs w:val="16"/>
                <w:color w:val="003595"/>
              </w:rPr>
              <w:t>Margaret Ancona, Former EVP, Strategy and Transformation</w:t>
            </w:r>
            <w:r>
              <w:rPr>
                <w:rFonts w:ascii="Arial" w:cs="Arial" w:eastAsia="Arial" w:hAnsi="Arial"/>
                <w:sz w:val="21"/>
                <w:szCs w:val="21"/>
                <w:color w:val="003595"/>
                <w:vertAlign w:val="superscript"/>
              </w:rPr>
              <w:t>(4)</w:t>
            </w:r>
          </w:p>
        </w:tc>
        <w:tc>
          <w:tcPr>
            <w:tcW w:w="2520" w:type="dxa"/>
            <w:vAlign w:val="bottom"/>
            <w:tcBorders>
              <w:bottom w:val="single" w:sz="8" w:color="003595"/>
            </w:tcBorders>
          </w:tcPr>
          <w:p>
            <w:pPr>
              <w:spacing w:after="0"/>
              <w:rPr>
                <w:sz w:val="20"/>
                <w:szCs w:val="20"/>
                <w:color w:val="auto"/>
              </w:rPr>
            </w:pPr>
          </w:p>
        </w:tc>
        <w:tc>
          <w:tcPr>
            <w:tcW w:w="1760" w:type="dxa"/>
            <w:vAlign w:val="bottom"/>
            <w:tcBorders>
              <w:bottom w:val="single" w:sz="8" w:color="003595"/>
            </w:tcBorders>
            <w:gridSpan w:val="3"/>
          </w:tcPr>
          <w:p>
            <w:pPr>
              <w:jc w:val="center"/>
              <w:ind w:right="360"/>
              <w:spacing w:after="0"/>
              <w:rPr>
                <w:sz w:val="20"/>
                <w:szCs w:val="20"/>
                <w:color w:val="auto"/>
              </w:rPr>
            </w:pPr>
            <w:r>
              <w:rPr>
                <w:rFonts w:ascii="Arial" w:cs="Arial" w:eastAsia="Arial" w:hAnsi="Arial"/>
                <w:sz w:val="16"/>
                <w:szCs w:val="16"/>
                <w:color w:val="003595"/>
                <w:w w:val="99"/>
              </w:rPr>
              <w:t>—</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003595"/>
            </w:tcBorders>
            <w:gridSpan w:val="2"/>
          </w:tcPr>
          <w:p>
            <w:pPr>
              <w:ind w:left="20"/>
              <w:spacing w:after="0"/>
              <w:rPr>
                <w:sz w:val="20"/>
                <w:szCs w:val="20"/>
                <w:color w:val="auto"/>
              </w:rPr>
            </w:pPr>
            <w:r>
              <w:rPr>
                <w:rFonts w:ascii="Arial" w:cs="Arial" w:eastAsia="Arial" w:hAnsi="Arial"/>
                <w:sz w:val="16"/>
                <w:szCs w:val="16"/>
                <w:color w:val="003595"/>
              </w:rPr>
              <w:t>All current executive officers as a group</w:t>
            </w:r>
          </w:p>
        </w:tc>
        <w:tc>
          <w:tcPr>
            <w:tcW w:w="3840" w:type="dxa"/>
            <w:vAlign w:val="bottom"/>
            <w:tcBorders>
              <w:bottom w:val="single" w:sz="8" w:color="003595"/>
            </w:tcBorders>
            <w:gridSpan w:val="2"/>
          </w:tcPr>
          <w:p>
            <w:pPr>
              <w:jc w:val="center"/>
              <w:ind w:left="2519"/>
              <w:spacing w:after="0"/>
              <w:rPr>
                <w:sz w:val="20"/>
                <w:szCs w:val="20"/>
                <w:color w:val="auto"/>
              </w:rPr>
            </w:pPr>
            <w:r>
              <w:rPr>
                <w:rFonts w:ascii="Arial" w:cs="Arial" w:eastAsia="Arial" w:hAnsi="Arial"/>
                <w:sz w:val="16"/>
                <w:szCs w:val="16"/>
                <w:color w:val="003595"/>
              </w:rPr>
              <w:t>1,841,233</w:t>
            </w:r>
          </w:p>
        </w:tc>
        <w:tc>
          <w:tcPr>
            <w:tcW w:w="120" w:type="dxa"/>
            <w:vAlign w:val="bottom"/>
            <w:tcBorders>
              <w:bottom w:val="single" w:sz="8" w:color="003595"/>
            </w:tcBorders>
          </w:tcPr>
          <w:p>
            <w:pPr>
              <w:spacing w:after="0"/>
              <w:rPr>
                <w:sz w:val="20"/>
                <w:szCs w:val="20"/>
                <w:color w:val="auto"/>
              </w:rPr>
            </w:pPr>
          </w:p>
        </w:tc>
        <w:tc>
          <w:tcPr>
            <w:tcW w:w="320" w:type="dxa"/>
            <w:vAlign w:val="bottom"/>
            <w:tcBorders>
              <w:bottom w:val="single" w:sz="8" w:color="003595"/>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60" w:type="dxa"/>
            <w:vAlign w:val="bottom"/>
            <w:tcBorders>
              <w:bottom w:val="single" w:sz="8" w:color="003595"/>
            </w:tcBorders>
            <w:gridSpan w:val="2"/>
          </w:tcPr>
          <w:p>
            <w:pPr>
              <w:ind w:left="20"/>
              <w:spacing w:after="0"/>
              <w:rPr>
                <w:sz w:val="20"/>
                <w:szCs w:val="20"/>
                <w:color w:val="auto"/>
              </w:rPr>
            </w:pPr>
            <w:r>
              <w:rPr>
                <w:rFonts w:ascii="Arial" w:cs="Arial" w:eastAsia="Arial" w:hAnsi="Arial"/>
                <w:sz w:val="16"/>
                <w:szCs w:val="16"/>
                <w:color w:val="003595"/>
              </w:rPr>
              <w:t>All non-executive officer employees as a group</w:t>
            </w:r>
          </w:p>
        </w:tc>
        <w:tc>
          <w:tcPr>
            <w:tcW w:w="3840" w:type="dxa"/>
            <w:vAlign w:val="bottom"/>
            <w:tcBorders>
              <w:bottom w:val="single" w:sz="8" w:color="003595"/>
            </w:tcBorders>
            <w:gridSpan w:val="2"/>
          </w:tcPr>
          <w:p>
            <w:pPr>
              <w:jc w:val="center"/>
              <w:ind w:left="2539"/>
              <w:spacing w:after="0"/>
              <w:rPr>
                <w:sz w:val="20"/>
                <w:szCs w:val="20"/>
                <w:color w:val="auto"/>
              </w:rPr>
            </w:pPr>
            <w:r>
              <w:rPr>
                <w:rFonts w:ascii="Arial" w:cs="Arial" w:eastAsia="Arial" w:hAnsi="Arial"/>
                <w:sz w:val="16"/>
                <w:szCs w:val="16"/>
                <w:color w:val="003595"/>
              </w:rPr>
              <w:t>500,616</w:t>
            </w:r>
          </w:p>
        </w:tc>
        <w:tc>
          <w:tcPr>
            <w:tcW w:w="120" w:type="dxa"/>
            <w:vAlign w:val="bottom"/>
            <w:tcBorders>
              <w:bottom w:val="single" w:sz="8" w:color="003595"/>
            </w:tcBorders>
          </w:tcPr>
          <w:p>
            <w:pPr>
              <w:spacing w:after="0"/>
              <w:rPr>
                <w:sz w:val="20"/>
                <w:szCs w:val="20"/>
                <w:color w:val="auto"/>
              </w:rPr>
            </w:pPr>
          </w:p>
        </w:tc>
        <w:tc>
          <w:tcPr>
            <w:tcW w:w="320" w:type="dxa"/>
            <w:vAlign w:val="bottom"/>
            <w:tcBorders>
              <w:bottom w:val="single" w:sz="8" w:color="003595"/>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60" w:right="240" w:hanging="9"/>
        <w:spacing w:after="0" w:line="252" w:lineRule="auto"/>
        <w:tabs>
          <w:tab w:leader="none" w:pos="451"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granted values are not yet determinable, as the value of performance condition PSUs is based on the grant date stock price and the value of market condition PSUs is determined using a Monte Carlo valuation.</w:t>
      </w:r>
    </w:p>
    <w:p>
      <w:pPr>
        <w:ind w:left="440" w:hanging="189"/>
        <w:spacing w:after="0"/>
        <w:tabs>
          <w:tab w:leader="none" w:pos="4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Mr. Diaz resigned from his position as President and Chief Executive Officer effective April 30, 2025.</w:t>
      </w:r>
    </w:p>
    <w:p>
      <w:pPr>
        <w:spacing w:after="0" w:line="7" w:lineRule="exact"/>
        <w:rPr>
          <w:rFonts w:ascii="Arial" w:cs="Arial" w:eastAsia="Arial" w:hAnsi="Arial"/>
          <w:sz w:val="13"/>
          <w:szCs w:val="13"/>
          <w:color w:val="auto"/>
        </w:rPr>
      </w:pPr>
    </w:p>
    <w:p>
      <w:pPr>
        <w:ind w:left="440" w:hanging="189"/>
        <w:spacing w:after="0"/>
        <w:tabs>
          <w:tab w:leader="none" w:pos="4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Mr. Leffler ceased serving as Chief Financial Officer effective August 15, 2025.</w:t>
      </w:r>
    </w:p>
    <w:p>
      <w:pPr>
        <w:ind w:left="440" w:hanging="189"/>
        <w:spacing w:after="0"/>
        <w:tabs>
          <w:tab w:leader="none" w:pos="4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Ms. Ancona departed from her position as Executive Vice President, Strategy and Transformation on November 3, 2025.</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On April 8, 2026, the closing market price per share of our common stock was $4.77 as reported by Nasdaq.</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71CE"/>
        </w:rPr>
        <w:t>Required Vote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affirmative vote of a majority of the shares voted affirmatively or negatively for the proposal at the Annual Meeting is required to approve the 2026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0575" cy="3771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0575" cy="377190"/>
                    </a:xfrm>
                    <a:prstGeom prst="rect">
                      <a:avLst/>
                    </a:prstGeom>
                    <a:noFill/>
                  </pic:spPr>
                </pic:pic>
              </a:graphicData>
            </a:graphic>
          </wp:anchor>
        </w:drawing>
      </w:r>
    </w:p>
    <w:p>
      <w:pPr>
        <w:spacing w:after="0" w:line="282" w:lineRule="exact"/>
        <w:rPr>
          <w:sz w:val="20"/>
          <w:szCs w:val="20"/>
          <w:color w:val="auto"/>
        </w:rPr>
      </w:pPr>
    </w:p>
    <w:p>
      <w:pPr>
        <w:ind w:left="560" w:right="20" w:firstLine="1054"/>
        <w:spacing w:after="0" w:line="185" w:lineRule="auto"/>
        <w:rPr>
          <w:sz w:val="20"/>
          <w:szCs w:val="20"/>
          <w:color w:val="auto"/>
        </w:rPr>
      </w:pPr>
      <w:r>
        <w:rPr>
          <w:rFonts w:ascii="Arial" w:cs="Arial" w:eastAsia="Arial" w:hAnsi="Arial"/>
          <w:sz w:val="12"/>
          <w:szCs w:val="12"/>
          <w:b w:val="1"/>
          <w:bCs w:val="1"/>
          <w:color w:val="0071CE"/>
        </w:rPr>
        <w:t xml:space="preserve">The Board Recommends Approval of the Proposed 2026 Employee, Director and Consultant Equity Incentive Plan. Proxies </w:t>
      </w:r>
      <w:r>
        <w:rPr>
          <w:rFonts w:ascii="Wingdings" w:cs="Wingdings" w:eastAsia="Wingdings" w:hAnsi="Wingdings"/>
          <w:sz w:val="21"/>
          <w:szCs w:val="21"/>
          <w:b w:val="1"/>
          <w:bCs w:val="1"/>
          <w:color w:val="000000"/>
          <w:shd w:val="clear" w:color="auto" w:fill="3DAE2B"/>
        </w:rPr>
        <w:t xml:space="preserve">ü </w:t>
      </w:r>
      <w:r>
        <w:rPr>
          <w:rFonts w:ascii="Arial" w:cs="Arial" w:eastAsia="Arial" w:hAnsi="Arial"/>
          <w:sz w:val="12"/>
          <w:szCs w:val="12"/>
          <w:b w:val="1"/>
          <w:bCs w:val="1"/>
          <w:color w:val="0071CE"/>
        </w:rPr>
        <w:t>Solicited by the Board will be Voted in Favor of the Approval of the 2026 Plan Unless a Stockholder has Indicated Otherwise on</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0071CE"/>
        </w:rPr>
        <w:t>the Proxy.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25"/>
          <w:szCs w:val="25"/>
          <w:b w:val="1"/>
          <w:bCs w:val="1"/>
          <w:color w:val="003595"/>
        </w:rPr>
        <w:t>Corporate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adopted a Corporate Code of Conduct that applies to all of our employees, including our President and Chief Executive Officer and Chief Financial Officer, and every member of our Board. A copy of the Corporate Code of Conduct is publicly available in the Investor Relations—About Myriad/Corporate Governance section of our website at investor.myriad.com/corporate-governance. Disclosure regarding any amendments to, or waivers from, provisions of our Corporate Code of Conduct that apply to our directors and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595"/>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Board knows of no other business that will be presented at the Annual Meeting. If any other business is properly brought before the Annual Meeting, proxies will be voted in accordance with the judgment of the persons voting the proxies.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595"/>
        </w:rPr>
        <w:t>Stockholder Proposals and Nominations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Any stockholder of the Company who desires to submit a proposal pursuant to Rule 14a-8 of the Exchange Act at the Company's 2027 Annual Meeting of Stockholders and to have the proposal included in the Company's 2027 proxy materials must submit such proposal to the Company at its principal executive office no later than December 15, 2026, unless the date of the 2027 Annual Meeting of Stockholders is changed by more than 30 days from June 4, 2026, in which case the proposal must be received at the Company's principal executive office a reasonable time before the Company begins to print and mail its 2027 proxy materials. Any such stockholder proposal must meet the requirements set forth in Rule 14a-8.</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Any stockholder of the Company who desires to submit a proposal for action, including to nominate a director, at the 2027 Annual Meeting of Stockholders, but does not wish to have such proposal included in the Company's proxy materials, must deliver such proposal to the Company no earlier than the close of business on March 6, 2027 and no later than the close of business on April 5, 2027, unless the date of the 2027 Annual Meeting of Stockholders is more than 30 days before or more than 60 days after June 4, 2027, in which case such proposal or nomination to the Company must be delivered no earlier than the close of business on the 90th day prior to the 2027 Annual Meeting of Stockholders and no later than the close of business on the later of the 60th day prior to the 2027 Annual Meeting of Stockholders or the 10th day following the day on which public announcement of the date of the 2027 Annual Meeting of Stockholders is first made by the Company. Notwithstanding the foregoing, in the event that the number of directors is to be increased at the 2027 Annual Meeting of Stockholders, and we do not issue a public announcement naming the nominees or specifying the size of the increased board of directors by the 70th day prior to June 4, 2027 (or if the 2027 Annual Meeting of Stockholders is held more than 30 days before or 60 days after such date, at least 70 days prior to such meeting), a stockholder's notice will also be considered timely, but only with respect to nominees for any new positions created by such increase, if such notice is delivered to the Company not later than the close of business on the 10th day following the day on which such public announcement is made by the Company.</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satisfying the requirements of our Restated By-Laws, to comply with the requirements set forth in Rule 14a-19 of the Exchange Act (the universal proxy rules), stockholders who intend to solicit proxies in support of director nominees other than the Board's nominees must also provide written notice to the Company that sets forth all the information required by Rule 14a-19(b) of the Exchange Act.</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Proposals not received in a timely manner will not be voted on at the 2027 Annual Meeting of Stockholders. If a proposal is received in a timely manner, the proxies that management solicits for the 2027 Annual Meeting of Stockholders may still exercise discretionary voting authority on the proposal under circumstances consistent with the proxy rules of the SEC. All stockholder proposals must also comply with our Restated By-Laws, a copy of which is available by contacting our Corporate Secretary, and the corporate governance policies applicable to recommendations for the nomination of directors, copies of which are available in the Investor Relations—About Myriad/Corporate Governance section of our website at investor.myriad.com/corporate-governance. All stockholder proposals should be marked for the attention of: Corporate Secretary, Myriad Genetics, Inc., 322 North 2200 West, Salt Lake City, Utah 84116.</w:t>
      </w:r>
    </w:p>
    <w:p>
      <w:pPr>
        <w:spacing w:after="0" w:line="200" w:lineRule="exact"/>
        <w:rPr>
          <w:sz w:val="20"/>
          <w:szCs w:val="20"/>
          <w:color w:val="auto"/>
        </w:rPr>
      </w:pP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b w:val="1"/>
          <w:bCs w:val="1"/>
          <w:color w:val="003595"/>
        </w:rPr>
        <w:t>WHETHER OR NOT YOU INTEND TO ATTEND THE ANNUAL MEETING, YOU ARE URGED TO VOTE YOUR SHARES AT YOUR EARLIEST CONVENIENCE.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Salt Lake City, Utah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14, 2026</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88" w:name="page89"/>
    <w:bookmarkEnd w:id="88"/>
    <w:p>
      <w:pPr>
        <w:jc w:val="both"/>
        <w:spacing w:after="0" w:line="260" w:lineRule="auto"/>
        <w:rPr>
          <w:sz w:val="20"/>
          <w:szCs w:val="20"/>
          <w:color w:val="auto"/>
        </w:rPr>
      </w:pPr>
      <w:r>
        <w:rPr>
          <w:rFonts w:ascii="Arial" w:cs="Arial" w:eastAsia="Arial" w:hAnsi="Arial"/>
          <w:sz w:val="16"/>
          <w:szCs w:val="16"/>
          <w:b w:val="1"/>
          <w:bCs w:val="1"/>
          <w:color w:val="auto"/>
        </w:rPr>
        <w:t xml:space="preserve">OUR ANNUAL REPORT ON FORM 10-K FOR THE YEAR ENDED DECEMBER 31, 2025, FILED WITH THE SECURITIES AND EXCHANGE COMMISSION, WHICH PROVIDES ADDITIONAL INFORMATION ABOUT US, IS AVAILABLE ON THE INTERNET AT </w:t>
      </w:r>
      <w:r>
        <w:rPr>
          <w:rFonts w:ascii="Arial" w:cs="Arial" w:eastAsia="Arial" w:hAnsi="Arial"/>
          <w:sz w:val="16"/>
          <w:szCs w:val="16"/>
          <w:b w:val="1"/>
          <w:bCs w:val="1"/>
          <w:u w:val="single" w:color="auto"/>
          <w:color w:val="auto"/>
        </w:rPr>
        <w:t>WWW.MYRIAD.COM</w:t>
      </w:r>
      <w:r>
        <w:rPr>
          <w:rFonts w:ascii="Arial" w:cs="Arial" w:eastAsia="Arial" w:hAnsi="Arial"/>
          <w:sz w:val="16"/>
          <w:szCs w:val="16"/>
          <w:b w:val="1"/>
          <w:bCs w:val="1"/>
          <w:color w:val="auto"/>
        </w:rPr>
        <w:t xml:space="preserve"> AND IS AVAILABLE (OTHER THAN THE EXHIBITS THERETO) IN PAPER FORM TO BENEFICIAL OWNERS OF OUR COMMON STOCK WITHOUT CHARGE UPON WRITTEN REQUEST TO: LEGAL DEPARTMENT, MYRIAD GENETICS, INC., 322 North 2200 WEST, SALT LAKE CITY, UTAH 84116 (801-584-</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3600). EXHIBITS WILL BE PROVIDED UPON WRITTEN REQUEST AND PAYMENT OF AN APPROPRIATE PROCESSING FEE.</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497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25"/>
          <w:szCs w:val="25"/>
          <w:b w:val="1"/>
          <w:bCs w:val="1"/>
          <w:color w:val="003595"/>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3" w:right="35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GAAP to Non-GAAP Reconciliation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Condensed Consolidated Statements of Income — Operating Basis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i w:val="1"/>
          <w:iCs w:val="1"/>
          <w:color w:val="0071CE"/>
        </w:rPr>
        <w:t>(Unaudited data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291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Adjusted Operating Expenses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Expenses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Acquisition - amortization of intangible assets</w:t>
      </w:r>
      <w:r>
        <w:rPr>
          <w:rFonts w:ascii="Arial" w:cs="Arial" w:eastAsia="Arial" w:hAnsi="Arial"/>
          <w:sz w:val="21"/>
          <w:szCs w:val="21"/>
          <w:color w:val="auto"/>
          <w:vertAlign w:val="superscript"/>
        </w:rPr>
        <w:t>(1)</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Goodwill and long-lived asset impairment</w:t>
      </w:r>
      <w:r>
        <w:rPr>
          <w:rFonts w:ascii="Arial" w:cs="Arial" w:eastAsia="Arial" w:hAnsi="Arial"/>
          <w:sz w:val="21"/>
          <w:szCs w:val="21"/>
          <w:color w:val="auto"/>
          <w:vertAlign w:val="superscript"/>
        </w:rPr>
        <w:t>(2)</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Equity compensation</w:t>
      </w:r>
      <w:r>
        <w:rPr>
          <w:rFonts w:ascii="Arial" w:cs="Arial" w:eastAsia="Arial" w:hAnsi="Arial"/>
          <w:sz w:val="21"/>
          <w:szCs w:val="21"/>
          <w:color w:val="auto"/>
          <w:vertAlign w:val="superscript"/>
        </w:rPr>
        <w:t>(3)</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Real estate optimization</w:t>
      </w:r>
      <w:r>
        <w:rPr>
          <w:rFonts w:ascii="Arial" w:cs="Arial" w:eastAsia="Arial" w:hAnsi="Arial"/>
          <w:sz w:val="21"/>
          <w:szCs w:val="21"/>
          <w:color w:val="auto"/>
          <w:vertAlign w:val="superscript"/>
        </w:rPr>
        <w:t>(4)</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Transformation initiatives</w:t>
      </w:r>
      <w:r>
        <w:rPr>
          <w:rFonts w:ascii="Arial" w:cs="Arial" w:eastAsia="Arial" w:hAnsi="Arial"/>
          <w:sz w:val="21"/>
          <w:szCs w:val="21"/>
          <w:color w:val="auto"/>
          <w:vertAlign w:val="superscript"/>
        </w:rPr>
        <w:t>(5)</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Strategic realignment</w:t>
      </w:r>
      <w:r>
        <w:rPr>
          <w:rFonts w:ascii="Arial" w:cs="Arial" w:eastAsia="Arial" w:hAnsi="Arial"/>
          <w:sz w:val="21"/>
          <w:szCs w:val="21"/>
          <w:color w:val="auto"/>
          <w:vertAlign w:val="superscript"/>
        </w:rPr>
        <w:t>(6)</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Legal settlements</w:t>
      </w:r>
      <w:r>
        <w:rPr>
          <w:rFonts w:ascii="Arial" w:cs="Arial" w:eastAsia="Arial" w:hAnsi="Arial"/>
          <w:sz w:val="21"/>
          <w:szCs w:val="21"/>
          <w:color w:val="auto"/>
          <w:vertAlign w:val="superscript"/>
        </w:rPr>
        <w:t>(7)</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Other adjustments</w:t>
      </w:r>
      <w:r>
        <w:rPr>
          <w:rFonts w:ascii="Arial" w:cs="Arial" w:eastAsia="Arial" w:hAnsi="Arial"/>
          <w:sz w:val="21"/>
          <w:szCs w:val="21"/>
          <w:color w:val="auto"/>
          <w:vertAlign w:val="superscript"/>
        </w:rPr>
        <w:t>(8)</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Adjusted Operating Expenses</w:t>
      </w:r>
    </w:p>
    <w:p>
      <w:pPr>
        <w:spacing w:after="0" w:line="304" w:lineRule="exact"/>
        <w:rPr>
          <w:sz w:val="20"/>
          <w:szCs w:val="20"/>
          <w:color w:val="auto"/>
        </w:rPr>
      </w:pPr>
    </w:p>
    <w:p>
      <w:pPr>
        <w:ind w:left="400" w:hanging="374"/>
        <w:spacing w:after="0"/>
        <w:tabs>
          <w:tab w:leader="none" w:pos="4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recurring amortization charges resulting from the acquisition of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FFFFFF"/>
        </w:rPr>
        <w:t>Year Ended December 31,</w:t>
      </w:r>
    </w:p>
    <w:p>
      <w:pPr>
        <w:spacing w:after="0" w:line="69" w:lineRule="exact"/>
        <w:rPr>
          <w:sz w:val="20"/>
          <w:szCs w:val="20"/>
          <w:color w:val="auto"/>
        </w:rPr>
      </w:pPr>
    </w:p>
    <w:p>
      <w:pPr>
        <w:ind w:left="540"/>
        <w:spacing w:after="0"/>
        <w:tabs>
          <w:tab w:leader="none" w:pos="2040" w:val="left"/>
        </w:tabs>
        <w:rPr>
          <w:sz w:val="20"/>
          <w:szCs w:val="20"/>
          <w:color w:val="auto"/>
        </w:rPr>
      </w:pPr>
      <w:r>
        <w:rPr>
          <w:rFonts w:ascii="Arial" w:cs="Arial" w:eastAsia="Arial" w:hAnsi="Arial"/>
          <w:sz w:val="14"/>
          <w:szCs w:val="14"/>
          <w:b w:val="1"/>
          <w:bCs w:val="1"/>
          <w:color w:val="FFFFFF"/>
        </w:rPr>
        <w:t>2025</w:t>
      </w:r>
      <w:r>
        <w:rPr>
          <w:sz w:val="20"/>
          <w:szCs w:val="20"/>
          <w:color w:val="auto"/>
        </w:rPr>
        <w:tab/>
      </w:r>
      <w:r>
        <w:rPr>
          <w:rFonts w:ascii="Arial" w:cs="Arial" w:eastAsia="Arial" w:hAnsi="Arial"/>
          <w:sz w:val="14"/>
          <w:szCs w:val="14"/>
          <w:b w:val="1"/>
          <w:bCs w:val="1"/>
          <w:color w:val="FFFFFF"/>
        </w:rPr>
        <w:t>2024</w:t>
      </w:r>
    </w:p>
    <w:p>
      <w:pPr>
        <w:spacing w:after="0" w:line="293" w:lineRule="exact"/>
        <w:rPr>
          <w:sz w:val="20"/>
          <w:szCs w:val="20"/>
          <w:color w:val="auto"/>
        </w:rPr>
      </w:pPr>
    </w:p>
    <w:p>
      <w:pPr>
        <w:spacing w:after="0"/>
        <w:tabs>
          <w:tab w:leader="none" w:pos="920" w:val="left"/>
          <w:tab w:leader="none" w:pos="1500" w:val="left"/>
          <w:tab w:leader="none" w:pos="2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963.8</w:t>
        <w:tab/>
        <w:t>$</w:t>
      </w:r>
      <w:r>
        <w:rPr>
          <w:sz w:val="20"/>
          <w:szCs w:val="20"/>
          <w:color w:val="auto"/>
        </w:rPr>
        <w:tab/>
      </w:r>
      <w:r>
        <w:rPr>
          <w:rFonts w:ascii="Arial" w:cs="Arial" w:eastAsia="Arial" w:hAnsi="Arial"/>
          <w:sz w:val="15"/>
          <w:szCs w:val="15"/>
          <w:color w:val="auto"/>
        </w:rPr>
        <w:t>708.9</w:t>
      </w:r>
    </w:p>
    <w:p>
      <w:pPr>
        <w:spacing w:after="0" w:line="59"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6"/>
          <w:szCs w:val="16"/>
          <w:color w:val="auto"/>
        </w:rPr>
        <w:t>(29.8)</w:t>
      </w:r>
      <w:r>
        <w:rPr>
          <w:sz w:val="20"/>
          <w:szCs w:val="20"/>
          <w:color w:val="auto"/>
        </w:rPr>
        <w:tab/>
      </w:r>
      <w:r>
        <w:rPr>
          <w:rFonts w:ascii="Arial" w:cs="Arial" w:eastAsia="Arial" w:hAnsi="Arial"/>
          <w:sz w:val="16"/>
          <w:szCs w:val="16"/>
          <w:color w:val="auto"/>
        </w:rPr>
        <w:t>(40.2)</w:t>
      </w:r>
    </w:p>
    <w:p>
      <w:pPr>
        <w:spacing w:after="0" w:line="59"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6"/>
          <w:szCs w:val="16"/>
          <w:color w:val="auto"/>
        </w:rPr>
        <w:t>(319.4)</w:t>
      </w:r>
      <w:r>
        <w:rPr>
          <w:sz w:val="20"/>
          <w:szCs w:val="20"/>
          <w:color w:val="auto"/>
        </w:rPr>
        <w:tab/>
      </w:r>
      <w:r>
        <w:rPr>
          <w:rFonts w:ascii="Arial" w:cs="Arial" w:eastAsia="Arial" w:hAnsi="Arial"/>
          <w:sz w:val="16"/>
          <w:szCs w:val="16"/>
          <w:color w:val="auto"/>
        </w:rPr>
        <w:t>(56.8)</w:t>
      </w:r>
    </w:p>
    <w:p>
      <w:pPr>
        <w:spacing w:after="0" w:line="59"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6"/>
          <w:szCs w:val="16"/>
          <w:color w:val="auto"/>
        </w:rPr>
        <w:t>(34.1)</w:t>
      </w:r>
      <w:r>
        <w:rPr>
          <w:sz w:val="20"/>
          <w:szCs w:val="20"/>
          <w:color w:val="auto"/>
        </w:rPr>
        <w:tab/>
      </w:r>
      <w:r>
        <w:rPr>
          <w:rFonts w:ascii="Arial" w:cs="Arial" w:eastAsia="Arial" w:hAnsi="Arial"/>
          <w:sz w:val="16"/>
          <w:szCs w:val="16"/>
          <w:color w:val="auto"/>
        </w:rPr>
        <w:t>(48.3)</w:t>
      </w:r>
    </w:p>
    <w:p>
      <w:pPr>
        <w:spacing w:after="0" w:line="5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(7.2)</w:t>
      </w:r>
    </w:p>
    <w:p>
      <w:pPr>
        <w:spacing w:after="0" w:line="5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—(6.6)</w:t>
      </w:r>
    </w:p>
    <w:p>
      <w:pPr>
        <w:spacing w:after="0" w:line="59" w:lineRule="exact"/>
        <w:rPr>
          <w:sz w:val="20"/>
          <w:szCs w:val="20"/>
          <w:color w:val="auto"/>
        </w:rPr>
      </w:pPr>
    </w:p>
    <w:p>
      <w:pPr>
        <w:ind w:left="960"/>
        <w:spacing w:after="0"/>
        <w:tabs>
          <w:tab w:leader="none" w:pos="266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20.6</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0.3(3.5)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185991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53" w:lineRule="exact"/>
        <w:rPr>
          <w:sz w:val="20"/>
          <w:szCs w:val="20"/>
          <w:color w:val="auto"/>
        </w:rPr>
      </w:pPr>
    </w:p>
    <w:p>
      <w:pPr>
        <w:spacing w:after="0"/>
        <w:tabs>
          <w:tab w:leader="none" w:pos="920" w:val="left"/>
          <w:tab w:leader="none" w:pos="1500" w:val="left"/>
          <w:tab w:leader="none" w:pos="2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563.4</w:t>
        <w:tab/>
        <w:t>$</w:t>
      </w:r>
      <w:r>
        <w:rPr>
          <w:sz w:val="20"/>
          <w:szCs w:val="20"/>
          <w:color w:val="auto"/>
        </w:rPr>
        <w:tab/>
      </w:r>
      <w:r>
        <w:rPr>
          <w:rFonts w:ascii="Arial" w:cs="Arial" w:eastAsia="Arial" w:hAnsi="Arial"/>
          <w:sz w:val="15"/>
          <w:szCs w:val="15"/>
          <w:color w:val="auto"/>
        </w:rPr>
        <w:t>566.9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1859915"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59915" cy="34290"/>
                    </a:xfrm>
                    <a:prstGeom prst="rect">
                      <a:avLst/>
                    </a:prstGeom>
                    <a:noFill/>
                  </pic:spPr>
                </pic:pic>
              </a:graphicData>
            </a:graphic>
          </wp:anchor>
        </w:drawing>
      </w:r>
    </w:p>
    <w:p>
      <w:pPr>
        <w:spacing w:after="0" w:line="550" w:lineRule="exact"/>
        <w:rPr>
          <w:sz w:val="20"/>
          <w:szCs w:val="20"/>
          <w:color w:val="auto"/>
        </w:rPr>
      </w:pPr>
    </w:p>
    <w:p>
      <w:pPr>
        <w:sectPr>
          <w:pgSz w:w="11900" w:h="16838" w:orient="portrait"/>
          <w:cols w:equalWidth="0" w:num="2">
            <w:col w:w="7600" w:space="720"/>
            <w:col w:w="2900"/>
          </w:cols>
          <w:pgMar w:left="320" w:top="763" w:right="359" w:bottom="1440" w:gutter="0" w:footer="0" w:header="0"/>
          <w:type w:val="continuous"/>
        </w:sectPr>
      </w:pPr>
    </w:p>
    <w:p>
      <w:pPr>
        <w:jc w:val="both"/>
        <w:ind w:left="400" w:hanging="374"/>
        <w:spacing w:after="0" w:line="273" w:lineRule="auto"/>
        <w:tabs>
          <w:tab w:leader="none" w:pos="4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Expense related to goodwill and long-lived asset impairment. For the year ended December 31, 2025, consists of $319.4 million of impairment expense primarily associated with our Mental Health and Women's Health reporting units and asset groups. For the year ended December 31, 2024, consists of $43.0 million of impairment expense for a GeneSight developed technology intangible asset and $13.8 million primarily related to the sale of the EndoPredict business to Eurobio Scientific.</w:t>
      </w:r>
    </w:p>
    <w:p>
      <w:pPr>
        <w:spacing w:after="0" w:line="17" w:lineRule="exact"/>
        <w:rPr>
          <w:rFonts w:ascii="Arial" w:cs="Arial" w:eastAsia="Arial" w:hAnsi="Arial"/>
          <w:sz w:val="14"/>
          <w:szCs w:val="14"/>
          <w:color w:val="auto"/>
        </w:rPr>
      </w:pPr>
    </w:p>
    <w:p>
      <w:pPr>
        <w:ind w:left="400" w:hanging="374"/>
        <w:spacing w:after="0"/>
        <w:tabs>
          <w:tab w:leader="none" w:pos="4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Consists of the non-cash equity-based compensation provided to Myriad Genetics employees and directors.</w:t>
      </w:r>
    </w:p>
    <w:p>
      <w:pPr>
        <w:spacing w:after="0" w:line="68" w:lineRule="exact"/>
        <w:rPr>
          <w:rFonts w:ascii="Arial" w:cs="Arial" w:eastAsia="Arial" w:hAnsi="Arial"/>
          <w:sz w:val="14"/>
          <w:szCs w:val="14"/>
          <w:color w:val="auto"/>
        </w:rPr>
      </w:pPr>
    </w:p>
    <w:p>
      <w:pPr>
        <w:jc w:val="both"/>
        <w:ind w:left="400" w:hanging="374"/>
        <w:spacing w:after="0" w:line="267" w:lineRule="auto"/>
        <w:tabs>
          <w:tab w:leader="none" w:pos="4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Costs related to real estate initiatives. For the year ended December 31, 2025, consists of additional rent as a result of the build-out of our new laboratories in Salt Lake City, Utah and South San Francisco, California, while maintaining our previous facilities in those locations. For the year ended December 31, 2024, includes additional rent as a result of the build-out of our new laboratories in Salt Lake City, Utah and South San Francisco, California, while maintaining our previous facilities in those locations, costs associated with the voluntary termination of a lease, testing and set-up costs for equipment in our new facilities, and impairment in connection with the ceased use of one of our facilities.</w:t>
      </w:r>
    </w:p>
    <w:p>
      <w:pPr>
        <w:spacing w:after="0" w:line="22" w:lineRule="exact"/>
        <w:rPr>
          <w:rFonts w:ascii="Arial" w:cs="Arial" w:eastAsia="Arial" w:hAnsi="Arial"/>
          <w:sz w:val="14"/>
          <w:szCs w:val="14"/>
          <w:color w:val="auto"/>
        </w:rPr>
      </w:pPr>
    </w:p>
    <w:p>
      <w:pPr>
        <w:ind w:left="400" w:hanging="374"/>
        <w:spacing w:after="0"/>
        <w:tabs>
          <w:tab w:leader="none" w:pos="4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Costs related to transformation initiatives including consulting and professional fees for the year ended December 31, 2024.</w:t>
      </w:r>
    </w:p>
    <w:p>
      <w:pPr>
        <w:spacing w:after="0" w:line="68" w:lineRule="exact"/>
        <w:rPr>
          <w:rFonts w:ascii="Arial" w:cs="Arial" w:eastAsia="Arial" w:hAnsi="Arial"/>
          <w:sz w:val="14"/>
          <w:szCs w:val="14"/>
          <w:color w:val="auto"/>
        </w:rPr>
      </w:pPr>
    </w:p>
    <w:p>
      <w:pPr>
        <w:ind w:left="400" w:hanging="374"/>
        <w:spacing w:after="0"/>
        <w:tabs>
          <w:tab w:leader="none" w:pos="4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Costs related to strategic realignment of the company including severance and consulting fees for the year ended December 31, 2025.</w:t>
      </w:r>
    </w:p>
    <w:p>
      <w:pPr>
        <w:spacing w:after="0" w:line="68" w:lineRule="exact"/>
        <w:rPr>
          <w:rFonts w:ascii="Arial" w:cs="Arial" w:eastAsia="Arial" w:hAnsi="Arial"/>
          <w:sz w:val="14"/>
          <w:szCs w:val="14"/>
          <w:color w:val="auto"/>
        </w:rPr>
      </w:pPr>
    </w:p>
    <w:p>
      <w:pPr>
        <w:ind w:left="400" w:hanging="374"/>
        <w:spacing w:after="0" w:line="301" w:lineRule="auto"/>
        <w:tabs>
          <w:tab w:leader="none" w:pos="4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Costs related to one-time legal expenses. For the year ended December 31, 2024, primarily includes reversal of $21.3 million related to the contingent settlement for the Ravgen litigation that is no longer considered probable.</w:t>
      </w:r>
    </w:p>
    <w:p>
      <w:pPr>
        <w:spacing w:after="0" w:line="1" w:lineRule="exact"/>
        <w:rPr>
          <w:rFonts w:ascii="Arial" w:cs="Arial" w:eastAsia="Arial" w:hAnsi="Arial"/>
          <w:sz w:val="14"/>
          <w:szCs w:val="14"/>
          <w:color w:val="auto"/>
        </w:rPr>
      </w:pPr>
    </w:p>
    <w:p>
      <w:pPr>
        <w:jc w:val="both"/>
        <w:ind w:left="400" w:hanging="374"/>
        <w:spacing w:after="0" w:line="273" w:lineRule="auto"/>
        <w:tabs>
          <w:tab w:leader="none" w:pos="4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Other one-time non-recurring adjustments for the year ended December 31, 2025. For the year ended December 31, 2024, primarily includes a gain recognized on acquisition, changes in the fair value of contingent consideration related to acquisitions from prior years, the reclassifications of cumulative translation adjustments to income upon liquidation of an investment in a foreign entity, and costs incurred in connection with executive personnel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3" w:right="359" w:bottom="1440" w:gutter="0" w:footer="0" w:header="0"/>
          <w:type w:val="continuous"/>
        </w:sectPr>
      </w:pPr>
    </w:p>
    <w:bookmarkStart w:id="90" w:name="page91"/>
    <w:bookmarkEnd w:id="90"/>
    <w:p>
      <w:pPr>
        <w:ind w:left="88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3086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Year Ended December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7880" w:type="dxa"/>
            <w:vAlign w:val="bottom"/>
            <w:shd w:val="clear" w:color="auto" w:fill="003595"/>
          </w:tcPr>
          <w:p>
            <w:pPr>
              <w:spacing w:after="0"/>
              <w:rPr>
                <w:sz w:val="20"/>
                <w:szCs w:val="20"/>
                <w:color w:val="auto"/>
              </w:rPr>
            </w:pPr>
          </w:p>
        </w:tc>
        <w:tc>
          <w:tcPr>
            <w:tcW w:w="860" w:type="dxa"/>
            <w:vAlign w:val="bottom"/>
            <w:shd w:val="clear" w:color="auto" w:fill="003595"/>
          </w:tcPr>
          <w:p>
            <w:pPr>
              <w:jc w:val="right"/>
              <w:spacing w:after="0"/>
              <w:rPr>
                <w:sz w:val="20"/>
                <w:szCs w:val="20"/>
                <w:color w:val="auto"/>
              </w:rPr>
            </w:pPr>
            <w:r>
              <w:rPr>
                <w:rFonts w:ascii="Arial" w:cs="Arial" w:eastAsia="Arial" w:hAnsi="Arial"/>
                <w:sz w:val="14"/>
                <w:szCs w:val="14"/>
                <w:b w:val="1"/>
                <w:bCs w:val="1"/>
                <w:color w:val="FFFFFF"/>
              </w:rPr>
              <w:t>2025</w:t>
            </w:r>
          </w:p>
        </w:tc>
        <w:tc>
          <w:tcPr>
            <w:tcW w:w="540" w:type="dxa"/>
            <w:vAlign w:val="bottom"/>
            <w:shd w:val="clear" w:color="auto" w:fill="003595"/>
          </w:tcPr>
          <w:p>
            <w:pPr>
              <w:spacing w:after="0"/>
              <w:rPr>
                <w:sz w:val="20"/>
                <w:szCs w:val="20"/>
                <w:color w:val="auto"/>
              </w:rPr>
            </w:pPr>
          </w:p>
        </w:tc>
        <w:tc>
          <w:tcPr>
            <w:tcW w:w="100" w:type="dxa"/>
            <w:vAlign w:val="bottom"/>
            <w:shd w:val="clear" w:color="auto" w:fill="003595"/>
          </w:tcPr>
          <w:p>
            <w:pPr>
              <w:spacing w:after="0"/>
              <w:rPr>
                <w:sz w:val="20"/>
                <w:szCs w:val="20"/>
                <w:color w:val="auto"/>
              </w:rPr>
            </w:pPr>
          </w:p>
        </w:tc>
        <w:tc>
          <w:tcPr>
            <w:tcW w:w="340" w:type="dxa"/>
            <w:vAlign w:val="bottom"/>
            <w:shd w:val="clear" w:color="auto" w:fill="003595"/>
          </w:tcPr>
          <w:p>
            <w:pPr>
              <w:spacing w:after="0"/>
              <w:rPr>
                <w:sz w:val="20"/>
                <w:szCs w:val="20"/>
                <w:color w:val="auto"/>
              </w:rPr>
            </w:pPr>
          </w:p>
        </w:tc>
        <w:tc>
          <w:tcPr>
            <w:tcW w:w="1080" w:type="dxa"/>
            <w:vAlign w:val="bottom"/>
            <w:shd w:val="clear" w:color="auto" w:fill="003595"/>
          </w:tcPr>
          <w:p>
            <w:pPr>
              <w:jc w:val="right"/>
              <w:ind w:right="460"/>
              <w:spacing w:after="0"/>
              <w:rPr>
                <w:sz w:val="20"/>
                <w:szCs w:val="20"/>
                <w:color w:val="auto"/>
              </w:rPr>
            </w:pPr>
            <w:r>
              <w:rPr>
                <w:rFonts w:ascii="Arial" w:cs="Arial" w:eastAsia="Arial" w:hAnsi="Arial"/>
                <w:sz w:val="14"/>
                <w:szCs w:val="14"/>
                <w:b w:val="1"/>
                <w:bCs w:val="1"/>
                <w:color w:val="FFFFFF"/>
              </w:rPr>
              <w:t>2024</w:t>
            </w:r>
          </w:p>
        </w:tc>
      </w:tr>
      <w:tr>
        <w:trPr>
          <w:trHeight w:val="236"/>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Adjusted Operating Income (Loss)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5"/>
        </w:trPr>
        <w:tc>
          <w:tcPr>
            <w:tcW w:w="8300" w:type="dxa"/>
            <w:vAlign w:val="bottom"/>
            <w:gridSpan w:val="2"/>
          </w:tcPr>
          <w:p>
            <w:pPr>
              <w:ind w:left="60"/>
              <w:spacing w:after="0"/>
              <w:rPr>
                <w:sz w:val="20"/>
                <w:szCs w:val="20"/>
                <w:color w:val="auto"/>
              </w:rPr>
            </w:pPr>
            <w:r>
              <w:rPr>
                <w:rFonts w:ascii="Arial" w:cs="Arial" w:eastAsia="Arial" w:hAnsi="Arial"/>
                <w:sz w:val="16"/>
                <w:szCs w:val="16"/>
                <w:color w:val="auto"/>
              </w:rPr>
              <w:t>Operating Loss</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(387.2)</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(123.5)</w:t>
            </w:r>
          </w:p>
        </w:tc>
      </w:tr>
      <w:tr>
        <w:trPr>
          <w:trHeight w:val="271"/>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Acquisition - amortization of intangible assets</w:t>
            </w:r>
            <w:r>
              <w:rPr>
                <w:rFonts w:ascii="Arial" w:cs="Arial" w:eastAsia="Arial" w:hAnsi="Arial"/>
                <w:sz w:val="21"/>
                <w:szCs w:val="21"/>
                <w:color w:val="auto"/>
                <w:vertAlign w:val="superscript"/>
              </w:rPr>
              <w:t>(1)</w:t>
            </w:r>
          </w:p>
        </w:tc>
        <w:tc>
          <w:tcPr>
            <w:tcW w:w="8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Goodwill and long-lived asset impairment</w:t>
            </w:r>
            <w:r>
              <w:rPr>
                <w:rFonts w:ascii="Arial" w:cs="Arial" w:eastAsia="Arial" w:hAnsi="Arial"/>
                <w:sz w:val="21"/>
                <w:szCs w:val="21"/>
                <w:color w:val="auto"/>
                <w:vertAlign w:val="superscript"/>
              </w:rPr>
              <w:t>(2)</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Equity compensation</w:t>
            </w:r>
            <w:r>
              <w:rPr>
                <w:rFonts w:ascii="Arial" w:cs="Arial" w:eastAsia="Arial" w:hAnsi="Arial"/>
                <w:sz w:val="21"/>
                <w:szCs w:val="21"/>
                <w:color w:val="auto"/>
                <w:vertAlign w:val="superscript"/>
              </w:rPr>
              <w:t>(3)</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Real estate optimization</w:t>
            </w:r>
            <w:r>
              <w:rPr>
                <w:rFonts w:ascii="Arial" w:cs="Arial" w:eastAsia="Arial" w:hAnsi="Arial"/>
                <w:sz w:val="21"/>
                <w:szCs w:val="21"/>
                <w:color w:val="auto"/>
                <w:vertAlign w:val="superscript"/>
              </w:rPr>
              <w:t>(4)</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Transformation initiatives</w:t>
            </w:r>
            <w:r>
              <w:rPr>
                <w:rFonts w:ascii="Arial" w:cs="Arial" w:eastAsia="Arial" w:hAnsi="Arial"/>
                <w:sz w:val="21"/>
                <w:szCs w:val="21"/>
                <w:color w:val="auto"/>
                <w:vertAlign w:val="superscript"/>
              </w:rPr>
              <w:t>(5)</w:t>
            </w:r>
          </w:p>
        </w:tc>
        <w:tc>
          <w:tcPr>
            <w:tcW w:w="8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Strategic realignment</w:t>
            </w:r>
            <w:r>
              <w:rPr>
                <w:rFonts w:ascii="Arial" w:cs="Arial" w:eastAsia="Arial" w:hAnsi="Arial"/>
                <w:sz w:val="21"/>
                <w:szCs w:val="21"/>
                <w:color w:val="auto"/>
                <w:vertAlign w:val="superscript"/>
              </w:rPr>
              <w:t>(6)</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Legal settlements</w:t>
            </w:r>
            <w:r>
              <w:rPr>
                <w:rFonts w:ascii="Arial" w:cs="Arial" w:eastAsia="Arial" w:hAnsi="Arial"/>
                <w:sz w:val="21"/>
                <w:szCs w:val="21"/>
                <w:color w:val="auto"/>
                <w:vertAlign w:val="superscript"/>
              </w:rPr>
              <w:t>(7)</w:t>
            </w:r>
          </w:p>
        </w:tc>
        <w:tc>
          <w:tcPr>
            <w:tcW w:w="8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30"/>
        </w:trPr>
        <w:tc>
          <w:tcPr>
            <w:tcW w:w="8300" w:type="dxa"/>
            <w:vAlign w:val="bottom"/>
            <w:gridSpan w:val="2"/>
          </w:tcPr>
          <w:p>
            <w:pPr>
              <w:ind w:left="120"/>
              <w:spacing w:after="0" w:line="230" w:lineRule="exact"/>
              <w:rPr>
                <w:sz w:val="20"/>
                <w:szCs w:val="20"/>
                <w:color w:val="auto"/>
              </w:rPr>
            </w:pPr>
            <w:r>
              <w:rPr>
                <w:rFonts w:ascii="Arial" w:cs="Arial" w:eastAsia="Arial" w:hAnsi="Arial"/>
                <w:sz w:val="16"/>
                <w:szCs w:val="16"/>
                <w:color w:val="auto"/>
              </w:rPr>
              <w:t>Other adjustments</w:t>
            </w:r>
            <w:r>
              <w:rPr>
                <w:rFonts w:ascii="Arial" w:cs="Arial" w:eastAsia="Arial" w:hAnsi="Arial"/>
                <w:sz w:val="21"/>
                <w:szCs w:val="21"/>
                <w:color w:val="auto"/>
                <w:vertAlign w:val="superscript"/>
              </w:rPr>
              <w:t>(8)</w:t>
            </w:r>
          </w:p>
        </w:tc>
        <w:tc>
          <w:tcPr>
            <w:tcW w:w="8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Adjusted Operating Income (Loss)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20"/>
        </w:trPr>
        <w:tc>
          <w:tcPr>
            <w:tcW w:w="4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440" w:hanging="434"/>
        <w:spacing w:after="0"/>
        <w:tabs>
          <w:tab w:leader="none" w:pos="4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recurring amortization charges resulting from the acquisition of intangible assets.</w:t>
      </w:r>
    </w:p>
    <w:p>
      <w:pPr>
        <w:spacing w:after="0" w:line="68" w:lineRule="exact"/>
        <w:rPr>
          <w:rFonts w:ascii="Arial" w:cs="Arial" w:eastAsia="Arial" w:hAnsi="Arial"/>
          <w:sz w:val="14"/>
          <w:szCs w:val="14"/>
          <w:color w:val="auto"/>
        </w:rPr>
      </w:pPr>
    </w:p>
    <w:p>
      <w:pPr>
        <w:jc w:val="both"/>
        <w:ind w:left="440" w:right="20" w:hanging="434"/>
        <w:spacing w:after="0" w:line="281" w:lineRule="auto"/>
        <w:tabs>
          <w:tab w:leader="none" w:pos="4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Expense related to goodwill and long-lived asset impairment. For the year ended December 31, 2025, consists of $319.4 million of impairment expense primarily associated with our Mental Health and Women's Health reporting units and asset groups. For the year ended December 31, 2024, consists of $43.0 million of impairment expense for a GeneSight developed technology intangible asset and $13.8 million primarily related to the sale of the EndoPredict business to Eurobio Scientific.</w:t>
      </w:r>
    </w:p>
    <w:p>
      <w:pPr>
        <w:spacing w:after="0" w:line="1" w:lineRule="exact"/>
        <w:rPr>
          <w:rFonts w:ascii="Arial" w:cs="Arial" w:eastAsia="Arial" w:hAnsi="Arial"/>
          <w:sz w:val="14"/>
          <w:szCs w:val="14"/>
          <w:color w:val="auto"/>
        </w:rPr>
      </w:pPr>
    </w:p>
    <w:p>
      <w:pPr>
        <w:ind w:left="440" w:hanging="434"/>
        <w:spacing w:after="0"/>
        <w:tabs>
          <w:tab w:leader="none" w:pos="4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the non-cash equity-based compensation provided to Myriad Genetics employees and directors.</w:t>
      </w:r>
    </w:p>
    <w:p>
      <w:pPr>
        <w:spacing w:after="0" w:line="68" w:lineRule="exact"/>
        <w:rPr>
          <w:rFonts w:ascii="Arial" w:cs="Arial" w:eastAsia="Arial" w:hAnsi="Arial"/>
          <w:sz w:val="14"/>
          <w:szCs w:val="14"/>
          <w:color w:val="auto"/>
        </w:rPr>
      </w:pPr>
    </w:p>
    <w:p>
      <w:pPr>
        <w:jc w:val="both"/>
        <w:ind w:left="440" w:right="20" w:hanging="434"/>
        <w:spacing w:after="0" w:line="267" w:lineRule="auto"/>
        <w:tabs>
          <w:tab w:leader="none" w:pos="4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Costs related to real estate initiatives. For the year ended December 31, 2025, consists of additional rent as a result of the build-out of our new laboratories in Salt Lake City, Utah and South San Francisco, California, while maintaining our previous facilities in those locations. For the year ended December 31, 2024, includes additional rent as a result of the build-out of our new laboratories in Salt Lake City, Utah and South San Francisco, California, while maintaining our previous facilities in those locations, costs associated with the voluntary termination of a lease, testing and set-up costs for equipment in our new facilities, and impairment in connection with the ceased use of one of our facilities.</w:t>
      </w:r>
    </w:p>
    <w:p>
      <w:pPr>
        <w:spacing w:after="0" w:line="22" w:lineRule="exact"/>
        <w:rPr>
          <w:rFonts w:ascii="Arial" w:cs="Arial" w:eastAsia="Arial" w:hAnsi="Arial"/>
          <w:sz w:val="14"/>
          <w:szCs w:val="14"/>
          <w:color w:val="auto"/>
        </w:rPr>
      </w:pPr>
    </w:p>
    <w:p>
      <w:pPr>
        <w:ind w:left="440" w:hanging="434"/>
        <w:spacing w:after="0"/>
        <w:tabs>
          <w:tab w:leader="none" w:pos="4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Costs related to transformation initiatives including consulting and professional fees for the year ended December 31, 2024.</w:t>
      </w:r>
    </w:p>
    <w:p>
      <w:pPr>
        <w:spacing w:after="0" w:line="68" w:lineRule="exact"/>
        <w:rPr>
          <w:rFonts w:ascii="Arial" w:cs="Arial" w:eastAsia="Arial" w:hAnsi="Arial"/>
          <w:sz w:val="14"/>
          <w:szCs w:val="14"/>
          <w:color w:val="auto"/>
        </w:rPr>
      </w:pPr>
    </w:p>
    <w:p>
      <w:pPr>
        <w:ind w:left="440" w:hanging="434"/>
        <w:spacing w:after="0"/>
        <w:tabs>
          <w:tab w:leader="none" w:pos="4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Costs related to strategic realignment of the company including severance and consulting fees for the year ended December 31, 2025.</w:t>
      </w:r>
    </w:p>
    <w:p>
      <w:pPr>
        <w:spacing w:after="0" w:line="68" w:lineRule="exact"/>
        <w:rPr>
          <w:rFonts w:ascii="Arial" w:cs="Arial" w:eastAsia="Arial" w:hAnsi="Arial"/>
          <w:sz w:val="14"/>
          <w:szCs w:val="14"/>
          <w:color w:val="auto"/>
        </w:rPr>
      </w:pPr>
    </w:p>
    <w:p>
      <w:pPr>
        <w:ind w:left="440" w:right="20" w:hanging="434"/>
        <w:spacing w:after="0" w:line="301" w:lineRule="auto"/>
        <w:tabs>
          <w:tab w:leader="none" w:pos="4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Costs related to one-time legal expenses. For the year ended December 31, 2024, primarily includes reversal of $21.3 million related to the contingent settlement for the Ravgen litigation that is no longer considered probable.</w:t>
      </w:r>
    </w:p>
    <w:p>
      <w:pPr>
        <w:spacing w:after="0" w:line="1" w:lineRule="exact"/>
        <w:rPr>
          <w:rFonts w:ascii="Arial" w:cs="Arial" w:eastAsia="Arial" w:hAnsi="Arial"/>
          <w:sz w:val="14"/>
          <w:szCs w:val="14"/>
          <w:color w:val="auto"/>
        </w:rPr>
      </w:pPr>
    </w:p>
    <w:p>
      <w:pPr>
        <w:jc w:val="both"/>
        <w:ind w:left="440" w:right="20" w:hanging="434"/>
        <w:spacing w:after="0" w:line="283" w:lineRule="auto"/>
        <w:tabs>
          <w:tab w:leader="none" w:pos="4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Other one-time non-recurring adjustments for the year ended December 31, 2025. For the year ended December 31, 2024, primarily includes a gain recognized on acquisition, changes in the fair value of contingent consideration related to acquisitions from prior years, the reclassifications of cumulative translation adjustments to income upon liquidation of an investment in a foreign entity, and costs incurred in connection with executive personnel changes.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46" w:right="339" w:bottom="1440" w:gutter="0" w:footer="0" w:header="0"/>
        </w:sectPr>
      </w:pPr>
    </w:p>
    <w:bookmarkStart w:id="91" w:name="page92"/>
    <w:bookmarkEnd w:id="91"/>
    <w:p>
      <w:pPr>
        <w:ind w:left="88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3086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Year Ended December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7880" w:type="dxa"/>
            <w:vAlign w:val="bottom"/>
            <w:shd w:val="clear" w:color="auto" w:fill="003595"/>
          </w:tcPr>
          <w:p>
            <w:pPr>
              <w:spacing w:after="0"/>
              <w:rPr>
                <w:sz w:val="20"/>
                <w:szCs w:val="20"/>
                <w:color w:val="auto"/>
              </w:rPr>
            </w:pPr>
          </w:p>
        </w:tc>
        <w:tc>
          <w:tcPr>
            <w:tcW w:w="860" w:type="dxa"/>
            <w:vAlign w:val="bottom"/>
            <w:shd w:val="clear" w:color="auto" w:fill="003595"/>
          </w:tcPr>
          <w:p>
            <w:pPr>
              <w:jc w:val="right"/>
              <w:spacing w:after="0"/>
              <w:rPr>
                <w:sz w:val="20"/>
                <w:szCs w:val="20"/>
                <w:color w:val="auto"/>
              </w:rPr>
            </w:pPr>
            <w:r>
              <w:rPr>
                <w:rFonts w:ascii="Arial" w:cs="Arial" w:eastAsia="Arial" w:hAnsi="Arial"/>
                <w:sz w:val="14"/>
                <w:szCs w:val="14"/>
                <w:b w:val="1"/>
                <w:bCs w:val="1"/>
                <w:color w:val="FFFFFF"/>
              </w:rPr>
              <w:t>2025</w:t>
            </w:r>
          </w:p>
        </w:tc>
        <w:tc>
          <w:tcPr>
            <w:tcW w:w="540" w:type="dxa"/>
            <w:vAlign w:val="bottom"/>
            <w:shd w:val="clear" w:color="auto" w:fill="003595"/>
          </w:tcPr>
          <w:p>
            <w:pPr>
              <w:spacing w:after="0"/>
              <w:rPr>
                <w:sz w:val="20"/>
                <w:szCs w:val="20"/>
                <w:color w:val="auto"/>
              </w:rPr>
            </w:pPr>
          </w:p>
        </w:tc>
        <w:tc>
          <w:tcPr>
            <w:tcW w:w="100" w:type="dxa"/>
            <w:vAlign w:val="bottom"/>
            <w:shd w:val="clear" w:color="auto" w:fill="003595"/>
          </w:tcPr>
          <w:p>
            <w:pPr>
              <w:spacing w:after="0"/>
              <w:rPr>
                <w:sz w:val="20"/>
                <w:szCs w:val="20"/>
                <w:color w:val="auto"/>
              </w:rPr>
            </w:pPr>
          </w:p>
        </w:tc>
        <w:tc>
          <w:tcPr>
            <w:tcW w:w="340" w:type="dxa"/>
            <w:vAlign w:val="bottom"/>
            <w:shd w:val="clear" w:color="auto" w:fill="003595"/>
          </w:tcPr>
          <w:p>
            <w:pPr>
              <w:spacing w:after="0"/>
              <w:rPr>
                <w:sz w:val="20"/>
                <w:szCs w:val="20"/>
                <w:color w:val="auto"/>
              </w:rPr>
            </w:pPr>
          </w:p>
        </w:tc>
        <w:tc>
          <w:tcPr>
            <w:tcW w:w="1080" w:type="dxa"/>
            <w:vAlign w:val="bottom"/>
            <w:shd w:val="clear" w:color="auto" w:fill="003595"/>
          </w:tcPr>
          <w:p>
            <w:pPr>
              <w:jc w:val="right"/>
              <w:ind w:right="460"/>
              <w:spacing w:after="0"/>
              <w:rPr>
                <w:sz w:val="20"/>
                <w:szCs w:val="20"/>
                <w:color w:val="auto"/>
              </w:rPr>
            </w:pPr>
            <w:r>
              <w:rPr>
                <w:rFonts w:ascii="Arial" w:cs="Arial" w:eastAsia="Arial" w:hAnsi="Arial"/>
                <w:sz w:val="14"/>
                <w:szCs w:val="14"/>
                <w:b w:val="1"/>
                <w:bCs w:val="1"/>
                <w:color w:val="FFFFFF"/>
              </w:rPr>
              <w:t>2024</w:t>
            </w:r>
          </w:p>
        </w:tc>
      </w:tr>
      <w:tr>
        <w:trPr>
          <w:trHeight w:val="256"/>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Adjusted Net Income </w:t>
            </w:r>
            <w:r>
              <w:rPr>
                <w:rFonts w:ascii="Arial" w:cs="Arial" w:eastAsia="Arial" w:hAnsi="Arial"/>
                <w:sz w:val="21"/>
                <w:szCs w:val="21"/>
                <w:b w:val="1"/>
                <w:bCs w:val="1"/>
                <w:color w:val="auto"/>
                <w:vertAlign w:val="superscript"/>
              </w:rPr>
              <w:t>(1)</w:t>
            </w: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5"/>
        </w:trPr>
        <w:tc>
          <w:tcPr>
            <w:tcW w:w="83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(365.9)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(127.3)</w:t>
            </w:r>
          </w:p>
        </w:tc>
      </w:tr>
      <w:tr>
        <w:trPr>
          <w:trHeight w:val="271"/>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Acquisition - amortization of intangible assets</w:t>
            </w:r>
            <w:r>
              <w:rPr>
                <w:rFonts w:ascii="Arial" w:cs="Arial" w:eastAsia="Arial" w:hAnsi="Arial"/>
                <w:sz w:val="21"/>
                <w:szCs w:val="21"/>
                <w:color w:val="auto"/>
                <w:vertAlign w:val="superscript"/>
              </w:rPr>
              <w:t>(2)</w:t>
            </w:r>
          </w:p>
        </w:tc>
        <w:tc>
          <w:tcPr>
            <w:tcW w:w="8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Goodwill and long-lived asset impairment</w:t>
            </w:r>
            <w:r>
              <w:rPr>
                <w:rFonts w:ascii="Arial" w:cs="Arial" w:eastAsia="Arial" w:hAnsi="Arial"/>
                <w:sz w:val="21"/>
                <w:szCs w:val="21"/>
                <w:color w:val="auto"/>
                <w:vertAlign w:val="superscript"/>
              </w:rPr>
              <w:t>(3)</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Equity compensation</w:t>
            </w:r>
            <w:r>
              <w:rPr>
                <w:rFonts w:ascii="Arial" w:cs="Arial" w:eastAsia="Arial" w:hAnsi="Arial"/>
                <w:sz w:val="21"/>
                <w:szCs w:val="21"/>
                <w:color w:val="auto"/>
                <w:vertAlign w:val="superscript"/>
              </w:rPr>
              <w:t>(4)</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Real estate optimization</w:t>
            </w:r>
            <w:r>
              <w:rPr>
                <w:rFonts w:ascii="Arial" w:cs="Arial" w:eastAsia="Arial" w:hAnsi="Arial"/>
                <w:sz w:val="21"/>
                <w:szCs w:val="21"/>
                <w:color w:val="auto"/>
                <w:vertAlign w:val="superscript"/>
              </w:rPr>
              <w:t>(5)</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Transformation initiatives</w:t>
            </w:r>
            <w:r>
              <w:rPr>
                <w:rFonts w:ascii="Arial" w:cs="Arial" w:eastAsia="Arial" w:hAnsi="Arial"/>
                <w:sz w:val="21"/>
                <w:szCs w:val="21"/>
                <w:color w:val="auto"/>
                <w:vertAlign w:val="superscript"/>
              </w:rPr>
              <w:t>(6)</w:t>
            </w:r>
          </w:p>
        </w:tc>
        <w:tc>
          <w:tcPr>
            <w:tcW w:w="8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Strategic realignment</w:t>
            </w:r>
            <w:r>
              <w:rPr>
                <w:rFonts w:ascii="Arial" w:cs="Arial" w:eastAsia="Arial" w:hAnsi="Arial"/>
                <w:sz w:val="21"/>
                <w:szCs w:val="21"/>
                <w:color w:val="auto"/>
                <w:vertAlign w:val="superscript"/>
              </w:rPr>
              <w:t>(7)</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Legal settlements</w:t>
            </w:r>
            <w:r>
              <w:rPr>
                <w:rFonts w:ascii="Arial" w:cs="Arial" w:eastAsia="Arial" w:hAnsi="Arial"/>
                <w:sz w:val="21"/>
                <w:szCs w:val="21"/>
                <w:color w:val="auto"/>
                <w:vertAlign w:val="superscript"/>
              </w:rPr>
              <w:t>(8)</w:t>
            </w:r>
          </w:p>
        </w:tc>
        <w:tc>
          <w:tcPr>
            <w:tcW w:w="8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Other adjustments</w:t>
            </w:r>
            <w:r>
              <w:rPr>
                <w:rFonts w:ascii="Arial" w:cs="Arial" w:eastAsia="Arial" w:hAnsi="Arial"/>
                <w:sz w:val="21"/>
                <w:szCs w:val="21"/>
                <w:color w:val="auto"/>
                <w:vertAlign w:val="superscript"/>
              </w:rPr>
              <w:t>(9)</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Uncertain tax benefit</w:t>
            </w:r>
            <w:r>
              <w:rPr>
                <w:rFonts w:ascii="Arial" w:cs="Arial" w:eastAsia="Arial" w:hAnsi="Arial"/>
                <w:sz w:val="21"/>
                <w:szCs w:val="21"/>
                <w:color w:val="auto"/>
                <w:vertAlign w:val="superscript"/>
              </w:rPr>
              <w:t>(10)</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300" w:type="dxa"/>
            <w:vAlign w:val="bottom"/>
            <w:gridSpan w:val="2"/>
          </w:tcPr>
          <w:p>
            <w:pPr>
              <w:ind w:left="120"/>
              <w:spacing w:after="0" w:line="230" w:lineRule="exact"/>
              <w:rPr>
                <w:sz w:val="20"/>
                <w:szCs w:val="20"/>
                <w:color w:val="auto"/>
              </w:rPr>
            </w:pPr>
            <w:r>
              <w:rPr>
                <w:rFonts w:ascii="Arial" w:cs="Arial" w:eastAsia="Arial" w:hAnsi="Arial"/>
                <w:sz w:val="16"/>
                <w:szCs w:val="16"/>
                <w:color w:val="auto"/>
              </w:rPr>
              <w:t>Tax adjustments</w:t>
            </w:r>
            <w:r>
              <w:rPr>
                <w:rFonts w:ascii="Arial" w:cs="Arial" w:eastAsia="Arial" w:hAnsi="Arial"/>
                <w:sz w:val="21"/>
                <w:szCs w:val="21"/>
                <w:color w:val="auto"/>
                <w:vertAlign w:val="superscript"/>
              </w:rPr>
              <w:t>(11)</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21"/>
        </w:trPr>
        <w:tc>
          <w:tcPr>
            <w:tcW w:w="8300" w:type="dxa"/>
            <w:vAlign w:val="bottom"/>
            <w:gridSpan w:val="2"/>
          </w:tcPr>
          <w:p>
            <w:pPr>
              <w:spacing w:after="0"/>
              <w:rPr>
                <w:sz w:val="20"/>
                <w:szCs w:val="20"/>
                <w:color w:val="auto"/>
              </w:rPr>
            </w:pPr>
            <w:r>
              <w:rPr>
                <w:rFonts w:ascii="Arial" w:cs="Arial" w:eastAsia="Arial" w:hAnsi="Arial"/>
                <w:sz w:val="16"/>
                <w:szCs w:val="16"/>
                <w:color w:val="auto"/>
              </w:rPr>
              <w:t>Adjusted Net Income</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97"/>
        </w:trPr>
        <w:tc>
          <w:tcPr>
            <w:tcW w:w="8300" w:type="dxa"/>
            <w:vAlign w:val="bottom"/>
            <w:gridSpan w:val="2"/>
          </w:tcPr>
          <w:p>
            <w:pPr>
              <w:spacing w:after="0"/>
              <w:rPr>
                <w:sz w:val="20"/>
                <w:szCs w:val="20"/>
                <w:color w:val="auto"/>
              </w:rPr>
            </w:pPr>
            <w:r>
              <w:rPr>
                <w:rFonts w:ascii="Arial" w:cs="Arial" w:eastAsia="Arial" w:hAnsi="Arial"/>
                <w:sz w:val="16"/>
                <w:szCs w:val="16"/>
                <w:color w:val="auto"/>
              </w:rPr>
              <w:t>Weighted average shares outstanding:</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Diluted</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92.1</w:t>
            </w:r>
          </w:p>
        </w:tc>
      </w:tr>
      <w:tr>
        <w:trPr>
          <w:trHeight w:val="243"/>
        </w:trPr>
        <w:tc>
          <w:tcPr>
            <w:tcW w:w="8300" w:type="dxa"/>
            <w:vAlign w:val="bottom"/>
            <w:gridSpan w:val="2"/>
          </w:tcPr>
          <w:p>
            <w:pPr>
              <w:spacing w:after="0"/>
              <w:rPr>
                <w:sz w:val="20"/>
                <w:szCs w:val="20"/>
                <w:color w:val="auto"/>
              </w:rPr>
            </w:pPr>
            <w:r>
              <w:rPr>
                <w:rFonts w:ascii="Arial" w:cs="Arial" w:eastAsia="Arial" w:hAnsi="Arial"/>
                <w:sz w:val="16"/>
                <w:szCs w:val="16"/>
                <w:color w:val="auto"/>
              </w:rPr>
              <w:t>Adjusted Earnings Per Share</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6"/>
                <w:szCs w:val="16"/>
                <w:color w:val="auto"/>
              </w:rPr>
              <w:t>Diluted</w:t>
            </w: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0.14</w:t>
            </w:r>
          </w:p>
        </w:tc>
      </w:tr>
    </w:tbl>
    <w:p>
      <w:pPr>
        <w:spacing w:after="0" w:line="87" w:lineRule="exact"/>
        <w:rPr>
          <w:sz w:val="20"/>
          <w:szCs w:val="20"/>
          <w:color w:val="auto"/>
        </w:rPr>
      </w:pPr>
    </w:p>
    <w:p>
      <w:pPr>
        <w:ind w:left="440" w:hanging="434"/>
        <w:spacing w:after="0"/>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To determine Adjusted Earnings Per Share, or adjusted EPS.</w:t>
      </w:r>
    </w:p>
    <w:p>
      <w:pPr>
        <w:spacing w:after="0" w:line="68" w:lineRule="exact"/>
        <w:rPr>
          <w:rFonts w:ascii="Arial" w:cs="Arial" w:eastAsia="Arial" w:hAnsi="Arial"/>
          <w:sz w:val="14"/>
          <w:szCs w:val="14"/>
          <w:color w:val="auto"/>
        </w:rPr>
      </w:pPr>
    </w:p>
    <w:p>
      <w:pPr>
        <w:ind w:left="440" w:hanging="434"/>
        <w:spacing w:after="0"/>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recurring amortization charges resulting from the acquisition of intangible assets.</w:t>
      </w:r>
    </w:p>
    <w:p>
      <w:pPr>
        <w:spacing w:after="0" w:line="68" w:lineRule="exact"/>
        <w:rPr>
          <w:rFonts w:ascii="Arial" w:cs="Arial" w:eastAsia="Arial" w:hAnsi="Arial"/>
          <w:sz w:val="14"/>
          <w:szCs w:val="14"/>
          <w:color w:val="auto"/>
        </w:rPr>
      </w:pPr>
    </w:p>
    <w:p>
      <w:pPr>
        <w:jc w:val="both"/>
        <w:ind w:left="440" w:right="20" w:hanging="434"/>
        <w:spacing w:after="0" w:line="281" w:lineRule="auto"/>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Expense related to goodwill and long-lived asset impairment. For the year ended December 31, 2025, consists of $319.4 million of impairment expense primarily associated with our Mental Health and Women's Health reporting units and asset groups. For the year ended December 31, 2024, consists of $43.0 million of impairment expense for a GeneSight developed technology intangible asset and $13.8 million primarily related to the sale of the EndoPredict business to Eurobio Scientific.</w:t>
      </w:r>
    </w:p>
    <w:p>
      <w:pPr>
        <w:spacing w:after="0" w:line="1" w:lineRule="exact"/>
        <w:rPr>
          <w:rFonts w:ascii="Arial" w:cs="Arial" w:eastAsia="Arial" w:hAnsi="Arial"/>
          <w:sz w:val="14"/>
          <w:szCs w:val="14"/>
          <w:color w:val="auto"/>
        </w:rPr>
      </w:pPr>
    </w:p>
    <w:p>
      <w:pPr>
        <w:ind w:left="440" w:hanging="434"/>
        <w:spacing w:after="0"/>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the non-cash equity-based compensation provided to Myriad Genetics employees and directors.</w:t>
      </w:r>
    </w:p>
    <w:p>
      <w:pPr>
        <w:spacing w:after="0" w:line="68" w:lineRule="exact"/>
        <w:rPr>
          <w:rFonts w:ascii="Arial" w:cs="Arial" w:eastAsia="Arial" w:hAnsi="Arial"/>
          <w:sz w:val="14"/>
          <w:szCs w:val="14"/>
          <w:color w:val="auto"/>
        </w:rPr>
      </w:pPr>
    </w:p>
    <w:p>
      <w:pPr>
        <w:jc w:val="both"/>
        <w:ind w:left="440" w:right="20" w:hanging="434"/>
        <w:spacing w:after="0" w:line="267" w:lineRule="auto"/>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Costs related to real estate initiatives. For the year ended December 31, 2025, consists of additional rent as a result of the build-out of our new laboratories in Salt Lake City, Utah and South San Francisco, California, while maintaining our previous facilities in those locations. For the year ended December 31, 2024, includes additional rent as a result of the build-out of our new laboratories in Salt Lake City, Utah and South San Francisco, California, while maintaining our previous facilities in those locations, costs associated with the voluntary termination of a lease, testing and set-up costs for equipment in our new facilities, and impairment in connection with the ceased use of one of our facilities.</w:t>
      </w:r>
    </w:p>
    <w:p>
      <w:pPr>
        <w:spacing w:after="0" w:line="22" w:lineRule="exact"/>
        <w:rPr>
          <w:rFonts w:ascii="Arial" w:cs="Arial" w:eastAsia="Arial" w:hAnsi="Arial"/>
          <w:sz w:val="14"/>
          <w:szCs w:val="14"/>
          <w:color w:val="auto"/>
        </w:rPr>
      </w:pPr>
    </w:p>
    <w:p>
      <w:pPr>
        <w:ind w:left="440" w:hanging="434"/>
        <w:spacing w:after="0"/>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Costs related to transformation initiatives including consulting and professional fees for the year ended December 31, 2024.</w:t>
      </w:r>
    </w:p>
    <w:p>
      <w:pPr>
        <w:spacing w:after="0" w:line="68" w:lineRule="exact"/>
        <w:rPr>
          <w:rFonts w:ascii="Arial" w:cs="Arial" w:eastAsia="Arial" w:hAnsi="Arial"/>
          <w:sz w:val="14"/>
          <w:szCs w:val="14"/>
          <w:color w:val="auto"/>
        </w:rPr>
      </w:pPr>
    </w:p>
    <w:p>
      <w:pPr>
        <w:ind w:left="440" w:hanging="434"/>
        <w:spacing w:after="0"/>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Costs related to strategic realignment of the company including severance and consulting fees for the year ended December 31, 2025.</w:t>
      </w:r>
    </w:p>
    <w:p>
      <w:pPr>
        <w:spacing w:after="0" w:line="68" w:lineRule="exact"/>
        <w:rPr>
          <w:rFonts w:ascii="Arial" w:cs="Arial" w:eastAsia="Arial" w:hAnsi="Arial"/>
          <w:sz w:val="14"/>
          <w:szCs w:val="14"/>
          <w:color w:val="auto"/>
        </w:rPr>
      </w:pPr>
    </w:p>
    <w:p>
      <w:pPr>
        <w:ind w:left="440" w:right="20" w:hanging="434"/>
        <w:spacing w:after="0" w:line="301" w:lineRule="auto"/>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Costs related to one-time legal expenses. For the year ended December 31, 2024, primarily includes reversal of $21.3 million related to the contingent settlement for the Ravgen litigation that is no longer considered probable.</w:t>
      </w:r>
    </w:p>
    <w:p>
      <w:pPr>
        <w:spacing w:after="0" w:line="1" w:lineRule="exact"/>
        <w:rPr>
          <w:rFonts w:ascii="Arial" w:cs="Arial" w:eastAsia="Arial" w:hAnsi="Arial"/>
          <w:sz w:val="14"/>
          <w:szCs w:val="14"/>
          <w:color w:val="auto"/>
        </w:rPr>
      </w:pPr>
    </w:p>
    <w:p>
      <w:pPr>
        <w:jc w:val="both"/>
        <w:ind w:left="440" w:right="20" w:hanging="434"/>
        <w:spacing w:after="0" w:line="281" w:lineRule="auto"/>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Other one-time non-recurring adjustments for the year ended December 31, 2025. For the year ended December 31, 2024, primarily includes a gain recognized on acquisition, changes in the fair value of contingent consideration related to acquisitions from prior years, the reclassifications of cumulative translation adjustments to income upon liquidation of an investment in a foreign entity, and costs incurred in connection with executive personnel changes.</w:t>
      </w:r>
    </w:p>
    <w:p>
      <w:pPr>
        <w:spacing w:after="0" w:line="1" w:lineRule="exact"/>
        <w:rPr>
          <w:rFonts w:ascii="Arial" w:cs="Arial" w:eastAsia="Arial" w:hAnsi="Arial"/>
          <w:sz w:val="14"/>
          <w:szCs w:val="14"/>
          <w:color w:val="auto"/>
        </w:rPr>
      </w:pPr>
    </w:p>
    <w:p>
      <w:pPr>
        <w:ind w:left="440" w:right="20" w:hanging="434"/>
        <w:spacing w:after="0" w:line="301" w:lineRule="auto"/>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the release of unrecognized tax benefits and the recognition of valuation allowances for the year ended December 31, 2025. The unrecognized tax benefits released were primarily related to tax years under Joint Committee on Taxation review, which upon conclusion of the review were remeasured or released.</w:t>
      </w:r>
    </w:p>
    <w:p>
      <w:pPr>
        <w:spacing w:after="0" w:line="1" w:lineRule="exact"/>
        <w:rPr>
          <w:rFonts w:ascii="Arial" w:cs="Arial" w:eastAsia="Arial" w:hAnsi="Arial"/>
          <w:sz w:val="14"/>
          <w:szCs w:val="14"/>
          <w:color w:val="auto"/>
        </w:rPr>
      </w:pPr>
    </w:p>
    <w:p>
      <w:pPr>
        <w:jc w:val="both"/>
        <w:ind w:left="440" w:right="20" w:hanging="434"/>
        <w:spacing w:after="0" w:line="269" w:lineRule="auto"/>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Tax expense or benefit due to non-GAAP adjustments, differences between stock compensation recorded for book purposes as compared to the allowable tax deductions, and valuation allowance recognized against federal and state deferred tax assets in the United States. As of December 31, 2025, a valuation allowance of $103.6 million was not recognized for non-GAAP purposes given our historical and forecasted positive earnings performance. As of December 31, 2024, a valuation allowance of $64 million was not recognized for non-GAAP purposes given the company's historical and forecasted positive earnings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46"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8320" w:type="dxa"/>
            <w:vAlign w:val="bottom"/>
            <w:shd w:val="clear" w:color="auto" w:fill="003595"/>
          </w:tcPr>
          <w:p>
            <w:pPr>
              <w:spacing w:after="0"/>
              <w:rPr>
                <w:sz w:val="18"/>
                <w:szCs w:val="18"/>
                <w:color w:val="auto"/>
              </w:rPr>
            </w:pPr>
          </w:p>
        </w:tc>
        <w:tc>
          <w:tcPr>
            <w:tcW w:w="2380" w:type="dxa"/>
            <w:vAlign w:val="bottom"/>
            <w:gridSpan w:val="4"/>
            <w:shd w:val="clear" w:color="auto" w:fill="003595"/>
          </w:tcPr>
          <w:p>
            <w:pPr>
              <w:jc w:val="right"/>
              <w:spacing w:after="0"/>
              <w:rPr>
                <w:sz w:val="20"/>
                <w:szCs w:val="20"/>
                <w:color w:val="auto"/>
              </w:rPr>
            </w:pPr>
            <w:r>
              <w:rPr>
                <w:rFonts w:ascii="Arial" w:cs="Arial" w:eastAsia="Arial" w:hAnsi="Arial"/>
                <w:sz w:val="14"/>
                <w:szCs w:val="14"/>
                <w:b w:val="1"/>
                <w:bCs w:val="1"/>
                <w:color w:val="FFFFFF"/>
              </w:rPr>
              <w:t>Year Ended December 31,</w:t>
            </w:r>
          </w:p>
        </w:tc>
        <w:tc>
          <w:tcPr>
            <w:tcW w:w="540" w:type="dxa"/>
            <w:vAlign w:val="bottom"/>
            <w:shd w:val="clear" w:color="auto" w:fill="003595"/>
          </w:tcPr>
          <w:p>
            <w:pPr>
              <w:spacing w:after="0"/>
              <w:rPr>
                <w:sz w:val="18"/>
                <w:szCs w:val="18"/>
                <w:color w:val="auto"/>
              </w:rPr>
            </w:pPr>
          </w:p>
        </w:tc>
      </w:tr>
      <w:tr>
        <w:trPr>
          <w:trHeight w:val="243"/>
        </w:trPr>
        <w:tc>
          <w:tcPr>
            <w:tcW w:w="8320" w:type="dxa"/>
            <w:vAlign w:val="bottom"/>
            <w:shd w:val="clear" w:color="auto" w:fill="003595"/>
          </w:tcPr>
          <w:p>
            <w:pPr>
              <w:spacing w:after="0"/>
              <w:rPr>
                <w:sz w:val="21"/>
                <w:szCs w:val="21"/>
                <w:color w:val="auto"/>
              </w:rPr>
            </w:pPr>
          </w:p>
        </w:tc>
        <w:tc>
          <w:tcPr>
            <w:tcW w:w="860" w:type="dxa"/>
            <w:vAlign w:val="bottom"/>
            <w:shd w:val="clear" w:color="auto" w:fill="003595"/>
          </w:tcPr>
          <w:p>
            <w:pPr>
              <w:jc w:val="right"/>
              <w:spacing w:after="0"/>
              <w:rPr>
                <w:sz w:val="20"/>
                <w:szCs w:val="20"/>
                <w:color w:val="auto"/>
              </w:rPr>
            </w:pPr>
            <w:r>
              <w:rPr>
                <w:rFonts w:ascii="Arial" w:cs="Arial" w:eastAsia="Arial" w:hAnsi="Arial"/>
                <w:sz w:val="14"/>
                <w:szCs w:val="14"/>
                <w:b w:val="1"/>
                <w:bCs w:val="1"/>
                <w:color w:val="FFFFFF"/>
              </w:rPr>
              <w:t>2025</w:t>
            </w:r>
          </w:p>
        </w:tc>
        <w:tc>
          <w:tcPr>
            <w:tcW w:w="540" w:type="dxa"/>
            <w:vAlign w:val="bottom"/>
            <w:shd w:val="clear" w:color="auto" w:fill="003595"/>
          </w:tcPr>
          <w:p>
            <w:pPr>
              <w:spacing w:after="0"/>
              <w:rPr>
                <w:sz w:val="21"/>
                <w:szCs w:val="21"/>
                <w:color w:val="auto"/>
              </w:rPr>
            </w:pPr>
          </w:p>
        </w:tc>
        <w:tc>
          <w:tcPr>
            <w:tcW w:w="100" w:type="dxa"/>
            <w:vAlign w:val="bottom"/>
            <w:shd w:val="clear" w:color="auto" w:fill="003595"/>
          </w:tcPr>
          <w:p>
            <w:pPr>
              <w:spacing w:after="0"/>
              <w:rPr>
                <w:sz w:val="21"/>
                <w:szCs w:val="21"/>
                <w:color w:val="auto"/>
              </w:rPr>
            </w:pPr>
          </w:p>
        </w:tc>
        <w:tc>
          <w:tcPr>
            <w:tcW w:w="880" w:type="dxa"/>
            <w:vAlign w:val="bottom"/>
            <w:shd w:val="clear" w:color="auto" w:fill="003595"/>
          </w:tcPr>
          <w:p>
            <w:pPr>
              <w:jc w:val="right"/>
              <w:spacing w:after="0"/>
              <w:rPr>
                <w:sz w:val="20"/>
                <w:szCs w:val="20"/>
                <w:color w:val="auto"/>
              </w:rPr>
            </w:pPr>
            <w:r>
              <w:rPr>
                <w:rFonts w:ascii="Arial" w:cs="Arial" w:eastAsia="Arial" w:hAnsi="Arial"/>
                <w:sz w:val="14"/>
                <w:szCs w:val="14"/>
                <w:b w:val="1"/>
                <w:bCs w:val="1"/>
                <w:color w:val="FFFFFF"/>
              </w:rPr>
              <w:t>2024</w:t>
            </w:r>
          </w:p>
        </w:tc>
        <w:tc>
          <w:tcPr>
            <w:tcW w:w="540" w:type="dxa"/>
            <w:vAlign w:val="bottom"/>
            <w:shd w:val="clear" w:color="auto" w:fill="003595"/>
          </w:tcPr>
          <w:p>
            <w:pPr>
              <w:spacing w:after="0"/>
              <w:rPr>
                <w:sz w:val="21"/>
                <w:szCs w:val="21"/>
                <w:color w:val="auto"/>
              </w:rPr>
            </w:pPr>
          </w:p>
        </w:tc>
      </w:tr>
      <w:tr>
        <w:trPr>
          <w:trHeight w:val="23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5"/>
        </w:trPr>
        <w:tc>
          <w:tcPr>
            <w:tcW w:w="8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(365.9)</w:t>
            </w:r>
          </w:p>
        </w:tc>
        <w:tc>
          <w:tcPr>
            <w:tcW w:w="100" w:type="dxa"/>
            <w:vAlign w:val="bottom"/>
          </w:tcPr>
          <w:p>
            <w:pPr>
              <w:spacing w:after="0"/>
              <w:rPr>
                <w:sz w:val="20"/>
                <w:szCs w:val="20"/>
                <w:color w:val="auto"/>
              </w:rPr>
            </w:pPr>
          </w:p>
        </w:tc>
        <w:tc>
          <w:tcPr>
            <w:tcW w:w="88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(127.3)</w:t>
            </w:r>
          </w:p>
        </w:tc>
      </w:tr>
      <w:tr>
        <w:trPr>
          <w:trHeight w:val="271"/>
        </w:trPr>
        <w:tc>
          <w:tcPr>
            <w:tcW w:w="8320" w:type="dxa"/>
            <w:vAlign w:val="bottom"/>
          </w:tcPr>
          <w:p>
            <w:pPr>
              <w:ind w:left="140"/>
              <w:spacing w:after="0"/>
              <w:rPr>
                <w:sz w:val="20"/>
                <w:szCs w:val="20"/>
                <w:color w:val="auto"/>
              </w:rPr>
            </w:pPr>
            <w:r>
              <w:rPr>
                <w:rFonts w:ascii="Arial" w:cs="Arial" w:eastAsia="Arial" w:hAnsi="Arial"/>
                <w:sz w:val="16"/>
                <w:szCs w:val="16"/>
                <w:color w:val="auto"/>
              </w:rPr>
              <w:t>Acquisition - amortization of intangible assets</w:t>
            </w:r>
            <w:r>
              <w:rPr>
                <w:rFonts w:ascii="Arial" w:cs="Arial" w:eastAsia="Arial" w:hAnsi="Arial"/>
                <w:sz w:val="21"/>
                <w:szCs w:val="21"/>
                <w:color w:val="auto"/>
                <w:vertAlign w:val="superscript"/>
              </w:rPr>
              <w:t>(1)</w:t>
            </w:r>
          </w:p>
        </w:tc>
        <w:tc>
          <w:tcPr>
            <w:tcW w:w="8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43"/>
        </w:trPr>
        <w:tc>
          <w:tcPr>
            <w:tcW w:w="8320" w:type="dxa"/>
            <w:vAlign w:val="bottom"/>
          </w:tcPr>
          <w:p>
            <w:pPr>
              <w:ind w:left="140"/>
              <w:spacing w:after="0"/>
              <w:rPr>
                <w:sz w:val="20"/>
                <w:szCs w:val="20"/>
                <w:color w:val="auto"/>
              </w:rPr>
            </w:pPr>
            <w:r>
              <w:rPr>
                <w:rFonts w:ascii="Arial" w:cs="Arial" w:eastAsia="Arial" w:hAnsi="Arial"/>
                <w:sz w:val="16"/>
                <w:szCs w:val="16"/>
                <w:color w:val="auto"/>
              </w:rPr>
              <w:t>Depreciation expense</w:t>
            </w:r>
            <w:r>
              <w:rPr>
                <w:rFonts w:ascii="Arial" w:cs="Arial" w:eastAsia="Arial" w:hAnsi="Arial"/>
                <w:sz w:val="21"/>
                <w:szCs w:val="21"/>
                <w:color w:val="auto"/>
                <w:vertAlign w:val="superscript"/>
              </w:rPr>
              <w:t>(2)</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43"/>
        </w:trPr>
        <w:tc>
          <w:tcPr>
            <w:tcW w:w="8320" w:type="dxa"/>
            <w:vAlign w:val="bottom"/>
          </w:tcPr>
          <w:p>
            <w:pPr>
              <w:ind w:left="140"/>
              <w:spacing w:after="0"/>
              <w:rPr>
                <w:sz w:val="20"/>
                <w:szCs w:val="20"/>
                <w:color w:val="auto"/>
              </w:rPr>
            </w:pPr>
            <w:r>
              <w:rPr>
                <w:rFonts w:ascii="Arial" w:cs="Arial" w:eastAsia="Arial" w:hAnsi="Arial"/>
                <w:sz w:val="16"/>
                <w:szCs w:val="16"/>
                <w:color w:val="auto"/>
              </w:rPr>
              <w:t>Goodwill and long-lived asset impairment</w:t>
            </w:r>
            <w:r>
              <w:rPr>
                <w:rFonts w:ascii="Arial" w:cs="Arial" w:eastAsia="Arial" w:hAnsi="Arial"/>
                <w:sz w:val="21"/>
                <w:szCs w:val="21"/>
                <w:color w:val="auto"/>
                <w:vertAlign w:val="superscript"/>
              </w:rPr>
              <w:t>(3)</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319.4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43"/>
        </w:trPr>
        <w:tc>
          <w:tcPr>
            <w:tcW w:w="8320" w:type="dxa"/>
            <w:vAlign w:val="bottom"/>
          </w:tcPr>
          <w:p>
            <w:pPr>
              <w:ind w:left="140"/>
              <w:spacing w:after="0"/>
              <w:rPr>
                <w:sz w:val="20"/>
                <w:szCs w:val="20"/>
                <w:color w:val="auto"/>
              </w:rPr>
            </w:pPr>
            <w:r>
              <w:rPr>
                <w:rFonts w:ascii="Arial" w:cs="Arial" w:eastAsia="Arial" w:hAnsi="Arial"/>
                <w:sz w:val="16"/>
                <w:szCs w:val="16"/>
                <w:color w:val="auto"/>
              </w:rPr>
              <w:t>Equity compensation</w:t>
            </w:r>
            <w:r>
              <w:rPr>
                <w:rFonts w:ascii="Arial" w:cs="Arial" w:eastAsia="Arial" w:hAnsi="Arial"/>
                <w:sz w:val="21"/>
                <w:szCs w:val="21"/>
                <w:color w:val="auto"/>
                <w:vertAlign w:val="superscript"/>
              </w:rPr>
              <w:t>(4)</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243"/>
        </w:trPr>
        <w:tc>
          <w:tcPr>
            <w:tcW w:w="8320" w:type="dxa"/>
            <w:vAlign w:val="bottom"/>
          </w:tcPr>
          <w:p>
            <w:pPr>
              <w:ind w:left="140"/>
              <w:spacing w:after="0"/>
              <w:rPr>
                <w:sz w:val="20"/>
                <w:szCs w:val="20"/>
                <w:color w:val="auto"/>
              </w:rPr>
            </w:pPr>
            <w:r>
              <w:rPr>
                <w:rFonts w:ascii="Arial" w:cs="Arial" w:eastAsia="Arial" w:hAnsi="Arial"/>
                <w:sz w:val="16"/>
                <w:szCs w:val="16"/>
                <w:color w:val="auto"/>
              </w:rPr>
              <w:t>Real estate optimization</w:t>
            </w:r>
            <w:r>
              <w:rPr>
                <w:rFonts w:ascii="Arial" w:cs="Arial" w:eastAsia="Arial" w:hAnsi="Arial"/>
                <w:sz w:val="21"/>
                <w:szCs w:val="21"/>
                <w:color w:val="auto"/>
                <w:vertAlign w:val="superscript"/>
              </w:rPr>
              <w:t>(5)</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43"/>
        </w:trPr>
        <w:tc>
          <w:tcPr>
            <w:tcW w:w="8320" w:type="dxa"/>
            <w:vAlign w:val="bottom"/>
          </w:tcPr>
          <w:p>
            <w:pPr>
              <w:ind w:left="140"/>
              <w:spacing w:after="0"/>
              <w:rPr>
                <w:sz w:val="20"/>
                <w:szCs w:val="20"/>
                <w:color w:val="auto"/>
              </w:rPr>
            </w:pPr>
            <w:r>
              <w:rPr>
                <w:rFonts w:ascii="Arial" w:cs="Arial" w:eastAsia="Arial" w:hAnsi="Arial"/>
                <w:sz w:val="16"/>
                <w:szCs w:val="16"/>
                <w:color w:val="auto"/>
              </w:rPr>
              <w:t>Transformation initiatives</w:t>
            </w:r>
            <w:r>
              <w:rPr>
                <w:rFonts w:ascii="Arial" w:cs="Arial" w:eastAsia="Arial" w:hAnsi="Arial"/>
                <w:sz w:val="21"/>
                <w:szCs w:val="21"/>
                <w:color w:val="auto"/>
                <w:vertAlign w:val="superscript"/>
              </w:rPr>
              <w:t>(6)</w:t>
            </w:r>
          </w:p>
        </w:tc>
        <w:tc>
          <w:tcPr>
            <w:tcW w:w="8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43"/>
        </w:trPr>
        <w:tc>
          <w:tcPr>
            <w:tcW w:w="8320" w:type="dxa"/>
            <w:vAlign w:val="bottom"/>
          </w:tcPr>
          <w:p>
            <w:pPr>
              <w:ind w:left="140"/>
              <w:spacing w:after="0"/>
              <w:rPr>
                <w:sz w:val="20"/>
                <w:szCs w:val="20"/>
                <w:color w:val="auto"/>
              </w:rPr>
            </w:pPr>
            <w:r>
              <w:rPr>
                <w:rFonts w:ascii="Arial" w:cs="Arial" w:eastAsia="Arial" w:hAnsi="Arial"/>
                <w:sz w:val="16"/>
                <w:szCs w:val="16"/>
                <w:color w:val="auto"/>
              </w:rPr>
              <w:t>Strategic realignment</w:t>
            </w:r>
            <w:r>
              <w:rPr>
                <w:rFonts w:ascii="Arial" w:cs="Arial" w:eastAsia="Arial" w:hAnsi="Arial"/>
                <w:sz w:val="21"/>
                <w:szCs w:val="21"/>
                <w:color w:val="auto"/>
                <w:vertAlign w:val="superscript"/>
              </w:rPr>
              <w:t>(7)</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320" w:type="dxa"/>
            <w:vAlign w:val="bottom"/>
          </w:tcPr>
          <w:p>
            <w:pPr>
              <w:ind w:left="140"/>
              <w:spacing w:after="0"/>
              <w:rPr>
                <w:sz w:val="20"/>
                <w:szCs w:val="20"/>
                <w:color w:val="auto"/>
              </w:rPr>
            </w:pPr>
            <w:r>
              <w:rPr>
                <w:rFonts w:ascii="Arial" w:cs="Arial" w:eastAsia="Arial" w:hAnsi="Arial"/>
                <w:sz w:val="16"/>
                <w:szCs w:val="16"/>
                <w:color w:val="auto"/>
              </w:rPr>
              <w:t>Legal settlements</w:t>
            </w:r>
            <w:r>
              <w:rPr>
                <w:rFonts w:ascii="Arial" w:cs="Arial" w:eastAsia="Arial" w:hAnsi="Arial"/>
                <w:sz w:val="21"/>
                <w:szCs w:val="21"/>
                <w:color w:val="auto"/>
                <w:vertAlign w:val="superscript"/>
              </w:rPr>
              <w:t>(8)</w:t>
            </w:r>
          </w:p>
        </w:tc>
        <w:tc>
          <w:tcPr>
            <w:tcW w:w="8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43"/>
        </w:trPr>
        <w:tc>
          <w:tcPr>
            <w:tcW w:w="8320" w:type="dxa"/>
            <w:vAlign w:val="bottom"/>
          </w:tcPr>
          <w:p>
            <w:pPr>
              <w:ind w:left="140"/>
              <w:spacing w:after="0"/>
              <w:rPr>
                <w:sz w:val="20"/>
                <w:szCs w:val="20"/>
                <w:color w:val="auto"/>
              </w:rPr>
            </w:pPr>
            <w:r>
              <w:rPr>
                <w:rFonts w:ascii="Arial" w:cs="Arial" w:eastAsia="Arial" w:hAnsi="Arial"/>
                <w:sz w:val="16"/>
                <w:szCs w:val="16"/>
                <w:color w:val="auto"/>
              </w:rPr>
              <w:t>Interest expense, net of interest income</w:t>
            </w:r>
            <w:r>
              <w:rPr>
                <w:rFonts w:ascii="Arial" w:cs="Arial" w:eastAsia="Arial" w:hAnsi="Arial"/>
                <w:sz w:val="21"/>
                <w:szCs w:val="21"/>
                <w:color w:val="auto"/>
                <w:vertAlign w:val="superscript"/>
              </w:rPr>
              <w:t>(9)</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8320" w:type="dxa"/>
            <w:vAlign w:val="bottom"/>
          </w:tcPr>
          <w:p>
            <w:pPr>
              <w:ind w:left="140"/>
              <w:spacing w:after="0"/>
              <w:rPr>
                <w:sz w:val="20"/>
                <w:szCs w:val="20"/>
                <w:color w:val="auto"/>
              </w:rPr>
            </w:pPr>
            <w:r>
              <w:rPr>
                <w:rFonts w:ascii="Arial" w:cs="Arial" w:eastAsia="Arial" w:hAnsi="Arial"/>
                <w:sz w:val="16"/>
                <w:szCs w:val="16"/>
                <w:color w:val="auto"/>
              </w:rPr>
              <w:t>Other adjustments</w:t>
            </w:r>
            <w:r>
              <w:rPr>
                <w:rFonts w:ascii="Arial" w:cs="Arial" w:eastAsia="Arial" w:hAnsi="Arial"/>
                <w:sz w:val="21"/>
                <w:szCs w:val="21"/>
                <w:color w:val="auto"/>
                <w:vertAlign w:val="superscript"/>
              </w:rPr>
              <w:t>(10)</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3"/>
        </w:trPr>
        <w:tc>
          <w:tcPr>
            <w:tcW w:w="8320" w:type="dxa"/>
            <w:vAlign w:val="bottom"/>
          </w:tcPr>
          <w:p>
            <w:pPr>
              <w:ind w:left="140"/>
              <w:spacing w:after="0"/>
              <w:rPr>
                <w:sz w:val="20"/>
                <w:szCs w:val="20"/>
                <w:color w:val="auto"/>
              </w:rPr>
            </w:pPr>
            <w:r>
              <w:rPr>
                <w:rFonts w:ascii="Arial" w:cs="Arial" w:eastAsia="Arial" w:hAnsi="Arial"/>
                <w:sz w:val="16"/>
                <w:szCs w:val="16"/>
                <w:color w:val="auto"/>
              </w:rPr>
              <w:t>Uncertain tax benefits</w:t>
            </w:r>
            <w:r>
              <w:rPr>
                <w:rFonts w:ascii="Arial" w:cs="Arial" w:eastAsia="Arial" w:hAnsi="Arial"/>
                <w:sz w:val="21"/>
                <w:szCs w:val="21"/>
                <w:color w:val="auto"/>
                <w:vertAlign w:val="superscript"/>
              </w:rPr>
              <w:t>(11)</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320" w:type="dxa"/>
            <w:vAlign w:val="bottom"/>
          </w:tcPr>
          <w:p>
            <w:pPr>
              <w:ind w:left="140"/>
              <w:spacing w:after="0" w:line="230" w:lineRule="exact"/>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(12)</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86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r>
      <w:tr>
        <w:trPr>
          <w:trHeight w:val="21"/>
        </w:trPr>
        <w:tc>
          <w:tcPr>
            <w:tcW w:w="8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460" w:hanging="434"/>
        <w:spacing w:after="0"/>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recurring amortization charges resulting from the acquisition of intangible assets.</w:t>
      </w:r>
    </w:p>
    <w:p>
      <w:pPr>
        <w:spacing w:after="0" w:line="68" w:lineRule="exact"/>
        <w:rPr>
          <w:rFonts w:ascii="Arial" w:cs="Arial" w:eastAsia="Arial" w:hAnsi="Arial"/>
          <w:sz w:val="14"/>
          <w:szCs w:val="14"/>
          <w:color w:val="auto"/>
        </w:rPr>
      </w:pPr>
    </w:p>
    <w:p>
      <w:pPr>
        <w:ind w:left="460" w:hanging="434"/>
        <w:spacing w:after="0"/>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Depreciation expense excludes depreciation included in real estate optimization of $1.6 million for the year ended December 31, 2024.</w:t>
      </w:r>
    </w:p>
    <w:p>
      <w:pPr>
        <w:spacing w:after="0" w:line="68" w:lineRule="exact"/>
        <w:rPr>
          <w:rFonts w:ascii="Arial" w:cs="Arial" w:eastAsia="Arial" w:hAnsi="Arial"/>
          <w:sz w:val="14"/>
          <w:szCs w:val="14"/>
          <w:color w:val="auto"/>
        </w:rPr>
      </w:pPr>
    </w:p>
    <w:p>
      <w:pPr>
        <w:jc w:val="both"/>
        <w:ind w:left="460" w:right="20" w:hanging="434"/>
        <w:spacing w:after="0" w:line="281" w:lineRule="auto"/>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Expense related to goodwill and long-lived asset impairment. For the year ended December 31, 2025, consists of $319.4 million of impairment expense primarily associated with our Mental Health and Women's Health reporting units and asset groups. For the year ended December 31, 2024, consists of $43.0 million of impairment expense for a GeneSight developed technology intangible asset and $13.8 million primarily related to the sale of the EndoPredict business to Eurobio Scientific.</w:t>
      </w:r>
    </w:p>
    <w:p>
      <w:pPr>
        <w:spacing w:after="0" w:line="1" w:lineRule="exact"/>
        <w:rPr>
          <w:rFonts w:ascii="Arial" w:cs="Arial" w:eastAsia="Arial" w:hAnsi="Arial"/>
          <w:sz w:val="14"/>
          <w:szCs w:val="14"/>
          <w:color w:val="auto"/>
        </w:rPr>
      </w:pPr>
    </w:p>
    <w:p>
      <w:pPr>
        <w:ind w:left="460" w:hanging="434"/>
        <w:spacing w:after="0"/>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the non-cash equity-based compensation provided to Myriad Genetics employees and directors.</w:t>
      </w:r>
    </w:p>
    <w:p>
      <w:pPr>
        <w:spacing w:after="0" w:line="68" w:lineRule="exact"/>
        <w:rPr>
          <w:rFonts w:ascii="Arial" w:cs="Arial" w:eastAsia="Arial" w:hAnsi="Arial"/>
          <w:sz w:val="14"/>
          <w:szCs w:val="14"/>
          <w:color w:val="auto"/>
        </w:rPr>
      </w:pPr>
    </w:p>
    <w:p>
      <w:pPr>
        <w:jc w:val="both"/>
        <w:ind w:left="460" w:right="20" w:hanging="434"/>
        <w:spacing w:after="0" w:line="267" w:lineRule="auto"/>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Costs related to real estate initiatives. For the year ended December 31, 2025, consists of additional rent as a result of the build-out of our new laboratories in Salt Lake City, Utah and South San Francisco, California, while maintaining our previous facilities in those locations. For the year ended December 31, 2024, includes additional rent as a result of the build-out of our new laboratories in Salt Lake City, Utah and South San Francisco, California, while maintaining our previous facilities in those locations, costs associated with the voluntary termination of a lease, testing and set-up costs for equipment in our new facilities, and impairment in connection with the ceased use of one of our facilities.</w:t>
      </w:r>
    </w:p>
    <w:p>
      <w:pPr>
        <w:spacing w:after="0" w:line="22" w:lineRule="exact"/>
        <w:rPr>
          <w:rFonts w:ascii="Arial" w:cs="Arial" w:eastAsia="Arial" w:hAnsi="Arial"/>
          <w:sz w:val="14"/>
          <w:szCs w:val="14"/>
          <w:color w:val="auto"/>
        </w:rPr>
      </w:pPr>
    </w:p>
    <w:p>
      <w:pPr>
        <w:ind w:left="460" w:hanging="434"/>
        <w:spacing w:after="0"/>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Costs related to transformation initiatives including consulting and professional fees for the year ended December 31, 2024.</w:t>
      </w:r>
    </w:p>
    <w:p>
      <w:pPr>
        <w:spacing w:after="0" w:line="68" w:lineRule="exact"/>
        <w:rPr>
          <w:rFonts w:ascii="Arial" w:cs="Arial" w:eastAsia="Arial" w:hAnsi="Arial"/>
          <w:sz w:val="14"/>
          <w:szCs w:val="14"/>
          <w:color w:val="auto"/>
        </w:rPr>
      </w:pPr>
    </w:p>
    <w:p>
      <w:pPr>
        <w:ind w:left="460" w:hanging="434"/>
        <w:spacing w:after="0"/>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Costs related to strategic realignment of the company including severance and consulting fees for the year ended December 31, 2025.</w:t>
      </w:r>
    </w:p>
    <w:p>
      <w:pPr>
        <w:spacing w:after="0" w:line="68" w:lineRule="exact"/>
        <w:rPr>
          <w:rFonts w:ascii="Arial" w:cs="Arial" w:eastAsia="Arial" w:hAnsi="Arial"/>
          <w:sz w:val="14"/>
          <w:szCs w:val="14"/>
          <w:color w:val="auto"/>
        </w:rPr>
      </w:pPr>
    </w:p>
    <w:p>
      <w:pPr>
        <w:ind w:left="460" w:right="20" w:hanging="434"/>
        <w:spacing w:after="0" w:line="301" w:lineRule="auto"/>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Costs related to one-time legal expenses. For the year ended December 31, 2024, primarily includes reversal of $21.3 million related to the contingent settlement for the Ravgen litigation that is no longer considered probable.</w:t>
      </w:r>
    </w:p>
    <w:p>
      <w:pPr>
        <w:spacing w:after="0" w:line="1" w:lineRule="exact"/>
        <w:rPr>
          <w:rFonts w:ascii="Arial" w:cs="Arial" w:eastAsia="Arial" w:hAnsi="Arial"/>
          <w:sz w:val="14"/>
          <w:szCs w:val="14"/>
          <w:color w:val="auto"/>
        </w:rPr>
      </w:pPr>
    </w:p>
    <w:p>
      <w:pPr>
        <w:ind w:left="460" w:hanging="434"/>
        <w:spacing w:after="0"/>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Derived from interest expense and interest income from the Condensed Consolidated Statements of Operations.</w:t>
      </w:r>
    </w:p>
    <w:p>
      <w:pPr>
        <w:spacing w:after="0" w:line="68" w:lineRule="exact"/>
        <w:rPr>
          <w:rFonts w:ascii="Arial" w:cs="Arial" w:eastAsia="Arial" w:hAnsi="Arial"/>
          <w:sz w:val="14"/>
          <w:szCs w:val="14"/>
          <w:color w:val="auto"/>
        </w:rPr>
      </w:pPr>
    </w:p>
    <w:p>
      <w:pPr>
        <w:ind w:left="460" w:right="20" w:hanging="434"/>
        <w:spacing w:after="0" w:line="301" w:lineRule="auto"/>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Other one-time non-recurring expenses. For purposes of adjusted EBITDA, this includes Other adjustments described in the Adjusted Net Income table above as well as the amounts reported as Other income (expense) in the Condensed Consolidated Statement of Operations.</w:t>
      </w:r>
    </w:p>
    <w:p>
      <w:pPr>
        <w:spacing w:after="0" w:line="1" w:lineRule="exact"/>
        <w:rPr>
          <w:rFonts w:ascii="Arial" w:cs="Arial" w:eastAsia="Arial" w:hAnsi="Arial"/>
          <w:sz w:val="14"/>
          <w:szCs w:val="14"/>
          <w:color w:val="auto"/>
        </w:rPr>
      </w:pPr>
    </w:p>
    <w:p>
      <w:pPr>
        <w:ind w:left="460" w:right="20" w:hanging="434"/>
        <w:spacing w:after="0" w:line="301" w:lineRule="auto"/>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the release of unrecognized tax benefits and the recognition of valuation allowances for the year ended December 31, 2025. The unrecognized tax benefits released were primarily related to tax years under Joint Committee on Taxation review, which upon conclusion of the review were remeasured or released.</w:t>
      </w:r>
    </w:p>
    <w:p>
      <w:pPr>
        <w:spacing w:after="0" w:line="1" w:lineRule="exact"/>
        <w:rPr>
          <w:rFonts w:ascii="Arial" w:cs="Arial" w:eastAsia="Arial" w:hAnsi="Arial"/>
          <w:sz w:val="14"/>
          <w:szCs w:val="14"/>
          <w:color w:val="auto"/>
        </w:rPr>
      </w:pPr>
    </w:p>
    <w:p>
      <w:pPr>
        <w:ind w:left="460" w:right="20" w:hanging="434"/>
        <w:spacing w:after="0" w:line="305" w:lineRule="auto"/>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Derived from income tax expense from the Condensed Consolidated Statement of Operations, net of the adjustment for unrecognized tax benefits described above in Note 11 above.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003595"/>
        </w:rPr>
        <w:t>Use of Non-GAAP Financial Measures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useful supplemental information to investors and facilitates the analysis of the Company's core operating results and comparison of operating results across reporting periods. We also use non-GAAP financial measures to establish budgets and to manage the Company's business. These non-GAAP financial measures are not in accordance with generally accepted accounting principles in the United States and should not be viewed in isolation or as a substitute for GAAP results.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25"/>
          <w:szCs w:val="25"/>
          <w:b w:val="1"/>
          <w:bCs w:val="1"/>
          <w:color w:val="003595"/>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90054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Amended And Restated 2012 Employee Stock Purchase Plan </w:t>
      </w:r>
      <w:r>
        <w:rPr>
          <w:rFonts w:ascii="Arial" w:cs="Arial" w:eastAsia="Arial" w:hAnsi="Arial"/>
          <w:sz w:val="20"/>
          <w:szCs w:val="20"/>
          <w:b w:val="1"/>
          <w:bCs w:val="1"/>
          <w:color w:val="0A2299"/>
        </w:rPr>
        <w:t>(as proposed to be amended on June 4, 2026)</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constitute the provisions of the Amended and Restated 2012 Employee Stock Purchase Plan (the “Plan”) of Myriad Genetics, Inc. (the “Company”).</w:t>
      </w:r>
    </w:p>
    <w:p>
      <w:pPr>
        <w:spacing w:after="0" w:line="169" w:lineRule="exact"/>
        <w:rPr>
          <w:sz w:val="20"/>
          <w:szCs w:val="20"/>
          <w:color w:val="auto"/>
        </w:rPr>
      </w:pPr>
    </w:p>
    <w:p>
      <w:pPr>
        <w:jc w:val="both"/>
        <w:ind w:firstLine="8"/>
        <w:spacing w:after="0" w:line="253" w:lineRule="auto"/>
        <w:tabs>
          <w:tab w:leader="none" w:pos="193"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to provide Employees of the Company and its Designated Subsidiaries with an opportunity to purchase Common Stock of the Company. It is the intention of the Company to have the Plan qualify as an “Employee Stock Purchase Plan” under Section 423 of the Code. The provisions of the Plan shall, accordingly, be construed so as to extend and limit participation in a manner consistent with the requirements of that section of the Code.</w:t>
      </w:r>
    </w:p>
    <w:p>
      <w:pPr>
        <w:spacing w:after="0" w:line="196" w:lineRule="exact"/>
        <w:rPr>
          <w:rFonts w:ascii="Arial" w:cs="Arial" w:eastAsia="Arial" w:hAnsi="Arial"/>
          <w:sz w:val="16"/>
          <w:szCs w:val="16"/>
          <w:color w:val="auto"/>
        </w:rPr>
      </w:pPr>
    </w:p>
    <w:p>
      <w:pPr>
        <w:ind w:left="180" w:hanging="172"/>
        <w:spacing w:after="0"/>
        <w:tabs>
          <w:tab w:leader="none" w:pos="18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48"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mean the Board of Directors of the Company, or a committee of the Board of Directors named by the Board to administer the Plan.</w:t>
      </w:r>
    </w:p>
    <w:p>
      <w:pPr>
        <w:spacing w:after="0" w:line="234" w:lineRule="exact"/>
        <w:rPr>
          <w:rFonts w:ascii="Arial" w:cs="Arial" w:eastAsia="Arial" w:hAnsi="Arial"/>
          <w:sz w:val="16"/>
          <w:szCs w:val="16"/>
          <w:color w:val="auto"/>
        </w:rPr>
      </w:pPr>
    </w:p>
    <w:p>
      <w:pPr>
        <w:ind w:left="260" w:hanging="252"/>
        <w:spacing w:after="0"/>
        <w:tabs>
          <w:tab w:leader="none" w:pos="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mean the Internal Revenue Code of 1986, as amended, including any successor statute, regulation and guidance thereto.</w:t>
      </w:r>
    </w:p>
    <w:p>
      <w:pPr>
        <w:spacing w:after="0" w:line="234" w:lineRule="exact"/>
        <w:rPr>
          <w:rFonts w:ascii="Arial" w:cs="Arial" w:eastAsia="Arial" w:hAnsi="Arial"/>
          <w:sz w:val="16"/>
          <w:szCs w:val="16"/>
          <w:color w:val="auto"/>
        </w:rPr>
      </w:pPr>
    </w:p>
    <w:p>
      <w:pPr>
        <w:ind w:left="240" w:hanging="232"/>
        <w:spacing w:after="0"/>
        <w:tabs>
          <w:tab w:leader="none" w:pos="2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shall mean the common stock, $.01 par value per share, of the Company.</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mean Myriad Genetics, Inc, a Delaware corporation.</w:t>
      </w:r>
    </w:p>
    <w:p>
      <w:pPr>
        <w:spacing w:after="0" w:line="234" w:lineRule="exact"/>
        <w:rPr>
          <w:rFonts w:ascii="Arial" w:cs="Arial" w:eastAsia="Arial" w:hAnsi="Arial"/>
          <w:sz w:val="16"/>
          <w:szCs w:val="16"/>
          <w:color w:val="auto"/>
        </w:rPr>
      </w:pPr>
    </w:p>
    <w:p>
      <w:pPr>
        <w:jc w:val="both"/>
        <w:ind w:firstLine="8"/>
        <w:spacing w:after="0" w:line="253" w:lineRule="auto"/>
        <w:tabs>
          <w:tab w:leader="none" w:pos="243"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shall mean the regular rate of salary or wages received by the Employee from the Company or a Designated Subsidiary that is taxable income for federal income tax purposes or applicable tax law, including payments for overtime and shift premium, but excluding bonuses, commissions, incentive compensation, incentive payments, relocation, expense reimbursements, tuition, or other reimbursements and any other compensation received from the Company or a Designated Subsidiary.</w:t>
      </w:r>
    </w:p>
    <w:p>
      <w:pPr>
        <w:spacing w:after="0" w:line="196" w:lineRule="exact"/>
        <w:rPr>
          <w:rFonts w:ascii="Arial" w:cs="Arial" w:eastAsia="Arial" w:hAnsi="Arial"/>
          <w:sz w:val="16"/>
          <w:szCs w:val="16"/>
          <w:color w:val="auto"/>
        </w:rPr>
      </w:pPr>
    </w:p>
    <w:p>
      <w:pPr>
        <w:jc w:val="both"/>
        <w:ind w:firstLine="8"/>
        <w:spacing w:after="0" w:line="257" w:lineRule="auto"/>
        <w:tabs>
          <w:tab w:leader="none" w:pos="211"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w:t>
      </w:r>
      <w:r>
        <w:rPr>
          <w:rFonts w:ascii="Arial" w:cs="Arial" w:eastAsia="Arial" w:hAnsi="Arial"/>
          <w:sz w:val="16"/>
          <w:szCs w:val="16"/>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191" w:lineRule="exact"/>
        <w:rPr>
          <w:rFonts w:ascii="Arial" w:cs="Arial" w:eastAsia="Arial" w:hAnsi="Arial"/>
          <w:sz w:val="16"/>
          <w:szCs w:val="16"/>
          <w:color w:val="auto"/>
        </w:rPr>
      </w:pPr>
    </w:p>
    <w:p>
      <w:pPr>
        <w:ind w:left="260" w:hanging="252"/>
        <w:spacing w:after="0"/>
        <w:tabs>
          <w:tab w:leader="none" w:pos="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Contributions</w:t>
      </w:r>
      <w:r>
        <w:rPr>
          <w:rFonts w:ascii="Arial" w:cs="Arial" w:eastAsia="Arial" w:hAnsi="Arial"/>
          <w:sz w:val="16"/>
          <w:szCs w:val="16"/>
          <w:color w:val="auto"/>
        </w:rPr>
        <w:t>” shall mean all amounts credited to the account of a participant pursuant to the Plan.</w:t>
      </w:r>
    </w:p>
    <w:p>
      <w:pPr>
        <w:spacing w:after="0" w:line="248" w:lineRule="exact"/>
        <w:rPr>
          <w:rFonts w:ascii="Arial" w:cs="Arial" w:eastAsia="Arial" w:hAnsi="Arial"/>
          <w:sz w:val="16"/>
          <w:szCs w:val="16"/>
          <w:color w:val="auto"/>
        </w:rPr>
      </w:pPr>
    </w:p>
    <w:p>
      <w:pPr>
        <w:ind w:right="20" w:firstLine="8"/>
        <w:spacing w:after="0" w:line="268" w:lineRule="auto"/>
        <w:tabs>
          <w:tab w:leader="none" w:pos="256"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Subsidiaries</w:t>
      </w:r>
      <w:r>
        <w:rPr>
          <w:rFonts w:ascii="Arial" w:cs="Arial" w:eastAsia="Arial" w:hAnsi="Arial"/>
          <w:sz w:val="16"/>
          <w:szCs w:val="16"/>
          <w:color w:val="auto"/>
        </w:rPr>
        <w:t>” shall mean the Subsidiaries which have been designated by the Board from time to time in its sole discretion as eligible to participate in the Plan.</w:t>
      </w:r>
    </w:p>
    <w:p>
      <w:pPr>
        <w:spacing w:after="0" w:line="196" w:lineRule="exact"/>
        <w:rPr>
          <w:rFonts w:ascii="Arial" w:cs="Arial" w:eastAsia="Arial" w:hAnsi="Arial"/>
          <w:sz w:val="16"/>
          <w:szCs w:val="16"/>
          <w:color w:val="auto"/>
        </w:rPr>
      </w:pPr>
    </w:p>
    <w:p>
      <w:pPr>
        <w:ind w:firstLine="8"/>
        <w:spacing w:after="0" w:line="268" w:lineRule="auto"/>
        <w:tabs>
          <w:tab w:leader="none" w:pos="202"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shall mean any person who is employed by the Company or one of its Designated Subsidiaries for tax purposes and who is customarily employed for at least 20 hours per week and more than five months in a calendar year by the Company or one of its Designated Subsidiaries.</w:t>
      </w:r>
    </w:p>
    <w:p>
      <w:pPr>
        <w:spacing w:after="0" w:line="196" w:lineRule="exact"/>
        <w:rPr>
          <w:rFonts w:ascii="Arial" w:cs="Arial" w:eastAsia="Arial" w:hAnsi="Arial"/>
          <w:sz w:val="16"/>
          <w:szCs w:val="16"/>
          <w:color w:val="auto"/>
        </w:rPr>
      </w:pPr>
    </w:p>
    <w:p>
      <w:pPr>
        <w:ind w:left="200" w:hanging="192"/>
        <w:spacing w:after="0"/>
        <w:tabs>
          <w:tab w:leader="none" w:pos="2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Date</w:t>
      </w:r>
      <w:r>
        <w:rPr>
          <w:rFonts w:ascii="Arial" w:cs="Arial" w:eastAsia="Arial" w:hAnsi="Arial"/>
          <w:sz w:val="16"/>
          <w:szCs w:val="16"/>
          <w:color w:val="auto"/>
        </w:rPr>
        <w:t>” shall mean the last business day of each Offering Period of the Plan.</w:t>
      </w:r>
    </w:p>
    <w:p>
      <w:pPr>
        <w:spacing w:after="0" w:line="234" w:lineRule="exact"/>
        <w:rPr>
          <w:rFonts w:ascii="Arial" w:cs="Arial" w:eastAsia="Arial" w:hAnsi="Arial"/>
          <w:sz w:val="16"/>
          <w:szCs w:val="16"/>
          <w:color w:val="auto"/>
        </w:rPr>
      </w:pPr>
    </w:p>
    <w:p>
      <w:pPr>
        <w:ind w:firstLine="8"/>
        <w:spacing w:after="0" w:line="268" w:lineRule="auto"/>
        <w:tabs>
          <w:tab w:leader="none" w:pos="234"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shall mean with respect to an Offering Period, an amount equal to 85% of the fair market value (as defined in paragraph 7(b)) of a share of Common Stock on the Offering Date or on the Exercise Date, whichever is lower.</w:t>
      </w:r>
    </w:p>
    <w:p>
      <w:pPr>
        <w:spacing w:after="0" w:line="196" w:lineRule="exact"/>
        <w:rPr>
          <w:rFonts w:ascii="Arial" w:cs="Arial" w:eastAsia="Arial" w:hAnsi="Arial"/>
          <w:sz w:val="16"/>
          <w:szCs w:val="16"/>
          <w:color w:val="auto"/>
        </w:rPr>
      </w:pPr>
    </w:p>
    <w:p>
      <w:pPr>
        <w:ind w:left="200" w:hanging="192"/>
        <w:spacing w:after="0"/>
        <w:tabs>
          <w:tab w:leader="none" w:pos="2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Date</w:t>
      </w:r>
      <w:r>
        <w:rPr>
          <w:rFonts w:ascii="Arial" w:cs="Arial" w:eastAsia="Arial" w:hAnsi="Arial"/>
          <w:sz w:val="16"/>
          <w:szCs w:val="16"/>
          <w:color w:val="auto"/>
        </w:rPr>
        <w:t>” shall mean the first business day of each Offering Period of the Plan.</w:t>
      </w:r>
    </w:p>
    <w:p>
      <w:pPr>
        <w:spacing w:after="0" w:line="234" w:lineRule="exact"/>
        <w:rPr>
          <w:rFonts w:ascii="Arial" w:cs="Arial" w:eastAsia="Arial" w:hAnsi="Arial"/>
          <w:sz w:val="16"/>
          <w:szCs w:val="16"/>
          <w:color w:val="auto"/>
        </w:rPr>
      </w:pPr>
    </w:p>
    <w:p>
      <w:pPr>
        <w:ind w:firstLine="8"/>
        <w:spacing w:after="0" w:line="286" w:lineRule="auto"/>
        <w:tabs>
          <w:tab w:leader="none" w:pos="3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shall mean a period of six months as set forth in paragraph 4 of the Plan (or such other period as determined by the Board in accordance with this Plan).</w:t>
      </w:r>
    </w:p>
    <w:p>
      <w:pPr>
        <w:spacing w:after="0" w:line="169" w:lineRule="exact"/>
        <w:rPr>
          <w:rFonts w:ascii="Arial" w:cs="Arial" w:eastAsia="Arial" w:hAnsi="Arial"/>
          <w:sz w:val="16"/>
          <w:szCs w:val="16"/>
          <w:color w:val="auto"/>
        </w:rPr>
      </w:pPr>
    </w:p>
    <w:p>
      <w:pPr>
        <w:ind w:left="260" w:hanging="252"/>
        <w:spacing w:after="0"/>
        <w:tabs>
          <w:tab w:leader="none" w:pos="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mean this Myriad Genetics, Inc. Amended and Restated 2012 Employee Stock Purchase Plan.</w:t>
      </w:r>
    </w:p>
    <w:p>
      <w:pPr>
        <w:spacing w:after="0" w:line="248" w:lineRule="exact"/>
        <w:rPr>
          <w:rFonts w:ascii="Arial" w:cs="Arial" w:eastAsia="Arial" w:hAnsi="Arial"/>
          <w:sz w:val="16"/>
          <w:szCs w:val="16"/>
          <w:color w:val="auto"/>
        </w:rPr>
      </w:pPr>
    </w:p>
    <w:p>
      <w:pPr>
        <w:ind w:right="20" w:firstLine="8"/>
        <w:spacing w:after="0" w:line="268" w:lineRule="auto"/>
        <w:tabs>
          <w:tab w:leader="none" w:pos="243"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83"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w:t>
      </w:r>
    </w:p>
    <w:p>
      <w:pPr>
        <w:spacing w:after="0" w:line="248" w:lineRule="exact"/>
        <w:rPr>
          <w:sz w:val="20"/>
          <w:szCs w:val="20"/>
          <w:color w:val="auto"/>
        </w:rPr>
      </w:pPr>
    </w:p>
    <w:p>
      <w:pPr>
        <w:jc w:val="both"/>
        <w:ind w:firstLine="8"/>
        <w:spacing w:after="0" w:line="248" w:lineRule="auto"/>
        <w:tabs>
          <w:tab w:leader="none" w:pos="246"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person who has been continuously employed as an Employee for three months as of the Offering Date of a given Offering Period shall be eligible to participate in such Offering Period under the Plan and further, subject to the requirements of paragraph 5(a) and the limitations imposed by Section 423(b) of the Code. All Employees granted options under the Plan with respect to any Offering Period will have the same rights and privileges except for any differences that may be permitted pursuant to Section 423.</w:t>
      </w:r>
    </w:p>
    <w:p>
      <w:pPr>
        <w:sectPr>
          <w:pgSz w:w="11900" w:h="16838" w:orient="portrait"/>
          <w:cols w:equalWidth="0" w:num="1">
            <w:col w:w="11240"/>
          </w:cols>
          <w:pgMar w:left="320" w:top="7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94" w:name="page95"/>
    <w:bookmarkEnd w:id="94"/>
    <w:p>
      <w:pPr>
        <w:jc w:val="both"/>
        <w:ind w:firstLine="8"/>
        <w:spacing w:after="0" w:line="242" w:lineRule="auto"/>
        <w:tabs>
          <w:tab w:leader="none" w:pos="24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or her rights to purchase stock under all employee stock purchase plans (described in Section 423 of the Code) of the Company and its Subsidiaries to accrue at a rate which exceeds $25,000 of fair market value of such stock as defined in paragraph 7(b) (determined at the time such option is granted) for each calendar year in which such option is outstanding at any time. This limitation shall be applied in accordance with Section 423(b)(8) of the Code. In addition, the maximum number of shares of Common Stock that may be purchased by any participant during an Offering Period shall be 5,000 shares of Common Stock. Any option granted under the Plan shall be deemed to be modified to the extent necessary to satisfy this paragraph 3(b).</w:t>
      </w:r>
    </w:p>
    <w:p>
      <w:pPr>
        <w:spacing w:after="0" w:line="207" w:lineRule="exact"/>
        <w:rPr>
          <w:sz w:val="20"/>
          <w:szCs w:val="20"/>
          <w:color w:val="auto"/>
        </w:rPr>
      </w:pPr>
    </w:p>
    <w:p>
      <w:pPr>
        <w:jc w:val="both"/>
        <w:ind w:firstLine="8"/>
        <w:spacing w:after="0" w:line="248" w:lineRule="auto"/>
        <w:tabs>
          <w:tab w:leader="none" w:pos="1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w:t>
      </w:r>
      <w:r>
        <w:rPr>
          <w:rFonts w:ascii="Arial" w:cs="Arial" w:eastAsia="Arial" w:hAnsi="Arial"/>
          <w:sz w:val="16"/>
          <w:szCs w:val="16"/>
          <w:u w:val="single" w:color="auto"/>
          <w:color w:val="auto"/>
        </w:rPr>
        <w:t>ffering Periods</w:t>
      </w:r>
      <w:r>
        <w:rPr>
          <w:rFonts w:ascii="Arial" w:cs="Arial" w:eastAsia="Arial" w:hAnsi="Arial"/>
          <w:sz w:val="16"/>
          <w:szCs w:val="16"/>
          <w:color w:val="auto"/>
        </w:rPr>
        <w:t>. The Plan shall be implemented by a series of Offering Periods, with a new Offering Period commencing on December 1 and June 1 of each year or the first business day thereafter (or at such other time or times as may be determined by the Board). The dates and provisions of separate Offering Periods under the Plan need not be identical, provided that the terms of participation are the same within any particular Offering Period except for any differences that may be permitted pursuant to Section 423 of the Code.</w:t>
      </w:r>
    </w:p>
    <w:p>
      <w:pPr>
        <w:spacing w:after="0" w:line="211" w:lineRule="exact"/>
        <w:rPr>
          <w:rFonts w:ascii="Arial" w:cs="Arial" w:eastAsia="Arial" w:hAnsi="Arial"/>
          <w:sz w:val="16"/>
          <w:szCs w:val="16"/>
          <w:color w:val="auto"/>
        </w:rPr>
      </w:pPr>
    </w:p>
    <w:p>
      <w:pPr>
        <w:ind w:left="180" w:hanging="172"/>
        <w:spacing w:after="0"/>
        <w:tabs>
          <w:tab w:leader="none" w:pos="18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w:t>
      </w:r>
    </w:p>
    <w:p>
      <w:pPr>
        <w:spacing w:after="0" w:line="235" w:lineRule="exact"/>
        <w:rPr>
          <w:sz w:val="20"/>
          <w:szCs w:val="20"/>
          <w:color w:val="auto"/>
        </w:rPr>
      </w:pPr>
    </w:p>
    <w:p>
      <w:pPr>
        <w:jc w:val="both"/>
        <w:ind w:firstLine="8"/>
        <w:spacing w:after="0" w:line="248" w:lineRule="auto"/>
        <w:tabs>
          <w:tab w:leader="none" w:pos="243"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an Enrollment Form provided by the Company and filing it with the Company or its designee prior to the applicable Offering Date, unless a later time for filing the Enrollment Form is set by the Board for all eligible Employees with respect to a given Offering Period. The Enrollment Form and its submission may be electronic as directed by the Company. The Enrollment Form shall set forth the percentage of the participant’s Compensation (which shall be not less than 1% and not more than 10%) to be paid as Contributions pursuant to the Plan.</w:t>
      </w:r>
    </w:p>
    <w:p>
      <w:pPr>
        <w:spacing w:after="0" w:line="211" w:lineRule="exact"/>
        <w:rPr>
          <w:rFonts w:ascii="Arial" w:cs="Arial" w:eastAsia="Arial" w:hAnsi="Arial"/>
          <w:sz w:val="16"/>
          <w:szCs w:val="16"/>
          <w:color w:val="auto"/>
        </w:rPr>
      </w:pPr>
    </w:p>
    <w:p>
      <w:pPr>
        <w:jc w:val="both"/>
        <w:ind w:firstLine="8"/>
        <w:spacing w:after="0" w:line="257" w:lineRule="auto"/>
        <w:tabs>
          <w:tab w:leader="none" w:pos="243" w:val="left"/>
        </w:tabs>
        <w:numPr>
          <w:ilvl w:val="0"/>
          <w:numId w:val="97"/>
        </w:numPr>
        <w:rPr>
          <w:rFonts w:ascii="Arial" w:cs="Arial" w:eastAsia="Arial" w:hAnsi="Arial"/>
          <w:sz w:val="16"/>
          <w:szCs w:val="16"/>
          <w:color w:val="auto"/>
        </w:rPr>
      </w:pPr>
      <w:r>
        <w:rPr>
          <w:rFonts w:ascii="Arial" w:cs="Arial" w:eastAsia="Arial" w:hAnsi="Arial"/>
          <w:sz w:val="16"/>
          <w:szCs w:val="16"/>
          <w:color w:val="auto"/>
        </w:rPr>
        <w:t>Payroll deductions shall commence with the first payroll following the Offering Date, unless a later time is set by the Board with respect to a given Offering Period, and shall end on the last payroll paid on or prior to the Exercise Date of the Offering Period to which the Enrollment Form is applicable, unless sooner terminated as provided in paragraph 10.</w:t>
      </w:r>
    </w:p>
    <w:p>
      <w:pPr>
        <w:spacing w:after="0" w:line="192" w:lineRule="exact"/>
        <w:rPr>
          <w:sz w:val="20"/>
          <w:szCs w:val="20"/>
          <w:color w:val="auto"/>
        </w:rPr>
      </w:pPr>
    </w:p>
    <w:p>
      <w:pPr>
        <w:ind w:left="180" w:hanging="172"/>
        <w:spacing w:after="0"/>
        <w:tabs>
          <w:tab w:leader="none" w:pos="180"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Method of Payment of Contributions</w:t>
      </w:r>
      <w:r>
        <w:rPr>
          <w:rFonts w:ascii="Arial" w:cs="Arial" w:eastAsia="Arial" w:hAnsi="Arial"/>
          <w:sz w:val="16"/>
          <w:szCs w:val="16"/>
          <w:color w:val="auto"/>
        </w:rPr>
        <w:t>.</w:t>
      </w:r>
    </w:p>
    <w:p>
      <w:pPr>
        <w:spacing w:after="0" w:line="248" w:lineRule="exact"/>
        <w:rPr>
          <w:sz w:val="20"/>
          <w:szCs w:val="20"/>
          <w:color w:val="auto"/>
        </w:rPr>
      </w:pPr>
    </w:p>
    <w:p>
      <w:pPr>
        <w:jc w:val="both"/>
        <w:ind w:firstLine="8"/>
        <w:spacing w:after="0" w:line="243" w:lineRule="auto"/>
        <w:tabs>
          <w:tab w:leader="none" w:pos="245"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participant shall elect to have payroll deductions made on each payroll during the Offering Period in an amount not less than 1% and not more than 10% of such participant’s Compensation on each such payroll (in whole percentage amounts); provided that the aggregate of such payroll deductions during the Offering Period shall not exceed 10% of the participant’s aggregate Compensation during said Offering Period (or such other percentage as the Board may establish from time to time before an Offering Date). All payroll deductions made by a participant shall be credited to his or her account under the Plan. A participant may not make any additional payments into such account.</w:t>
      </w:r>
    </w:p>
    <w:p>
      <w:pPr>
        <w:spacing w:after="0" w:line="216" w:lineRule="exact"/>
        <w:rPr>
          <w:rFonts w:ascii="Arial" w:cs="Arial" w:eastAsia="Arial" w:hAnsi="Arial"/>
          <w:sz w:val="16"/>
          <w:szCs w:val="16"/>
          <w:color w:val="auto"/>
        </w:rPr>
      </w:pPr>
    </w:p>
    <w:p>
      <w:pPr>
        <w:jc w:val="both"/>
        <w:ind w:firstLine="8"/>
        <w:spacing w:after="0" w:line="247" w:lineRule="auto"/>
        <w:tabs>
          <w:tab w:leader="none" w:pos="252"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paragraph 10, or, on one occasion only during the Offering Period, may decrease, but may not increase, the rate of his or her Contributions during the Offering Period by completing and filing with the Company a new Enrollment Form authorizing a change in the deduction rate. The change in rate shall be effective as of the beginning of the next payroll period following the date of filing of the new Enrollment Form, if the Enrollment Form is completed at least ten business days prior to such date, and, if not, as of the beginning of the next succeeding payroll period.</w:t>
      </w:r>
    </w:p>
    <w:p>
      <w:pPr>
        <w:spacing w:after="0" w:line="200" w:lineRule="exact"/>
        <w:rPr>
          <w:rFonts w:ascii="Arial" w:cs="Arial" w:eastAsia="Arial" w:hAnsi="Arial"/>
          <w:sz w:val="16"/>
          <w:szCs w:val="16"/>
          <w:color w:val="auto"/>
        </w:rPr>
      </w:pPr>
    </w:p>
    <w:p>
      <w:pPr>
        <w:jc w:val="both"/>
        <w:ind w:firstLine="8"/>
        <w:spacing w:after="0" w:line="247" w:lineRule="auto"/>
        <w:tabs>
          <w:tab w:leader="none" w:pos="272"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paragraph 3(b),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equals $21,250. Payroll deductions shall recommence at the rate provided in such participant’s Enrollment Form at the beginning of the first Offering Period which is scheduled to end in the following calendar year, unless terminated by the participant as provided in paragraph 10.</w:t>
      </w:r>
    </w:p>
    <w:p>
      <w:pPr>
        <w:spacing w:after="0" w:line="201" w:lineRule="exact"/>
        <w:rPr>
          <w:sz w:val="20"/>
          <w:szCs w:val="20"/>
          <w:color w:val="auto"/>
        </w:rPr>
      </w:pPr>
    </w:p>
    <w:p>
      <w:pPr>
        <w:ind w:left="180" w:hanging="172"/>
        <w:spacing w:after="0"/>
        <w:tabs>
          <w:tab w:leader="none" w:pos="18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w:t>
      </w:r>
    </w:p>
    <w:p>
      <w:pPr>
        <w:spacing w:after="0" w:line="248" w:lineRule="exact"/>
        <w:rPr>
          <w:sz w:val="20"/>
          <w:szCs w:val="20"/>
          <w:color w:val="auto"/>
        </w:rPr>
      </w:pPr>
    </w:p>
    <w:p>
      <w:pPr>
        <w:jc w:val="both"/>
        <w:ind w:firstLine="8"/>
        <w:spacing w:after="0" w:line="243" w:lineRule="auto"/>
        <w:tabs>
          <w:tab w:leader="none" w:pos="24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On the Offering Date of each Offering Period, each eligible Employee participating in such Offering Period shall be granted an option to purchase on the Exercise Date of such Offering Period a number of shares of the Common Stock determined by dividing such Employee’s Contributions accumulated prior to such Exercise Date and retained in the participant’s account as of the Exercise Date by the applicable Exercise Price; provided however, that such purchase shall be subject to the limitations set forth in paragraphs 3(b) and 12. The fair market value of a share of the Common Stock shall be determined as provided in paragraph 7(b).</w:t>
      </w:r>
    </w:p>
    <w:p>
      <w:pPr>
        <w:spacing w:after="0" w:line="216" w:lineRule="exact"/>
        <w:rPr>
          <w:rFonts w:ascii="Arial" w:cs="Arial" w:eastAsia="Arial" w:hAnsi="Arial"/>
          <w:sz w:val="16"/>
          <w:szCs w:val="16"/>
          <w:color w:val="auto"/>
        </w:rPr>
      </w:pPr>
    </w:p>
    <w:p>
      <w:pPr>
        <w:jc w:val="both"/>
        <w:ind w:firstLine="8"/>
        <w:spacing w:after="0" w:line="247" w:lineRule="auto"/>
        <w:tabs>
          <w:tab w:leader="none" w:pos="24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fair market value of the Common Stock on a given date shall be (i) if the Common Stock is listed on a national securities exchange or traded in the over-the-counter market and sales prices are regularly reported for the Common Stock, the closing or last sale price of the Common Stock for such date (or, in the event that the Common Stock is not traded on such date, on the immediately preceding trading date), on the composite tape or other comparable reporting system; or (ii) if the Common Stock is not listed on a national securities exchange and such price is not regularly reported, the mean between the bid and asked prices per share of the Common Stock at the close of trading in the over-the-counter market.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5" w:name="page96"/>
    <w:bookmarkEnd w:id="95"/>
    <w:p>
      <w:pPr>
        <w:jc w:val="both"/>
        <w:ind w:left="-8" w:firstLine="8"/>
        <w:spacing w:after="0" w:line="243" w:lineRule="auto"/>
        <w:tabs>
          <w:tab w:leader="none" w:pos="199"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Unless a participant withdraws from the Plan as provided in paragraph 10, his or her option for the purchase of shares will be exercised automatically on the Exercise Date of the Offering Period, and the maximum number of full shares subject to the option will be purchased for him or her at the applicable Exercise Price with the accumulated Contributions in his or her account. If a fractional number of shares results, then such number shall be rounded down to the next whole number and any unapplied cash shall be carried forward to the next Exercise Date, unless the participant requests a cash payment. The shares purchased upon exercise of an option hereunder shall be deemed to be transferred to the participant on the Exercise Date. During a participant’s lifetime, a participant’s option to purchase shares hereunder is exercisable only by him or her.</w:t>
      </w:r>
    </w:p>
    <w:p>
      <w:pPr>
        <w:spacing w:after="0" w:line="218" w:lineRule="exact"/>
        <w:rPr>
          <w:rFonts w:ascii="Arial" w:cs="Arial" w:eastAsia="Arial" w:hAnsi="Arial"/>
          <w:sz w:val="16"/>
          <w:szCs w:val="16"/>
          <w:color w:val="auto"/>
        </w:rPr>
      </w:pPr>
    </w:p>
    <w:p>
      <w:pPr>
        <w:jc w:val="both"/>
        <w:ind w:left="-8" w:firstLine="8"/>
        <w:spacing w:after="0" w:line="243" w:lineRule="auto"/>
        <w:tabs>
          <w:tab w:leader="none" w:pos="17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Delivery</w:t>
      </w:r>
      <w:r>
        <w:rPr>
          <w:rFonts w:ascii="Arial" w:cs="Arial" w:eastAsia="Arial" w:hAnsi="Arial"/>
          <w:sz w:val="16"/>
          <w:szCs w:val="16"/>
          <w:color w:val="auto"/>
        </w:rPr>
        <w:t>. Upon the written request of a participant, certificates representing the shares purchased upon exercise of an option will be issued as promptly as practicable after the Exercise Date of each Offering Period to participants who wish to hold their shares in certificate form, except that the Board may determine that such shares shall be held for each participant’s benefit by a broker designated by the Board. Any payroll deductions accumulated in a participant’s account which are not sufficient to purchase a full Share shall be retained in the participant’s account for the subsequent Offering Period, subject to earlier withdrawal by the participant as provided in paragraph 10 below. Any other amounts left over in a participant’s account after an Exercise Date shall be returned to the participant.</w:t>
      </w:r>
    </w:p>
    <w:p>
      <w:pPr>
        <w:spacing w:after="0" w:line="205" w:lineRule="exact"/>
        <w:rPr>
          <w:rFonts w:ascii="Arial" w:cs="Arial" w:eastAsia="Arial" w:hAnsi="Arial"/>
          <w:sz w:val="16"/>
          <w:szCs w:val="16"/>
          <w:color w:val="auto"/>
        </w:rPr>
      </w:pPr>
    </w:p>
    <w:p>
      <w:pPr>
        <w:ind w:left="272" w:hanging="272"/>
        <w:spacing w:after="0"/>
        <w:tabs>
          <w:tab w:leader="none" w:pos="27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Withdrawal; Termination of Employment</w:t>
      </w:r>
      <w:r>
        <w:rPr>
          <w:rFonts w:ascii="Arial" w:cs="Arial" w:eastAsia="Arial" w:hAnsi="Arial"/>
          <w:sz w:val="16"/>
          <w:szCs w:val="16"/>
          <w:color w:val="auto"/>
        </w:rPr>
        <w:t>.</w:t>
      </w:r>
    </w:p>
    <w:p>
      <w:pPr>
        <w:spacing w:after="0" w:line="248" w:lineRule="exact"/>
        <w:rPr>
          <w:sz w:val="20"/>
          <w:szCs w:val="20"/>
          <w:color w:val="auto"/>
        </w:rPr>
      </w:pPr>
    </w:p>
    <w:p>
      <w:pPr>
        <w:jc w:val="both"/>
        <w:ind w:left="-8" w:firstLine="8"/>
        <w:spacing w:after="0" w:line="248" w:lineRule="auto"/>
        <w:tabs>
          <w:tab w:leader="none" w:pos="2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participant may withdraw all but not less than all the Contributions credited to his or her account under the Plan at any time prior to the Exercise Date of the Offering Period by giving written notice to the Company or its designee. All of the participant’s Contributions credited to his or her account will be paid to him or her as soon as practicable after receipt of his or her notice of withdrawal and his or her option for the current period will be automatically terminated, and no further Contributions for the purchase of shares will be made during the Offering Period.</w:t>
      </w:r>
    </w:p>
    <w:p>
      <w:pPr>
        <w:spacing w:after="0" w:line="198" w:lineRule="exact"/>
        <w:rPr>
          <w:rFonts w:ascii="Arial" w:cs="Arial" w:eastAsia="Arial" w:hAnsi="Arial"/>
          <w:sz w:val="16"/>
          <w:szCs w:val="16"/>
          <w:color w:val="auto"/>
        </w:rPr>
      </w:pPr>
    </w:p>
    <w:p>
      <w:pPr>
        <w:jc w:val="both"/>
        <w:ind w:left="-8" w:firstLine="8"/>
        <w:spacing w:after="0" w:line="257" w:lineRule="auto"/>
        <w:tabs>
          <w:tab w:leader="none" w:pos="25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Upon termination of the participant’s Continuous Status as an Employee prior to the Exercise Date of the Offering Period for any reason, including retirement or death, the Contributions credited to his or her account will be returned to him or her or, in the case of his or her death, to the person or persons entitled thereto under paragraph 14, and his or her option will be automatically terminated.</w:t>
      </w:r>
    </w:p>
    <w:p>
      <w:pPr>
        <w:spacing w:after="0" w:line="205" w:lineRule="exact"/>
        <w:rPr>
          <w:rFonts w:ascii="Arial" w:cs="Arial" w:eastAsia="Arial" w:hAnsi="Arial"/>
          <w:sz w:val="16"/>
          <w:szCs w:val="16"/>
          <w:color w:val="auto"/>
        </w:rPr>
      </w:pPr>
    </w:p>
    <w:p>
      <w:pPr>
        <w:jc w:val="both"/>
        <w:ind w:left="-8" w:firstLine="8"/>
        <w:spacing w:after="0" w:line="257" w:lineRule="auto"/>
        <w:tabs>
          <w:tab w:leader="none" w:pos="23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the event an Employee fails to remain in Continuous Status as an Employee for at least 20 hours per week during the Offering Period in which the Employee is a participant, he or she will be deemed to have elected to withdraw from the Plan and the Contributions credited to his or her account will be returned to him or her and his or her option terminated.</w:t>
      </w:r>
    </w:p>
    <w:p>
      <w:pPr>
        <w:spacing w:after="0" w:line="191" w:lineRule="exact"/>
        <w:rPr>
          <w:rFonts w:ascii="Arial" w:cs="Arial" w:eastAsia="Arial" w:hAnsi="Arial"/>
          <w:sz w:val="16"/>
          <w:szCs w:val="16"/>
          <w:color w:val="auto"/>
        </w:rPr>
      </w:pPr>
    </w:p>
    <w:p>
      <w:pPr>
        <w:ind w:left="-8" w:firstLine="8"/>
        <w:spacing w:after="0" w:line="286" w:lineRule="auto"/>
        <w:tabs>
          <w:tab w:leader="none" w:pos="23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participant’s withdrawal from an Offering Period will not have any effect upon his or her eligibility to participate in a succeeding offering or in any similar plan which may hereafter be adopted by the Company.</w:t>
      </w:r>
    </w:p>
    <w:p>
      <w:pPr>
        <w:spacing w:after="0" w:line="169" w:lineRule="exact"/>
        <w:rPr>
          <w:sz w:val="20"/>
          <w:szCs w:val="20"/>
          <w:color w:val="auto"/>
        </w:rPr>
      </w:pPr>
    </w:p>
    <w:p>
      <w:pPr>
        <w:ind w:left="252" w:hanging="252"/>
        <w:spacing w:after="0"/>
        <w:tabs>
          <w:tab w:leader="none" w:pos="252"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No interest shall accrue on the Contributions of a participant in the Plan.</w:t>
      </w:r>
    </w:p>
    <w:p>
      <w:pPr>
        <w:spacing w:after="0" w:line="234" w:lineRule="exact"/>
        <w:rPr>
          <w:rFonts w:ascii="Arial" w:cs="Arial" w:eastAsia="Arial" w:hAnsi="Arial"/>
          <w:sz w:val="16"/>
          <w:szCs w:val="16"/>
          <w:color w:val="auto"/>
        </w:rPr>
      </w:pPr>
    </w:p>
    <w:p>
      <w:pPr>
        <w:ind w:left="272" w:hanging="272"/>
        <w:spacing w:after="0"/>
        <w:tabs>
          <w:tab w:leader="none" w:pos="272"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w:t>
      </w:r>
    </w:p>
    <w:p>
      <w:pPr>
        <w:spacing w:after="0" w:line="248" w:lineRule="exact"/>
        <w:rPr>
          <w:sz w:val="20"/>
          <w:szCs w:val="20"/>
          <w:color w:val="auto"/>
        </w:rPr>
      </w:pPr>
    </w:p>
    <w:p>
      <w:pPr>
        <w:jc w:val="both"/>
        <w:ind w:left="-8" w:firstLine="8"/>
        <w:spacing w:after="0" w:line="232" w:lineRule="auto"/>
        <w:tabs>
          <w:tab w:leader="none" w:pos="2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maximum number of shares of Common Stock which shall be made available for sale under the Plan as amended and restated shall be 4,000,000</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shares, subject to adjustment upon changes in capitalization of the Company as provided in paragraph 18. If the total number of shares which would otherwise be subject to options granted pursuant to paragraph 7(a) on the Offering Date of an Offering Period exceeds the number of shares then available under the Plan (after deduction of all shares for which options have been exercised), the Company shall make a pro rata allocation of the shares remaining available for option grants in as uniform a manner as shall be practicable and as it shall determine to be equitable. Any amounts remaining in an Employee’s account not applied to the purchase of shares pursuant to this paragraph 12 shall be refunded on or promptly after the Exercise Date. In such event, the Company shall give written notice of such reduction of the number of shares subject to the option to each Employee affected thereby and shall similarly reduce the rate of Contributions, if necessary.</w:t>
      </w:r>
    </w:p>
    <w:p>
      <w:pPr>
        <w:spacing w:after="0" w:line="209" w:lineRule="exact"/>
        <w:rPr>
          <w:rFonts w:ascii="Arial" w:cs="Arial" w:eastAsia="Arial" w:hAnsi="Arial"/>
          <w:sz w:val="16"/>
          <w:szCs w:val="16"/>
          <w:color w:val="auto"/>
        </w:rPr>
      </w:pPr>
    </w:p>
    <w:p>
      <w:pPr>
        <w:ind w:left="252" w:hanging="252"/>
        <w:spacing w:after="0"/>
        <w:tabs>
          <w:tab w:leader="none" w:pos="25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participant will have no interest or voting right in shares covered by his or her option until such option has been exercised.</w:t>
      </w:r>
    </w:p>
    <w:p>
      <w:pPr>
        <w:spacing w:after="0" w:line="248" w:lineRule="exact"/>
        <w:rPr>
          <w:sz w:val="20"/>
          <w:szCs w:val="20"/>
          <w:color w:val="auto"/>
        </w:rPr>
      </w:pPr>
    </w:p>
    <w:p>
      <w:pPr>
        <w:jc w:val="both"/>
        <w:ind w:left="-8" w:firstLine="8"/>
        <w:spacing w:after="0" w:line="247" w:lineRule="auto"/>
        <w:tabs>
          <w:tab w:leader="none" w:pos="262"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Board shall supervise and administer the Plan and shall have full power to adopt, amend and rescind any rules deemed desirable and appropriate for the administration of the Plan and not inconsistent with the Plan, to construe and interpret the Plan, to correct any defect or supply any omission or reconcile any inconsistency or ambiguity in the Plan and to make all other determinations necessary or advisable for the administration of the Plan, including without limitation, adopting subplans applicable to particular Designated Subsidiaries or locations, which subplans may be designed to be outside the scope of Section 423 of the Code.</w:t>
      </w:r>
    </w:p>
    <w:p>
      <w:pPr>
        <w:spacing w:after="0" w:line="200" w:lineRule="exact"/>
        <w:rPr>
          <w:rFonts w:ascii="Arial" w:cs="Arial" w:eastAsia="Arial" w:hAnsi="Arial"/>
          <w:sz w:val="16"/>
          <w:szCs w:val="16"/>
          <w:color w:val="auto"/>
        </w:rPr>
      </w:pPr>
    </w:p>
    <w:p>
      <w:pPr>
        <w:ind w:left="272" w:hanging="272"/>
        <w:spacing w:after="0"/>
        <w:tabs>
          <w:tab w:leader="none" w:pos="272"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w:t>
      </w:r>
    </w:p>
    <w:p>
      <w:pPr>
        <w:spacing w:after="0" w:line="235" w:lineRule="exact"/>
        <w:rPr>
          <w:sz w:val="20"/>
          <w:szCs w:val="20"/>
          <w:color w:val="auto"/>
        </w:rPr>
      </w:pPr>
    </w:p>
    <w:p>
      <w:pPr>
        <w:jc w:val="both"/>
        <w:ind w:left="-8" w:firstLine="8"/>
        <w:spacing w:after="0" w:line="247" w:lineRule="auto"/>
        <w:tabs>
          <w:tab w:leader="none" w:pos="2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participant may designate a beneficiary who is to receive any shares and cash, if any, from the participant’s account under the Plan in the event of such participant’s death subsequent to the end of the Offering Period but prior to delivery to him or her of such shares and cash. In addition, a participant may designate a beneficiary who is to receive any cash from the participant’s account under the Plan in the event of such participant’s death prior to the Exercise Date of the Offering Period. If a participant is married and the designated beneficiary is not the spouse, spousal consent shall be required for such designation to be effective. Beneficiary designations shall be made either in writing or by electronic delivery as directed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1714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2" w:hanging="72"/>
        <w:spacing w:after="0"/>
        <w:tabs>
          <w:tab w:leader="none" w:pos="72" w:val="left"/>
        </w:tabs>
        <w:numPr>
          <w:ilvl w:val="0"/>
          <w:numId w:val="108"/>
        </w:numPr>
        <w:rPr>
          <w:rFonts w:ascii="Arial" w:cs="Arial" w:eastAsia="Arial" w:hAnsi="Arial"/>
          <w:sz w:val="16"/>
          <w:szCs w:val="16"/>
          <w:color w:val="auto"/>
          <w:vertAlign w:val="superscript"/>
        </w:rPr>
      </w:pPr>
      <w:r>
        <w:rPr>
          <w:rFonts w:ascii="Arial" w:cs="Arial" w:eastAsia="Arial" w:hAnsi="Arial"/>
          <w:sz w:val="13"/>
          <w:szCs w:val="13"/>
          <w:color w:val="auto"/>
        </w:rPr>
        <w:t>The amendment to authorize an additional 4 million shares of Common Stock will not be effective until stockholder approval is obtained.</w:t>
      </w:r>
    </w:p>
    <w:p>
      <w:pPr>
        <w:sectPr>
          <w:pgSz w:w="11900" w:h="16838" w:orient="portrait"/>
          <w:cols w:equalWidth="0" w:num="1">
            <w:col w:w="11232"/>
          </w:cols>
          <w:pgMar w:left="328" w:top="760"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60" w:right="339" w:bottom="1440" w:gutter="0" w:footer="0" w:header="0"/>
          <w:type w:val="continuous"/>
        </w:sectPr>
      </w:pPr>
    </w:p>
    <w:bookmarkStart w:id="96" w:name="page97"/>
    <w:bookmarkEnd w:id="96"/>
    <w:p>
      <w:pPr>
        <w:jc w:val="both"/>
        <w:ind w:firstLine="8"/>
        <w:spacing w:after="0" w:line="243" w:lineRule="auto"/>
        <w:tabs>
          <w:tab w:leader="none" w:pos="24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(and his or her spouse, if any) at any time by submission of the required notice, which may be electronic.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219" w:lineRule="exact"/>
        <w:rPr>
          <w:sz w:val="20"/>
          <w:szCs w:val="20"/>
          <w:color w:val="auto"/>
        </w:rPr>
      </w:pPr>
    </w:p>
    <w:p>
      <w:pPr>
        <w:jc w:val="both"/>
        <w:ind w:right="20" w:firstLine="8"/>
        <w:spacing w:after="0" w:line="248" w:lineRule="auto"/>
        <w:tabs>
          <w:tab w:leader="none" w:pos="27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Neither Contributions credited to a participant’s account nor any rights with regard to the exercise of an option or to receive shares under the Plan may be assigned, transferred, pledged or otherwise disposed of in any way (other than by will, the laws of descent and distribution or as provided in paragraph 14) by the participant. Any such attempt at assignment, transfer, pledge or other disposition shall be without effect, except that the Company may treat such act as an election to withdraw funds in accordance with paragraph 10.</w:t>
      </w:r>
    </w:p>
    <w:p>
      <w:pPr>
        <w:spacing w:after="0" w:line="198" w:lineRule="exact"/>
        <w:rPr>
          <w:rFonts w:ascii="Arial" w:cs="Arial" w:eastAsia="Arial" w:hAnsi="Arial"/>
          <w:sz w:val="16"/>
          <w:szCs w:val="16"/>
          <w:color w:val="auto"/>
        </w:rPr>
      </w:pPr>
    </w:p>
    <w:p>
      <w:pPr>
        <w:ind w:firstLine="8"/>
        <w:spacing w:after="0" w:line="286" w:lineRule="auto"/>
        <w:tabs>
          <w:tab w:leader="none" w:pos="284"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Use of Funds</w:t>
      </w:r>
      <w:r>
        <w:rPr>
          <w:rFonts w:ascii="Arial" w:cs="Arial" w:eastAsia="Arial" w:hAnsi="Arial"/>
          <w:sz w:val="16"/>
          <w:szCs w:val="16"/>
          <w:color w:val="auto"/>
        </w:rPr>
        <w:t>. All Contributions received or held by the Company under the Plan may be used by the Company for any corporate purpose, and the Company shall not be obligated to segregate such Contributions.</w:t>
      </w:r>
    </w:p>
    <w:p>
      <w:pPr>
        <w:spacing w:after="0" w:line="169" w:lineRule="exact"/>
        <w:rPr>
          <w:rFonts w:ascii="Arial" w:cs="Arial" w:eastAsia="Arial" w:hAnsi="Arial"/>
          <w:sz w:val="16"/>
          <w:szCs w:val="16"/>
          <w:color w:val="auto"/>
        </w:rPr>
      </w:pPr>
    </w:p>
    <w:p>
      <w:pPr>
        <w:jc w:val="both"/>
        <w:ind w:firstLine="8"/>
        <w:spacing w:after="0" w:line="257" w:lineRule="auto"/>
        <w:tabs>
          <w:tab w:leader="none" w:pos="27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Reports</w:t>
      </w:r>
      <w:r>
        <w:rPr>
          <w:rFonts w:ascii="Arial" w:cs="Arial" w:eastAsia="Arial" w:hAnsi="Arial"/>
          <w:sz w:val="16"/>
          <w:szCs w:val="16"/>
          <w:color w:val="auto"/>
        </w:rPr>
        <w:t>. Individual accounts will be maintained for each participant in the Plan. Statements of account will be given to participating Employees promptly following the Exercise Date, which statements will set forth the amounts of Contributions, the per share purchase price, the number of shares purchased and the remaining cash balance, if any.</w:t>
      </w:r>
    </w:p>
    <w:p>
      <w:pPr>
        <w:spacing w:after="0" w:line="205" w:lineRule="exact"/>
        <w:rPr>
          <w:rFonts w:ascii="Arial" w:cs="Arial" w:eastAsia="Arial" w:hAnsi="Arial"/>
          <w:sz w:val="16"/>
          <w:szCs w:val="16"/>
          <w:color w:val="auto"/>
        </w:rPr>
      </w:pPr>
    </w:p>
    <w:p>
      <w:pPr>
        <w:jc w:val="both"/>
        <w:ind w:firstLine="8"/>
        <w:spacing w:after="0" w:line="241" w:lineRule="auto"/>
        <w:tabs>
          <w:tab w:leader="none" w:pos="284"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stockholders of the Company, the number of shares of Common Stock covered by unexercised options under the Plan and the number of shares of Common Stock which have been authorized for issuance under the Plan but are not yet subject to options under paragraph 12(a), the number of shares of Common Stock set forth in paragraph 12(a)(i), (collectively, the “Reserves”), the maximum number of shares of Common Stock that may be purchased by a participant in an Offering Period set forth in paragraph 3(b)</w:t>
      </w:r>
      <w:r>
        <w:rPr>
          <w:rFonts w:ascii="Arial" w:cs="Arial" w:eastAsia="Arial" w:hAnsi="Arial"/>
          <w:sz w:val="16"/>
          <w:szCs w:val="16"/>
          <w:b w:val="1"/>
          <w:bCs w:val="1"/>
          <w:color w:val="auto"/>
        </w:rPr>
        <w:t>,</w:t>
      </w:r>
      <w:r>
        <w:rPr>
          <w:rFonts w:ascii="Arial" w:cs="Arial" w:eastAsia="Arial" w:hAnsi="Arial"/>
          <w:sz w:val="16"/>
          <w:szCs w:val="16"/>
          <w:color w:val="auto"/>
        </w:rPr>
        <w:t xml:space="preserve"> as well as the price per share of Common Stock covered by each unexercised option under the Plan, shall be proportionately adjusted for any increase or decrease in the number of issued shares of Common Stock resulting from a stock split, reverse stock split, stock dividend, combination or reclassification of the Common Stock. Such adjustment shall be made by the Board, whose determination in that respect shall be final, binding and conclusive.</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the event of the proposed dissolution or liquidation of the Company, an Offering Period then in progress will terminate immediately prior to the consummation of such proposed action, unless otherwise provided by the Board. In the event of a proposed sale of all or substantially all of the assets of the Company, or the merger, consolidation or other capital reorganization of the Company with or into another corporation, each option outstanding under the Plan shall be assumed or an equivalent option shall be substituted by such successor corporation or a parent or subsidiary of such successor corporation, unless the Board determines, in the exercise of its sole discretion and in lieu of such assumption or substitution, to shorten the Offering Period then in progress by setting a new Exercise Date (the “New Exercise Date”). If the Board shortens the Offering Period then in progress in lieu of assumption or substitution in the event of a merger or sale of assets, the Board shall notify each participant in writing, at least ten days prior to the New Exercise Date, that the Exercise Date for his or her option has been changed to the New Exercise Date and that his or her option will be exercised automatically on the New Exercise Date, unless prior to such date he or she has withdrawn from the Offering Period as provided in paragraph 10. For purposes of this paragraph, an option granted under the Plan shall be deemed to be assumed if, following the sale of assets, merger or other reorganization, the option confers the right to purchase, for each share of Common Stock subject to the option immediately prior to the sale of assets, merger or other reorganization, the consideration (whether stock, cash or other securities or property) received in the sale of assets, merger or other reorganization by holders of Common Stock for each share of Common Stock held on the effective date of such transaction (and if such holders were offered a choice of consideration, the type of consideration chosen by the holders of a majority of the outstanding shares of Common Stock); provided, however, that if such consideration received in such transaction was not solely common stock of the successor corporation or its parent (as defined in Section 424(e) of the Code), the Board may, with the consent of the successor corporation, provide for the consideration to be received upon exercise of the option to be solely common stock of the successor corporation or its parent equal in fair market value to the per share consideration received by holders of Common Stock in the sale of assets, merger or other reorganization.</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212" w:lineRule="exact"/>
        <w:rPr>
          <w:sz w:val="20"/>
          <w:szCs w:val="20"/>
          <w:color w:val="auto"/>
        </w:rPr>
      </w:pPr>
    </w:p>
    <w:p>
      <w:pPr>
        <w:ind w:left="280" w:hanging="272"/>
        <w:spacing w:after="0"/>
        <w:tabs>
          <w:tab w:leader="none" w:pos="28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Amendment or Termination</w:t>
      </w:r>
      <w:r>
        <w:rPr>
          <w:rFonts w:ascii="Arial" w:cs="Arial" w:eastAsia="Arial" w:hAnsi="Arial"/>
          <w:sz w:val="16"/>
          <w:szCs w:val="16"/>
          <w:color w:val="auto"/>
        </w:rPr>
        <w:t>.</w:t>
      </w:r>
    </w:p>
    <w:p>
      <w:pPr>
        <w:spacing w:after="0" w:line="235" w:lineRule="exact"/>
        <w:rPr>
          <w:sz w:val="20"/>
          <w:szCs w:val="20"/>
          <w:color w:val="auto"/>
        </w:rPr>
      </w:pPr>
    </w:p>
    <w:p>
      <w:pPr>
        <w:jc w:val="both"/>
        <w:ind w:firstLine="8"/>
        <w:spacing w:after="0" w:line="244" w:lineRule="auto"/>
        <w:tabs>
          <w:tab w:leader="none" w:pos="24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Board may at any time terminate or amend the Plan. Except as provided in paragraph 18, no such termination may affect options previously granted, nor may an amendment make any change in any option theretofore granted which adversely affects the rights of any participant provided that an Offering Period may be terminated by the Board on an Exercise Date or by the Board’s setting a new Exercise Date with respect to an Offering Period then in progress if the Board determines that termination of the Offering Period is in the best interests of the Company and the stockholders or if continuation of the Offering Period would cause the Company to incur adverse accounting charges in the generally-accepted accounting rules applicable to the Plan. In addition, to the extent necessary to comply with Section 423 of the Code (or any successor rule or provision or any applicable law or regulation), the Company shall obtain stockholder approval in such a manner and to such a degree as so required.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7" w:name="page98"/>
    <w:bookmarkEnd w:id="97"/>
    <w:p>
      <w:pPr>
        <w:jc w:val="both"/>
        <w:ind w:firstLine="8"/>
        <w:spacing w:after="0" w:line="244" w:lineRule="auto"/>
        <w:tabs>
          <w:tab w:leader="none" w:pos="24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Without stockholder consent and without regard to whether any participant rights may be considered to have been adversely affected, the Board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determines in its sole discretion advisable that are consistent with the Plan.</w:t>
      </w:r>
    </w:p>
    <w:p>
      <w:pPr>
        <w:spacing w:after="0" w:line="203" w:lineRule="exact"/>
        <w:rPr>
          <w:sz w:val="20"/>
          <w:szCs w:val="20"/>
          <w:color w:val="auto"/>
        </w:rPr>
      </w:pPr>
    </w:p>
    <w:p>
      <w:pPr>
        <w:ind w:firstLine="8"/>
        <w:spacing w:after="0" w:line="286" w:lineRule="auto"/>
        <w:tabs>
          <w:tab w:leader="none" w:pos="27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69" w:lineRule="exact"/>
        <w:rPr>
          <w:rFonts w:ascii="Arial" w:cs="Arial" w:eastAsia="Arial" w:hAnsi="Arial"/>
          <w:sz w:val="16"/>
          <w:szCs w:val="16"/>
          <w:color w:val="auto"/>
        </w:rPr>
      </w:pPr>
    </w:p>
    <w:p>
      <w:pPr>
        <w:jc w:val="both"/>
        <w:ind w:firstLine="8"/>
        <w:spacing w:after="0" w:line="248" w:lineRule="auto"/>
        <w:tabs>
          <w:tab w:leader="none" w:pos="284"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92" w:lineRule="exact"/>
        <w:rPr>
          <w:sz w:val="20"/>
          <w:szCs w:val="20"/>
          <w:color w:val="auto"/>
        </w:rPr>
      </w:pPr>
    </w:p>
    <w:p>
      <w:pPr>
        <w:jc w:val="both"/>
        <w:ind w:firstLine="8"/>
        <w:spacing w:after="0" w:line="257" w:lineRule="auto"/>
        <w:tabs>
          <w:tab w:leader="none" w:pos="284"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Information Regarding Disqualifying Dispositions</w:t>
      </w:r>
      <w:r>
        <w:rPr>
          <w:rFonts w:ascii="Arial" w:cs="Arial" w:eastAsia="Arial" w:hAnsi="Arial"/>
          <w:sz w:val="16"/>
          <w:szCs w:val="16"/>
          <w:color w:val="auto"/>
        </w:rPr>
        <w:t>. By electing to participate in the Plan, each participant agrees to provide any information about any transfer of shares of Common Stock acquired under the Plan that occurs within two years after the first business day of the Offering Period in which such shares were acquired as may be requested by the Company or any Subsidiaries in order to assist it in complying with the tax laws.</w:t>
      </w:r>
    </w:p>
    <w:p>
      <w:pPr>
        <w:spacing w:after="0" w:line="205" w:lineRule="exact"/>
        <w:rPr>
          <w:rFonts w:ascii="Arial" w:cs="Arial" w:eastAsia="Arial" w:hAnsi="Arial"/>
          <w:sz w:val="16"/>
          <w:szCs w:val="16"/>
          <w:color w:val="auto"/>
        </w:rPr>
      </w:pPr>
    </w:p>
    <w:p>
      <w:pPr>
        <w:jc w:val="both"/>
        <w:ind w:firstLine="8"/>
        <w:spacing w:after="0" w:line="257" w:lineRule="auto"/>
        <w:tabs>
          <w:tab w:leader="none" w:pos="27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Right to Terminate Employment</w:t>
      </w:r>
      <w:r>
        <w:rPr>
          <w:rFonts w:ascii="Arial" w:cs="Arial" w:eastAsia="Arial" w:hAnsi="Arial"/>
          <w:sz w:val="16"/>
          <w:szCs w:val="16"/>
          <w:color w:val="auto"/>
        </w:rPr>
        <w:t>. Nothing in the Plan or in any agreement entered into pursuant to the Plan shall confer upon any Employee the right to continue in the employment of the Company or any Subsidiary, or affect any right which the Company or any Subsidiary may have to terminate the employment of such Employee.</w:t>
      </w:r>
    </w:p>
    <w:p>
      <w:pPr>
        <w:spacing w:after="0" w:line="191" w:lineRule="exact"/>
        <w:rPr>
          <w:rFonts w:ascii="Arial" w:cs="Arial" w:eastAsia="Arial" w:hAnsi="Arial"/>
          <w:sz w:val="16"/>
          <w:szCs w:val="16"/>
          <w:color w:val="auto"/>
        </w:rPr>
      </w:pPr>
    </w:p>
    <w:p>
      <w:pPr>
        <w:jc w:val="both"/>
        <w:ind w:firstLine="8"/>
        <w:spacing w:after="0" w:line="257" w:lineRule="auto"/>
        <w:tabs>
          <w:tab w:leader="none" w:pos="27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Neither the granting of an option nor a deduction from payroll shall constitute an Employee the owner of shares covered by an option. No Employee shall have any right as a stockholder unless and until an option has been exercised, and the shares underlying the option have been registered in the Company’s share register.</w:t>
      </w:r>
    </w:p>
    <w:p>
      <w:pPr>
        <w:spacing w:after="0" w:line="191" w:lineRule="exact"/>
        <w:rPr>
          <w:rFonts w:ascii="Arial" w:cs="Arial" w:eastAsia="Arial" w:hAnsi="Arial"/>
          <w:sz w:val="16"/>
          <w:szCs w:val="16"/>
          <w:color w:val="auto"/>
        </w:rPr>
      </w:pPr>
    </w:p>
    <w:p>
      <w:pPr>
        <w:ind w:right="20" w:firstLine="8"/>
        <w:spacing w:after="0" w:line="286" w:lineRule="auto"/>
        <w:tabs>
          <w:tab w:leader="none" w:pos="27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The Plan became effective upon its approval by the Company’s stockholders in December 2012 and shall continue in effect until November 30, 2032 unless sooner terminated under paragraph 19.</w:t>
      </w:r>
    </w:p>
    <w:p>
      <w:pPr>
        <w:spacing w:after="0" w:line="169" w:lineRule="exact"/>
        <w:rPr>
          <w:rFonts w:ascii="Arial" w:cs="Arial" w:eastAsia="Arial" w:hAnsi="Arial"/>
          <w:sz w:val="16"/>
          <w:szCs w:val="16"/>
          <w:color w:val="auto"/>
        </w:rPr>
      </w:pPr>
    </w:p>
    <w:p>
      <w:pPr>
        <w:ind w:left="280" w:hanging="272"/>
        <w:spacing w:after="0"/>
        <w:tabs>
          <w:tab w:leader="none" w:pos="28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Plan shall be governed in accordance with the laws of Delaware, applied without giving effect to any conflict-of-law principles.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25"/>
          <w:szCs w:val="25"/>
          <w:b w:val="1"/>
          <w:bCs w:val="1"/>
          <w:color w:val="003595"/>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69005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595"/>
        </w:rPr>
        <w:t>MYRIAD GENETICS,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595"/>
        </w:rPr>
        <w:t>2026 EMPLOYEE, DIRECTOR AND CONSULTANT</w:t>
      </w:r>
    </w:p>
    <w:p>
      <w:pPr>
        <w:jc w:val="center"/>
        <w:spacing w:after="0"/>
        <w:rPr>
          <w:sz w:val="20"/>
          <w:szCs w:val="20"/>
          <w:color w:val="auto"/>
        </w:rPr>
      </w:pPr>
      <w:r>
        <w:rPr>
          <w:rFonts w:ascii="Arial" w:cs="Arial" w:eastAsia="Arial" w:hAnsi="Arial"/>
          <w:sz w:val="20"/>
          <w:szCs w:val="20"/>
          <w:b w:val="1"/>
          <w:bCs w:val="1"/>
          <w:color w:val="003595"/>
        </w:rPr>
        <w:t>EQUITY INCENTIVE PLAN</w:t>
      </w:r>
    </w:p>
    <w:p>
      <w:pPr>
        <w:spacing w:after="0" w:line="232"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DEFINITIONS.</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Unless otherwise specified or unless the context otherwise requires, the following terms, as used in this Myriad Genetics, Inc. 2026 Employee, Director and Consultant Equity Incentive Plan, have the following meanings: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of Directors, unless it has delegated power to act on its behalf to the Committee, in which case the term “Administrator” means the Committee.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 corporation or other entity, which, for purposes of Section 424 of the Code, is a parent or subsidiary of the Company, direct or indirect.</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a written or electronic document setting forth the terms of a Stock Right delivered pursuant to the Plan, in such form as the Administrator shall approve.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or any material written policy of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the occurrence of any of the following events: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Ownership</w:t>
      </w:r>
      <w:r>
        <w:rPr>
          <w:rFonts w:ascii="Arial" w:cs="Arial" w:eastAsia="Arial" w:hAnsi="Arial"/>
          <w:sz w:val="16"/>
          <w:szCs w:val="16"/>
          <w:color w:val="auto"/>
        </w:rPr>
        <w:t>. Any “Person” (as such term is used in Sections 13(d) and 14(d) of the Exchange Act) becomes the “Beneficial Owner” (as defined in Rule 13d-3</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Merger/Sale of Assets</w:t>
      </w:r>
      <w:r>
        <w:rPr>
          <w:rFonts w:ascii="Arial" w:cs="Arial" w:eastAsia="Arial" w:hAnsi="Arial"/>
          <w:sz w:val="16"/>
          <w:szCs w:val="16"/>
          <w:color w:val="auto"/>
        </w:rPr>
        <w:t>. (A) A merger or consolidation of the Company whether or not approved by the Board of Directors, other than a merger or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which would result in the voting securities of the Company outstanding immediately prior thereto continuing to represent (either by remaining outstanding or by being converted into voting securities of the surviving entity or the parent of such entity)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shareholder approval; or</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Change in Board Composition</w:t>
      </w:r>
      <w:r>
        <w:rPr>
          <w:rFonts w:ascii="Arial" w:cs="Arial" w:eastAsia="Arial" w:hAnsi="Arial"/>
          <w:sz w:val="16"/>
          <w:szCs w:val="16"/>
          <w:color w:val="auto"/>
        </w:rPr>
        <w:t>. A change in the composition of the Board of Directors, as a result of which fewer than a majority of the directors are</w:t>
      </w:r>
      <w:r>
        <w:rPr>
          <w:rFonts w:ascii="Arial" w:cs="Arial" w:eastAsia="Arial" w:hAnsi="Arial"/>
          <w:sz w:val="16"/>
          <w:szCs w:val="16"/>
          <w:i w:val="1"/>
          <w:iCs w:val="1"/>
          <w:color w:val="auto"/>
        </w:rPr>
        <w:t xml:space="preserve"> </w:t>
      </w:r>
      <w:r>
        <w:rPr>
          <w:rFonts w:ascii="Arial" w:cs="Arial" w:eastAsia="Arial" w:hAnsi="Arial"/>
          <w:sz w:val="16"/>
          <w:szCs w:val="16"/>
          <w:color w:val="auto"/>
        </w:rPr>
        <w:t>Incumbent Directors. “</w:t>
      </w:r>
      <w:r>
        <w:rPr>
          <w:rFonts w:ascii="Arial" w:cs="Arial" w:eastAsia="Arial" w:hAnsi="Arial"/>
          <w:sz w:val="16"/>
          <w:szCs w:val="16"/>
          <w:b w:val="1"/>
          <w:bCs w:val="1"/>
          <w:color w:val="auto"/>
        </w:rPr>
        <w:t>Incumbent Directors</w:t>
      </w:r>
      <w:r>
        <w:rPr>
          <w:rFonts w:ascii="Arial" w:cs="Arial" w:eastAsia="Arial" w:hAnsi="Arial"/>
          <w:sz w:val="16"/>
          <w:szCs w:val="16"/>
          <w:color w:val="auto"/>
        </w:rPr>
        <w:t>” shall mean directors who either (A) are directors of the Company as of the date this Plan was initially adopted,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if any payment or benefit payable hereunder upon or following a Change of Control would be required to comply with the limitations of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409A(a)(2)(A)(v) of the Code in order to avoid an additional tax under Section 409A of the Code, such payment or benefit shall be made only if such Change of Control constitutes a change in ownership or control of the Company, or a change in ownership of the Company’s assets in accordance with Section 409A of the Code.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United States Internal Revenue Code of 1986, as amended including any successor statute, regulation and guidance thereto.</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committee of the Board of Directors, if any, to which the Board of Directors has delegated power to act under or pursuant to the provisions of the Plan.</w:t>
      </w:r>
    </w:p>
    <w:p>
      <w:pPr>
        <w:sectPr>
          <w:pgSz w:w="11900" w:h="16838" w:orient="portrait"/>
          <w:cols w:equalWidth="0" w:num="1">
            <w:col w:w="11240"/>
          </w:cols>
          <w:pgMar w:left="320" w:top="7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shares of the Company’s common stock, $.01 par value per share.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Myriad Genetics, Inc., a Delaware corporation.</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Consultant</w:t>
      </w:r>
      <w:r>
        <w:rPr>
          <w:rFonts w:ascii="Arial" w:cs="Arial" w:eastAsia="Arial" w:hAnsi="Arial"/>
          <w:sz w:val="16"/>
          <w:szCs w:val="16"/>
          <w:color w:val="auto"/>
        </w:rPr>
        <w:t>” means any natural person who is an advisor or consultant who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Transaction</w:t>
      </w:r>
      <w:r>
        <w:rPr>
          <w:rFonts w:ascii="Arial" w:cs="Arial" w:eastAsia="Arial" w:hAnsi="Arial"/>
          <w:sz w:val="16"/>
          <w:szCs w:val="16"/>
          <w:color w:val="auto"/>
        </w:rPr>
        <w:t>” means a merger, consolidation, or sale of all or substantially all of the Company’s assets or the acquisition of all of the outstanding voting stock of the Company (or similar transaction) in a single transaction or a series of related transactions by a single entity other than a transaction in which the Company is the surviving corporation. Where a Corporate Transaction involves a tender offer that is reasonably expected to be followed by a merger (as determined by the Administrator), the Corporate Transaction will be deemed to have occurred upon consummation of the tender offer.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or “</w:t>
      </w:r>
      <w:r>
        <w:rPr>
          <w:rFonts w:ascii="Arial" w:cs="Arial" w:eastAsia="Arial" w:hAnsi="Arial"/>
          <w:sz w:val="16"/>
          <w:szCs w:val="16"/>
          <w:b w:val="1"/>
          <w:bCs w:val="1"/>
          <w:color w:val="auto"/>
        </w:rPr>
        <w:t>Disabled</w:t>
      </w:r>
      <w:r>
        <w:rPr>
          <w:rFonts w:ascii="Arial" w:cs="Arial" w:eastAsia="Arial" w:hAnsi="Arial"/>
          <w:sz w:val="16"/>
          <w:szCs w:val="16"/>
          <w:color w:val="auto"/>
        </w:rPr>
        <w:t>” means permanent and total disability as defined in Section 22(e)(3) of the Code.</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United States Securities Exchange Act of 1934,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of a Share of Common Stock means: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the Common Stock is listed on a national securities exchange or traded in the over-the-counter market and sales prices are regularly reported for the Common Stock, the closing or, if not applicable, the last price of the Common Stock on the consolidated tape or other comparable reporting system for the trading day on the applicable date and if such applicable date is not a trading day, the last market trading day prior to such date;</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most recent trading day on which Common Stock was traded on the applicable date and if such applicable date is not a trading day, the last market trading day prior to such date; and</w:t>
      </w:r>
    </w:p>
    <w:p>
      <w:pPr>
        <w:spacing w:after="0" w:line="17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If the Common Stock is neither listed on a national securities exchange nor traded in the over-the-counter market, such value as the Administrator, in good faith, shall determine in compliance with applicable laws.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ISO</w:t>
      </w:r>
      <w:r>
        <w:rPr>
          <w:rFonts w:ascii="Arial" w:cs="Arial" w:eastAsia="Arial" w:hAnsi="Arial"/>
          <w:sz w:val="16"/>
          <w:szCs w:val="16"/>
          <w:color w:val="auto"/>
        </w:rPr>
        <w:t>” means a stock option intended to qualify as an incentive stock option under Section 422 of the Code.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Non-Qualified Option</w:t>
      </w:r>
      <w:r>
        <w:rPr>
          <w:rFonts w:ascii="Arial" w:cs="Arial" w:eastAsia="Arial" w:hAnsi="Arial"/>
          <w:sz w:val="16"/>
          <w:szCs w:val="16"/>
          <w:color w:val="auto"/>
        </w:rPr>
        <w:t>” means a stock option which is not intended to qualify as an ISO.</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ISO or Non-Qualified Option granted under the Plan.</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 Employee, director or Consultant of the Company or an Affiliate to whom one or more Stock Rights are granted under the Plan. As used herein, “Participant” shall include “Participant’s Survivors” where the context requires.</w:t>
      </w:r>
    </w:p>
    <w:p>
      <w:pPr>
        <w:spacing w:after="0" w:line="14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Performance-Based Award</w:t>
      </w:r>
      <w:r>
        <w:rPr>
          <w:rFonts w:ascii="Arial" w:cs="Arial" w:eastAsia="Arial" w:hAnsi="Arial"/>
          <w:sz w:val="16"/>
          <w:szCs w:val="16"/>
          <w:color w:val="auto"/>
        </w:rPr>
        <w:t>” means a Stock Grant or Stock-Based Award which vests based on the attainment of written Performance Goals as set forth in Paragraph 9 hereof.</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Goals</w:t>
      </w:r>
      <w:r>
        <w:rPr>
          <w:rFonts w:ascii="Arial" w:cs="Arial" w:eastAsia="Arial" w:hAnsi="Arial"/>
          <w:sz w:val="16"/>
          <w:szCs w:val="16"/>
          <w:color w:val="auto"/>
        </w:rPr>
        <w:t>” means performance goals determined by the Committee in its sole discretion. The satisfaction of Performance Goals shall be subject to certification by the Committee. The Committee has the authority to take appropriate action with respect to the Performance Goals (including, without limitation, making adjustments to the Performance Goals or determining the satisfaction of the Performance Goals in connection with a Corporate Transaction) provided that any such action does not otherwise violate the terms of the Plan.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Myriad Genetics, Inc. 2026 Employee, Director and Consultant Equity Incentive Plan.</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 Unit Award</w:t>
      </w:r>
      <w:r>
        <w:rPr>
          <w:rFonts w:ascii="Arial" w:cs="Arial" w:eastAsia="Arial" w:hAnsi="Arial"/>
          <w:sz w:val="16"/>
          <w:szCs w:val="16"/>
          <w:color w:val="auto"/>
        </w:rPr>
        <w:t>” means a grant by the Company under the Plan of an unfunded, unsecured commitment by the Company to deliver a pre-determined number of Shares to a Participant at a future time in accordance with the terms and conditions of the award agreement and the Plan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SAR</w:t>
      </w:r>
      <w:r>
        <w:rPr>
          <w:rFonts w:ascii="Arial" w:cs="Arial" w:eastAsia="Arial" w:hAnsi="Arial"/>
          <w:sz w:val="16"/>
          <w:szCs w:val="16"/>
          <w:color w:val="auto"/>
        </w:rPr>
        <w:t>” means a stock appreciation right.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409A</w:t>
      </w:r>
      <w:r>
        <w:rPr>
          <w:rFonts w:ascii="Arial" w:cs="Arial" w:eastAsia="Arial" w:hAnsi="Arial"/>
          <w:sz w:val="16"/>
          <w:szCs w:val="16"/>
          <w:color w:val="auto"/>
        </w:rPr>
        <w:t>” means Section 409A of the Code.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422</w:t>
      </w:r>
      <w:r>
        <w:rPr>
          <w:rFonts w:ascii="Arial" w:cs="Arial" w:eastAsia="Arial" w:hAnsi="Arial"/>
          <w:sz w:val="16"/>
          <w:szCs w:val="16"/>
          <w:color w:val="auto"/>
        </w:rPr>
        <w:t>” means Section 422 of the Code.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United States Securities Act of 1933, as amended.</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Stock-Based Award</w:t>
      </w:r>
      <w:r>
        <w:rPr>
          <w:rFonts w:ascii="Arial" w:cs="Arial" w:eastAsia="Arial" w:hAnsi="Arial"/>
          <w:sz w:val="16"/>
          <w:szCs w:val="16"/>
          <w:color w:val="auto"/>
        </w:rPr>
        <w:t>” means a grant by the Company under the Plan of an equity award or an equity based award, including a Restricted Stock Unit Award, which is not an Option, or a Stock Grant.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Grant</w:t>
      </w:r>
      <w:r>
        <w:rPr>
          <w:rFonts w:ascii="Arial" w:cs="Arial" w:eastAsia="Arial" w:hAnsi="Arial"/>
          <w:sz w:val="16"/>
          <w:szCs w:val="16"/>
          <w:color w:val="auto"/>
        </w:rPr>
        <w:t>” means a grant by the Company of Shares under the Plan.</w:t>
      </w:r>
    </w:p>
    <w:p>
      <w:pPr>
        <w:spacing w:after="0" w:line="2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Right</w:t>
      </w:r>
      <w:r>
        <w:rPr>
          <w:rFonts w:ascii="Arial" w:cs="Arial" w:eastAsia="Arial" w:hAnsi="Arial"/>
          <w:sz w:val="16"/>
          <w:szCs w:val="16"/>
          <w:color w:val="auto"/>
        </w:rPr>
        <w:t>” means an ISO, a Non-Qualified Option, a Stock Grant or a Stock-Based Award or a right to Shares or the value of Shares of the Company granted pursuant to the Plan.</w:t>
      </w:r>
    </w:p>
    <w:p>
      <w:pPr>
        <w:spacing w:after="0" w:line="1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Substitute Award</w:t>
      </w:r>
      <w:r>
        <w:rPr>
          <w:rFonts w:ascii="Arial" w:cs="Arial" w:eastAsia="Arial" w:hAnsi="Arial"/>
          <w:sz w:val="16"/>
          <w:szCs w:val="16"/>
          <w:color w:val="auto"/>
        </w:rPr>
        <w:t>” means an award issued under the Plan in substitution for one or more equity awards of an acquired company that are converted, replaced or adjusted in connection with the acquisition.</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Survivor</w:t>
      </w:r>
      <w:r>
        <w:rPr>
          <w:rFonts w:ascii="Arial" w:cs="Arial" w:eastAsia="Arial" w:hAnsi="Arial"/>
          <w:sz w:val="16"/>
          <w:szCs w:val="16"/>
          <w:color w:val="auto"/>
        </w:rPr>
        <w:t>” means a deceased Participant’s legal representatives and/or any person or persons who acquired the Participant’s rights to a Stock Right by will or by the laws of descent and distribution.</w:t>
      </w:r>
    </w:p>
    <w:p>
      <w:pPr>
        <w:spacing w:after="0" w:line="169"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PURPOSES OF THE PLAN.</w:t>
      </w:r>
    </w:p>
    <w:p>
      <w:pPr>
        <w:spacing w:after="0" w:line="22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 including Restricted Stock Unit Awards.</w:t>
      </w:r>
    </w:p>
    <w:p>
      <w:pPr>
        <w:spacing w:after="0" w:line="186"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SHARES SUBJECT TO THE PLAN.</w:t>
      </w:r>
    </w:p>
    <w:p>
      <w:pPr>
        <w:spacing w:after="0" w:line="208" w:lineRule="exact"/>
        <w:rPr>
          <w:sz w:val="20"/>
          <w:szCs w:val="20"/>
          <w:color w:val="auto"/>
        </w:rPr>
      </w:pPr>
    </w:p>
    <w:p>
      <w:pPr>
        <w:jc w:val="both"/>
        <w:ind w:firstLine="8"/>
        <w:spacing w:after="0" w:line="236" w:lineRule="auto"/>
        <w:tabs>
          <w:tab w:leader="none" w:pos="65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number of Shares which may be issued from time to time pursuant to this Plan shall be the sum of: (i)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shares of Common Stock and (ii) any shares of Common Stock that are attributable to awards granted under the Company’s 2017 Employee, Director and Consultant Equity Incentive Plan that are forfeited, expire or are cancelled without delivery of shares of Common Stock or which result in the forfeiture of shares of Common Stock back to the Company on or after June 4, 2026, or the equivalent of such number of Shares after the Administrator, in its sole discretion, has interpreted the effect of any stock split, stock dividend, combination, recapitalization or similar transaction in accordance with Paragraph 25 of this Plan, all of which Shares are eligible to be issued as ISOs; provided, however, that no more than 8,659,575 Shares shall be added to the Plan pursuant to subsection (ii).</w:t>
      </w:r>
    </w:p>
    <w:p>
      <w:pPr>
        <w:spacing w:after="0" w:line="234" w:lineRule="exact"/>
        <w:rPr>
          <w:rFonts w:ascii="Arial" w:cs="Arial" w:eastAsia="Arial" w:hAnsi="Arial"/>
          <w:sz w:val="16"/>
          <w:szCs w:val="16"/>
          <w:color w:val="auto"/>
        </w:rPr>
      </w:pPr>
    </w:p>
    <w:p>
      <w:pPr>
        <w:ind w:right="60" w:firstLine="8"/>
        <w:spacing w:after="0" w:line="259" w:lineRule="auto"/>
        <w:tabs>
          <w:tab w:leader="none" w:pos="64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provided, however, that the number of Shares underlying any awards under the Plan that are retained or repurchased on the exercise of an Option or the vesting or issuance of any Stock Right to cover the exercise price and/or tax withholding required by the Company in connection with vesting shall not be added back to the Shares available for issuance under the Plan; and provided, further that, in the case of ISOs, the foregoing provisions shall be subject to any limitations under the Code. In addition, any Shares repurchased using exercise price proceeds will not be available for issuance under the Plan.</w:t>
      </w:r>
    </w:p>
    <w:p>
      <w:pPr>
        <w:spacing w:after="0" w:line="180" w:lineRule="exact"/>
        <w:rPr>
          <w:rFonts w:ascii="Arial" w:cs="Arial" w:eastAsia="Arial" w:hAnsi="Arial"/>
          <w:sz w:val="16"/>
          <w:szCs w:val="16"/>
          <w:color w:val="auto"/>
        </w:rPr>
      </w:pPr>
    </w:p>
    <w:p>
      <w:pPr>
        <w:ind w:left="660" w:hanging="652"/>
        <w:spacing w:after="0"/>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limits set forth in this Paragraph 3 will be construed to comply with the applicable requirements of Section 422.</w:t>
      </w:r>
    </w:p>
    <w:p>
      <w:pPr>
        <w:spacing w:after="0" w:line="234" w:lineRule="exact"/>
        <w:rPr>
          <w:rFonts w:ascii="Arial" w:cs="Arial" w:eastAsia="Arial" w:hAnsi="Arial"/>
          <w:sz w:val="16"/>
          <w:szCs w:val="16"/>
          <w:color w:val="auto"/>
        </w:rPr>
      </w:pPr>
    </w:p>
    <w:p>
      <w:pPr>
        <w:ind w:right="80" w:firstLine="8"/>
        <w:spacing w:after="0" w:line="258" w:lineRule="auto"/>
        <w:tabs>
          <w:tab w:leader="none" w:pos="64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Administrator may grant Substitute Awards under the Plan. To the extent consistent with the requirements of Section 422 and the regulations thereunder and other applicable legal requirements (including applicable stock exchange requirements), Shares issued in respect of Substitute Awards will be 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Paragraph 4(c)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14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4" w:lineRule="exact"/>
        <w:rPr>
          <w:sz w:val="20"/>
          <w:szCs w:val="20"/>
          <w:color w:val="auto"/>
        </w:rPr>
      </w:pPr>
    </w:p>
    <w:p>
      <w:pPr>
        <w:ind w:right="200" w:firstLine="8"/>
        <w:spacing w:after="0" w:line="216" w:lineRule="auto"/>
        <w:tabs>
          <w:tab w:leader="none" w:pos="80" w:val="left"/>
        </w:tabs>
        <w:numPr>
          <w:ilvl w:val="0"/>
          <w:numId w:val="120"/>
        </w:numPr>
        <w:rPr>
          <w:rFonts w:ascii="Arial" w:cs="Arial" w:eastAsia="Arial" w:hAnsi="Arial"/>
          <w:sz w:val="16"/>
          <w:szCs w:val="16"/>
          <w:color w:val="auto"/>
          <w:vertAlign w:val="superscript"/>
        </w:rPr>
      </w:pPr>
      <w:r>
        <w:rPr>
          <w:rFonts w:ascii="Arial" w:cs="Arial" w:eastAsia="Arial" w:hAnsi="Arial"/>
          <w:sz w:val="13"/>
          <w:szCs w:val="13"/>
          <w:color w:val="auto"/>
        </w:rPr>
        <w:t>Consists of 6,400,000 shares of our common stock plus up to 2,168,431 shares of our common stock that remain available for future grant under our 2017 Employee, Director and Consultant Equity Incentive Plan as of the date of the Annual Meeting, up to an aggregate maximum of 8,568,431 shares.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1" w:name="page102"/>
    <w:bookmarkEnd w:id="101"/>
    <w:p>
      <w:pPr>
        <w:ind w:left="660" w:hanging="652"/>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ADMINISTRATION OF THE PLAN.</w:t>
      </w:r>
    </w:p>
    <w:p>
      <w:pPr>
        <w:spacing w:after="0" w:line="221"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41" w:lineRule="exact"/>
        <w:rPr>
          <w:sz w:val="20"/>
          <w:szCs w:val="20"/>
          <w:color w:val="auto"/>
        </w:rPr>
      </w:pPr>
    </w:p>
    <w:p>
      <w:pPr>
        <w:ind w:right="360" w:firstLine="8"/>
        <w:spacing w:after="0" w:line="304" w:lineRule="auto"/>
        <w:tabs>
          <w:tab w:leader="none" w:pos="64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Interpret the provisions of the Plan and all Stock Rights and to make all rules and determinations which it deems necessary or advisable for the administration of the Plan;</w:t>
      </w:r>
    </w:p>
    <w:p>
      <w:pPr>
        <w:spacing w:after="0" w:line="141" w:lineRule="exact"/>
        <w:rPr>
          <w:rFonts w:ascii="Arial" w:cs="Arial" w:eastAsia="Arial" w:hAnsi="Arial"/>
          <w:sz w:val="16"/>
          <w:szCs w:val="16"/>
          <w:color w:val="auto"/>
        </w:rPr>
      </w:pPr>
    </w:p>
    <w:p>
      <w:pPr>
        <w:ind w:left="660" w:hanging="652"/>
        <w:spacing w:after="0"/>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Determine which Employees, directors and Consultants shall be granted Stock Rights;</w:t>
      </w:r>
    </w:p>
    <w:p>
      <w:pPr>
        <w:spacing w:after="0" w:line="221" w:lineRule="exact"/>
        <w:rPr>
          <w:rFonts w:ascii="Arial" w:cs="Arial" w:eastAsia="Arial" w:hAnsi="Arial"/>
          <w:sz w:val="16"/>
          <w:szCs w:val="16"/>
          <w:color w:val="auto"/>
        </w:rPr>
      </w:pPr>
    </w:p>
    <w:p>
      <w:pPr>
        <w:ind w:right="20" w:firstLine="8"/>
        <w:spacing w:after="0" w:line="275" w:lineRule="auto"/>
        <w:tabs>
          <w:tab w:leader="none" w:pos="64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Determine the number of Shares for which a Stock Right or Stock Rights shall be granted; provided, however, that in no event shall the aggregate grant date fair value (determined in accordance with ASC 718) of Stock Rights to be granted and any other cash compensation paid to any non-employee director in any calendar year exceed $750,000, increased to $1,000,000 in the year in which such non-employee director initially joins the Board of Directors;</w:t>
      </w:r>
    </w:p>
    <w:p>
      <w:pPr>
        <w:spacing w:after="0" w:line="177" w:lineRule="exact"/>
        <w:rPr>
          <w:rFonts w:ascii="Arial" w:cs="Arial" w:eastAsia="Arial" w:hAnsi="Arial"/>
          <w:sz w:val="16"/>
          <w:szCs w:val="16"/>
          <w:color w:val="auto"/>
        </w:rPr>
      </w:pPr>
    </w:p>
    <w:p>
      <w:pPr>
        <w:ind w:firstLine="8"/>
        <w:spacing w:after="0" w:line="255" w:lineRule="auto"/>
        <w:tabs>
          <w:tab w:leader="none" w:pos="64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Specify the terms and conditions upon which a Stock Right or Stock Rights may be granted provided that (i) no dividends or dividend equivalents shall be paid on any Stock Right prior to the vesting of the underlying Shares and (ii) no Stock Right shall be granted with a vesting schedule providing for vesting, exercisability or the lapsing of restrictions or repurchase rights over a period of less than one year from the date of grant except in the case of (A) death, disability or retirement of the Participant or (B) a Change of Control, and any Stock Right subject to the satisfaction of Performance Goals over a performance period shall be subject to a performance period of not less than one year. Notwithstanding the foregoing, (i) Stock Rights may be granted having time-based vesting of less than one year from the date of grant so long as no more than 5% of the Shares reserved for issuance under the Plan pursuant to Paragraph 3 above (as adjusted under Paragraph 25 of this Plan) may be granted in the aggregate pursuant to such awards, (ii) for purposes of counting Shares against the 5% limitation, the Share counting rules under Paragraph 3 of the Plan apply, (iii) Stock Rights granted to non-employee directors paid in lieu of cash fees or granted to non-employee Directors with a vesting period from one annual stockholders meeting to the subsequent year’s annual stockholders meeting, or at least 50 weeks, shall not be counted against the 5% limitation; and (iv) nothing in this Paragraph 4(d) shall limit the authority of the Administrator to provide for the acceleration of vesting or exercisability of any Stock Right or the lapse of any restrictions relating to any Stock Right;</w:t>
      </w:r>
    </w:p>
    <w:p>
      <w:pPr>
        <w:spacing w:after="0" w:line="198" w:lineRule="exact"/>
        <w:rPr>
          <w:rFonts w:ascii="Arial" w:cs="Arial" w:eastAsia="Arial" w:hAnsi="Arial"/>
          <w:sz w:val="16"/>
          <w:szCs w:val="16"/>
          <w:color w:val="auto"/>
        </w:rPr>
      </w:pPr>
    </w:p>
    <w:p>
      <w:pPr>
        <w:ind w:right="20" w:firstLine="8"/>
        <w:spacing w:after="0" w:line="275" w:lineRule="auto"/>
        <w:tabs>
          <w:tab w:leader="none" w:pos="64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Amend any term or condition of any outstanding Stock Right, including without limitation, to accelerate the vesting schedule or extend the expiration date, provided that (i) such term or condition as amended is not prohibited by the Plan; (ii) any such amendment shall not impair the rights of a Participant under any Stock Right previously granted without such Participant’s consent, or in the event of death of the Participant, the Participant’s Survivors;</w:t>
      </w:r>
    </w:p>
    <w:p>
      <w:pPr>
        <w:spacing w:after="0" w:line="164" w:lineRule="exact"/>
        <w:rPr>
          <w:rFonts w:ascii="Arial" w:cs="Arial" w:eastAsia="Arial" w:hAnsi="Arial"/>
          <w:sz w:val="16"/>
          <w:szCs w:val="16"/>
          <w:color w:val="auto"/>
        </w:rPr>
      </w:pPr>
    </w:p>
    <w:p>
      <w:pPr>
        <w:ind w:left="640" w:hanging="632"/>
        <w:spacing w:after="0"/>
        <w:tabs>
          <w:tab w:leader="none" w:pos="6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Determine and make any adjustments in the Performance Goals included in any Performance-Based Awards; and</w:t>
      </w:r>
    </w:p>
    <w:p>
      <w:pPr>
        <w:spacing w:after="0" w:line="221" w:lineRule="exact"/>
        <w:rPr>
          <w:rFonts w:ascii="Arial" w:cs="Arial" w:eastAsia="Arial" w:hAnsi="Arial"/>
          <w:sz w:val="16"/>
          <w:szCs w:val="16"/>
          <w:color w:val="auto"/>
        </w:rPr>
      </w:pPr>
    </w:p>
    <w:p>
      <w:pPr>
        <w:ind w:right="220" w:firstLine="8"/>
        <w:spacing w:after="0" w:line="275" w:lineRule="auto"/>
        <w:tabs>
          <w:tab w:leader="none" w:pos="64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Subject to the foregoing, the interpretation and construction by the Administrator of any provisions of the Plan or of any Stock Right granted thereunder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91"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ELIGIBILITY FOR PARTICIPATION.</w:t>
      </w:r>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in anticipation of such person becoming an Employee, director or Consultant of the Company or of an Affiliate; provided, that the actual grant of such Stock Right shall be conditioned upon such person becoming eligible to become a Participant at or prior to the time of the execution of the Agreement evidencing such Stock Right. ISOs may be granted only to Employees. Non-Qualified Options, Stock Grants and Stock-Based Awards may be granted to any Employee, director or Consultant of the Company or an Affiliate. The granting of any Stock Right to any individual shall neither entitle that individual to, nor disqualify that individual from, participation in any other grant of Stock Rights or any grant under any other benefit plan established by the Company or any Affiliate for Employees, directors or Consultants.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2" w:name="page103"/>
    <w:bookmarkEnd w:id="102"/>
    <w:p>
      <w:pPr>
        <w:ind w:left="660" w:hanging="652"/>
        <w:spacing w:after="0"/>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TERMS AND CONDITIONS OF OPTIONS.</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Each Option shall be set forth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369" w:lineRule="exact"/>
        <w:rPr>
          <w:sz w:val="20"/>
          <w:szCs w:val="20"/>
          <w:color w:val="auto"/>
        </w:rPr>
      </w:pPr>
    </w:p>
    <w:p>
      <w:pPr>
        <w:ind w:right="360" w:firstLine="8"/>
        <w:spacing w:after="0" w:line="304" w:lineRule="auto"/>
        <w:tabs>
          <w:tab w:leader="none" w:pos="643"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Non-Qualified Options</w:t>
      </w:r>
      <w:r>
        <w:rPr>
          <w:rFonts w:ascii="Arial" w:cs="Arial" w:eastAsia="Arial" w:hAnsi="Arial"/>
          <w:sz w:val="16"/>
          <w:szCs w:val="16"/>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141" w:lineRule="exact"/>
        <w:rPr>
          <w:rFonts w:ascii="Arial" w:cs="Arial" w:eastAsia="Arial" w:hAnsi="Arial"/>
          <w:sz w:val="16"/>
          <w:szCs w:val="16"/>
          <w:color w:val="auto"/>
        </w:rPr>
      </w:pPr>
    </w:p>
    <w:p>
      <w:pPr>
        <w:ind w:right="120" w:firstLine="188"/>
        <w:spacing w:after="0" w:line="304" w:lineRule="auto"/>
        <w:tabs>
          <w:tab w:leader="none" w:pos="648"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Each Option Agreement shall state the exercise price (per share) of the Shares covered by each Option, which exercise price shall be determined by the Administrator and shall be at least equal to the Fair Market Value per share of the Common Stock on the date of grant of the Option.</w:t>
      </w:r>
    </w:p>
    <w:p>
      <w:pPr>
        <w:spacing w:after="0" w:line="141" w:lineRule="exact"/>
        <w:rPr>
          <w:rFonts w:ascii="Arial" w:cs="Arial" w:eastAsia="Arial" w:hAnsi="Arial"/>
          <w:sz w:val="16"/>
          <w:szCs w:val="16"/>
          <w:color w:val="auto"/>
        </w:rPr>
      </w:pPr>
    </w:p>
    <w:p>
      <w:pPr>
        <w:ind w:left="660" w:hanging="507"/>
        <w:spacing w:after="0"/>
        <w:tabs>
          <w:tab w:leader="none" w:pos="660"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Each Option Agreement shall state the number of Shares to which it pertains.</w:t>
      </w:r>
    </w:p>
    <w:p>
      <w:pPr>
        <w:spacing w:after="0" w:line="221" w:lineRule="exact"/>
        <w:rPr>
          <w:rFonts w:ascii="Arial" w:cs="Arial" w:eastAsia="Arial" w:hAnsi="Arial"/>
          <w:sz w:val="16"/>
          <w:szCs w:val="16"/>
          <w:color w:val="auto"/>
        </w:rPr>
      </w:pPr>
    </w:p>
    <w:p>
      <w:pPr>
        <w:ind w:right="80" w:firstLine="117"/>
        <w:spacing w:after="0" w:line="275" w:lineRule="auto"/>
        <w:tabs>
          <w:tab w:leader="none" w:pos="649"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spacing w:after="0" w:line="164" w:lineRule="exact"/>
        <w:rPr>
          <w:rFonts w:ascii="Arial" w:cs="Arial" w:eastAsia="Arial" w:hAnsi="Arial"/>
          <w:sz w:val="16"/>
          <w:szCs w:val="16"/>
          <w:color w:val="auto"/>
        </w:rPr>
      </w:pPr>
    </w:p>
    <w:p>
      <w:pPr>
        <w:ind w:right="760" w:firstLine="107"/>
        <w:spacing w:after="0" w:line="304" w:lineRule="auto"/>
        <w:tabs>
          <w:tab w:leader="none" w:pos="648"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Additional Conditions</w:t>
      </w:r>
      <w:r>
        <w:rPr>
          <w:rFonts w:ascii="Arial" w:cs="Arial" w:eastAsia="Arial" w:hAnsi="Arial"/>
          <w:sz w:val="16"/>
          <w:szCs w:val="16"/>
          <w:color w:val="auto"/>
        </w:rPr>
        <w:t>. Exercise of any Option may be conditioned upon the Participant’s execution of a shareholders agreement in a form satisfactory to the Administrator providing for certain protections for the Company and its other shareholders, including requirements that:</w:t>
      </w:r>
    </w:p>
    <w:p>
      <w:pPr>
        <w:spacing w:after="0" w:line="141" w:lineRule="exact"/>
        <w:rPr>
          <w:rFonts w:ascii="Arial" w:cs="Arial" w:eastAsia="Arial" w:hAnsi="Arial"/>
          <w:sz w:val="16"/>
          <w:szCs w:val="16"/>
          <w:color w:val="auto"/>
        </w:rPr>
      </w:pPr>
    </w:p>
    <w:p>
      <w:pPr>
        <w:ind w:left="660" w:hanging="247"/>
        <w:spacing w:after="0"/>
        <w:tabs>
          <w:tab w:leader="none" w:pos="660" w:val="left"/>
        </w:tabs>
        <w:numPr>
          <w:ilvl w:val="2"/>
          <w:numId w:val="125"/>
        </w:numPr>
        <w:rPr>
          <w:rFonts w:ascii="Arial" w:cs="Arial" w:eastAsia="Arial" w:hAnsi="Arial"/>
          <w:sz w:val="16"/>
          <w:szCs w:val="16"/>
          <w:color w:val="auto"/>
        </w:rPr>
      </w:pPr>
      <w:r>
        <w:rPr>
          <w:rFonts w:ascii="Arial" w:cs="Arial" w:eastAsia="Arial" w:hAnsi="Arial"/>
          <w:sz w:val="16"/>
          <w:szCs w:val="16"/>
          <w:color w:val="auto"/>
        </w:rPr>
        <w:t>The Participant’s or the Participant’s Survivors’ right to sell or transfer the Shares may be restricted; and</w:t>
      </w:r>
    </w:p>
    <w:p>
      <w:pPr>
        <w:spacing w:after="0" w:line="234" w:lineRule="exact"/>
        <w:rPr>
          <w:rFonts w:ascii="Arial" w:cs="Arial" w:eastAsia="Arial" w:hAnsi="Arial"/>
          <w:sz w:val="16"/>
          <w:szCs w:val="16"/>
          <w:color w:val="auto"/>
        </w:rPr>
      </w:pPr>
    </w:p>
    <w:p>
      <w:pPr>
        <w:ind w:right="260" w:firstLine="413"/>
        <w:spacing w:after="0" w:line="286" w:lineRule="auto"/>
        <w:tabs>
          <w:tab w:leader="none" w:pos="648" w:val="left"/>
        </w:tabs>
        <w:numPr>
          <w:ilvl w:val="2"/>
          <w:numId w:val="125"/>
        </w:numPr>
        <w:rPr>
          <w:rFonts w:ascii="Arial" w:cs="Arial" w:eastAsia="Arial" w:hAnsi="Arial"/>
          <w:sz w:val="16"/>
          <w:szCs w:val="16"/>
          <w:color w:val="auto"/>
        </w:rPr>
      </w:pPr>
      <w:r>
        <w:rPr>
          <w:rFonts w:ascii="Arial" w:cs="Arial" w:eastAsia="Arial" w:hAnsi="Arial"/>
          <w:sz w:val="16"/>
          <w:szCs w:val="16"/>
          <w:color w:val="auto"/>
        </w:rPr>
        <w:t>The Participant or the Participant’s Survivors may be required to execute letters of investment intent and must also acknowledge that the Shares will bear legends noting any applicable restrictions.</w:t>
      </w:r>
    </w:p>
    <w:p>
      <w:pPr>
        <w:spacing w:after="0" w:line="155" w:lineRule="exact"/>
        <w:rPr>
          <w:rFonts w:ascii="Arial" w:cs="Arial" w:eastAsia="Arial" w:hAnsi="Arial"/>
          <w:sz w:val="16"/>
          <w:szCs w:val="16"/>
          <w:color w:val="auto"/>
        </w:rPr>
      </w:pPr>
    </w:p>
    <w:p>
      <w:pPr>
        <w:ind w:left="660" w:hanging="517"/>
        <w:spacing w:after="0"/>
        <w:tabs>
          <w:tab w:leader="none" w:pos="660"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Each Option shall terminate not more than ten years from the date of the grant or at such earlier time as the Option Agreement may</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provide.</w:t>
      </w:r>
    </w:p>
    <w:p>
      <w:pPr>
        <w:spacing w:after="0" w:line="208" w:lineRule="exact"/>
        <w:rPr>
          <w:rFonts w:ascii="Arial" w:cs="Arial" w:eastAsia="Arial" w:hAnsi="Arial"/>
          <w:sz w:val="16"/>
          <w:szCs w:val="16"/>
          <w:color w:val="auto"/>
        </w:rPr>
      </w:pPr>
    </w:p>
    <w:p>
      <w:pPr>
        <w:ind w:right="580" w:firstLine="8"/>
        <w:spacing w:after="0" w:line="275" w:lineRule="auto"/>
        <w:tabs>
          <w:tab w:leader="none" w:pos="643"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ISOs</w:t>
      </w:r>
      <w:r>
        <w:rPr>
          <w:rFonts w:ascii="Arial" w:cs="Arial" w:eastAsia="Arial" w:hAnsi="Arial"/>
          <w:sz w:val="16"/>
          <w:szCs w:val="16"/>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and relevant regulations and rulings of the Internal Revenue Service:</w:t>
      </w:r>
    </w:p>
    <w:p>
      <w:pPr>
        <w:spacing w:after="0" w:line="164" w:lineRule="exact"/>
        <w:rPr>
          <w:rFonts w:ascii="Arial" w:cs="Arial" w:eastAsia="Arial" w:hAnsi="Arial"/>
          <w:sz w:val="16"/>
          <w:szCs w:val="16"/>
          <w:color w:val="auto"/>
        </w:rPr>
      </w:pPr>
    </w:p>
    <w:p>
      <w:pPr>
        <w:ind w:right="120" w:firstLine="188"/>
        <w:spacing w:after="0" w:line="304" w:lineRule="auto"/>
        <w:tabs>
          <w:tab w:leader="none" w:pos="648"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Minimum Standards</w:t>
      </w:r>
      <w:r>
        <w:rPr>
          <w:rFonts w:ascii="Arial" w:cs="Arial" w:eastAsia="Arial" w:hAnsi="Arial"/>
          <w:sz w:val="16"/>
          <w:szCs w:val="16"/>
          <w:color w:val="auto"/>
        </w:rPr>
        <w:t>. The ISO shall meet the minimum standards required of Non-Qualified Options, as described in Paragraph 6(a) above, except clause (i) and (v) thereunder.</w:t>
      </w:r>
    </w:p>
    <w:p>
      <w:pPr>
        <w:spacing w:after="0" w:line="141" w:lineRule="exact"/>
        <w:rPr>
          <w:rFonts w:ascii="Arial" w:cs="Arial" w:eastAsia="Arial" w:hAnsi="Arial"/>
          <w:sz w:val="16"/>
          <w:szCs w:val="16"/>
          <w:color w:val="auto"/>
        </w:rPr>
      </w:pPr>
    </w:p>
    <w:p>
      <w:pPr>
        <w:ind w:right="380" w:firstLine="153"/>
        <w:spacing w:after="0" w:line="304" w:lineRule="auto"/>
        <w:tabs>
          <w:tab w:leader="none" w:pos="648"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Immediately before the ISO is granted, if the Participant owns, directly or by reason of the applicable attribution rules in Section 424(d) of the Code:</w:t>
      </w:r>
    </w:p>
    <w:p>
      <w:pPr>
        <w:spacing w:after="0" w:line="141" w:lineRule="exact"/>
        <w:rPr>
          <w:rFonts w:ascii="Arial" w:cs="Arial" w:eastAsia="Arial" w:hAnsi="Arial"/>
          <w:sz w:val="16"/>
          <w:szCs w:val="16"/>
          <w:color w:val="auto"/>
        </w:rPr>
      </w:pPr>
    </w:p>
    <w:p>
      <w:pPr>
        <w:ind w:right="380" w:firstLine="413"/>
        <w:spacing w:after="0" w:line="286" w:lineRule="auto"/>
        <w:tabs>
          <w:tab w:leader="none" w:pos="648" w:val="left"/>
        </w:tabs>
        <w:numPr>
          <w:ilvl w:val="2"/>
          <w:numId w:val="125"/>
        </w:numPr>
        <w:rPr>
          <w:rFonts w:ascii="Arial" w:cs="Arial" w:eastAsia="Arial" w:hAnsi="Arial"/>
          <w:sz w:val="16"/>
          <w:szCs w:val="16"/>
          <w:color w:val="auto"/>
        </w:rPr>
      </w:pPr>
      <w:r>
        <w:rPr>
          <w:rFonts w:ascii="Arial" w:cs="Arial" w:eastAsia="Arial" w:hAnsi="Arial"/>
          <w:sz w:val="16"/>
          <w:szCs w:val="16"/>
          <w:color w:val="auto"/>
        </w:rPr>
        <w:t xml:space="preserve">10% </w:t>
      </w:r>
      <w:r>
        <w:rPr>
          <w:rFonts w:ascii="Arial" w:cs="Arial" w:eastAsia="Arial" w:hAnsi="Arial"/>
          <w:sz w:val="16"/>
          <w:szCs w:val="16"/>
          <w:i w:val="1"/>
          <w:iCs w:val="1"/>
          <w:color w:val="auto"/>
        </w:rPr>
        <w:t>or less</w:t>
      </w:r>
      <w:r>
        <w:rPr>
          <w:rFonts w:ascii="Arial" w:cs="Arial" w:eastAsia="Arial" w:hAnsi="Arial"/>
          <w:sz w:val="16"/>
          <w:szCs w:val="16"/>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169" w:lineRule="exact"/>
        <w:rPr>
          <w:rFonts w:ascii="Arial" w:cs="Arial" w:eastAsia="Arial" w:hAnsi="Arial"/>
          <w:sz w:val="16"/>
          <w:szCs w:val="16"/>
          <w:color w:val="auto"/>
        </w:rPr>
      </w:pPr>
    </w:p>
    <w:p>
      <w:pPr>
        <w:ind w:right="120" w:firstLine="413"/>
        <w:spacing w:after="0" w:line="286" w:lineRule="auto"/>
        <w:tabs>
          <w:tab w:leader="none" w:pos="648" w:val="left"/>
        </w:tabs>
        <w:numPr>
          <w:ilvl w:val="2"/>
          <w:numId w:val="125"/>
        </w:numPr>
        <w:rPr>
          <w:rFonts w:ascii="Arial" w:cs="Arial" w:eastAsia="Arial" w:hAnsi="Arial"/>
          <w:sz w:val="16"/>
          <w:szCs w:val="16"/>
          <w:color w:val="auto"/>
        </w:rPr>
      </w:pPr>
      <w:r>
        <w:rPr>
          <w:rFonts w:ascii="Arial" w:cs="Arial" w:eastAsia="Arial" w:hAnsi="Arial"/>
          <w:sz w:val="16"/>
          <w:szCs w:val="16"/>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169" w:lineRule="exact"/>
        <w:rPr>
          <w:rFonts w:ascii="Arial" w:cs="Arial" w:eastAsia="Arial" w:hAnsi="Arial"/>
          <w:sz w:val="16"/>
          <w:szCs w:val="16"/>
          <w:color w:val="auto"/>
        </w:rPr>
      </w:pPr>
    </w:p>
    <w:p>
      <w:pPr>
        <w:ind w:left="660" w:hanging="543"/>
        <w:spacing w:after="0"/>
        <w:tabs>
          <w:tab w:leader="none" w:pos="660"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For Participants who own:</w:t>
      </w:r>
    </w:p>
    <w:p>
      <w:pPr>
        <w:spacing w:after="0" w:line="221" w:lineRule="exact"/>
        <w:rPr>
          <w:rFonts w:ascii="Arial" w:cs="Arial" w:eastAsia="Arial" w:hAnsi="Arial"/>
          <w:sz w:val="16"/>
          <w:szCs w:val="16"/>
          <w:color w:val="auto"/>
        </w:rPr>
      </w:pPr>
    </w:p>
    <w:p>
      <w:pPr>
        <w:ind w:right="300" w:firstLine="413"/>
        <w:spacing w:after="0" w:line="286" w:lineRule="auto"/>
        <w:tabs>
          <w:tab w:leader="none" w:pos="648" w:val="left"/>
        </w:tabs>
        <w:numPr>
          <w:ilvl w:val="2"/>
          <w:numId w:val="125"/>
        </w:numPr>
        <w:rPr>
          <w:rFonts w:ascii="Arial" w:cs="Arial" w:eastAsia="Arial" w:hAnsi="Arial"/>
          <w:sz w:val="16"/>
          <w:szCs w:val="16"/>
          <w:color w:val="auto"/>
        </w:rPr>
      </w:pPr>
      <w:r>
        <w:rPr>
          <w:rFonts w:ascii="Arial" w:cs="Arial" w:eastAsia="Arial" w:hAnsi="Arial"/>
          <w:sz w:val="16"/>
          <w:szCs w:val="16"/>
          <w:color w:val="auto"/>
        </w:rPr>
        <w:t xml:space="preserve">10% </w:t>
      </w:r>
      <w:r>
        <w:rPr>
          <w:rFonts w:ascii="Arial" w:cs="Arial" w:eastAsia="Arial" w:hAnsi="Arial"/>
          <w:sz w:val="16"/>
          <w:szCs w:val="16"/>
          <w:u w:val="single" w:color="auto"/>
          <w:color w:val="auto"/>
        </w:rPr>
        <w:t>or less</w:t>
      </w:r>
      <w:r>
        <w:rPr>
          <w:rFonts w:ascii="Arial" w:cs="Arial" w:eastAsia="Arial" w:hAnsi="Arial"/>
          <w:sz w:val="16"/>
          <w:szCs w:val="16"/>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69" w:lineRule="exact"/>
        <w:rPr>
          <w:rFonts w:ascii="Arial" w:cs="Arial" w:eastAsia="Arial" w:hAnsi="Arial"/>
          <w:sz w:val="16"/>
          <w:szCs w:val="16"/>
          <w:color w:val="auto"/>
        </w:rPr>
      </w:pPr>
    </w:p>
    <w:p>
      <w:pPr>
        <w:ind w:right="20" w:firstLine="413"/>
        <w:spacing w:after="0" w:line="286" w:lineRule="auto"/>
        <w:tabs>
          <w:tab w:leader="none" w:pos="648" w:val="left"/>
        </w:tabs>
        <w:numPr>
          <w:ilvl w:val="2"/>
          <w:numId w:val="125"/>
        </w:numPr>
        <w:rPr>
          <w:rFonts w:ascii="Arial" w:cs="Arial" w:eastAsia="Arial" w:hAnsi="Arial"/>
          <w:sz w:val="16"/>
          <w:szCs w:val="16"/>
          <w:color w:val="auto"/>
        </w:rPr>
      </w:pPr>
      <w:r>
        <w:rPr>
          <w:rFonts w:ascii="Arial" w:cs="Arial" w:eastAsia="Arial" w:hAnsi="Arial"/>
          <w:sz w:val="16"/>
          <w:szCs w:val="16"/>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55" w:lineRule="exact"/>
        <w:rPr>
          <w:rFonts w:ascii="Arial" w:cs="Arial" w:eastAsia="Arial" w:hAnsi="Arial"/>
          <w:sz w:val="16"/>
          <w:szCs w:val="16"/>
          <w:color w:val="auto"/>
        </w:rPr>
      </w:pPr>
    </w:p>
    <w:p>
      <w:pPr>
        <w:ind w:right="380" w:firstLine="107"/>
        <w:spacing w:after="0" w:line="275" w:lineRule="auto"/>
        <w:tabs>
          <w:tab w:leader="none" w:pos="648"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Limitation on Yearly Exercise</w:t>
      </w:r>
      <w:r>
        <w:rPr>
          <w:rFonts w:ascii="Arial" w:cs="Arial" w:eastAsia="Arial" w:hAnsi="Arial"/>
          <w:sz w:val="16"/>
          <w:szCs w:val="16"/>
          <w:color w:val="auto"/>
        </w:rPr>
        <w:t>. To the extent that aggregate Fair Market Value (determined on the date each ISO is granted) of the Shares with respect to which ISOs are exercisable for the first time by the Participant in any calendar year exceeds $100,000, such Options shall be treated as Non-Qualified Options even if denominated ISOs at grant.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3" w:name="page104"/>
    <w:bookmarkEnd w:id="103"/>
    <w:p>
      <w:pPr>
        <w:ind w:right="40" w:firstLine="8"/>
        <w:spacing w:after="0" w:line="261" w:lineRule="auto"/>
        <w:tabs>
          <w:tab w:leader="none" w:pos="64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Except in connection with a corporate transaction involving the Company (which term includes, without limitation, any stock dividend, stock split, extraordinary cash dividend, recapitalization, reorganization, merger, consolidation, split-up, spin-off, combination or exchange of shares) or as otherwise contemplated by Paragraph 24 below, the Company may not, without obtaining stockholder approval, (i) amend the terms of outstanding Options to reduce the exercise price of such Options, (ii) cancel outstanding Options in exchange for Options that have an exercise price that is less than the exercise price value of the original Options, or (iii) cancel outstanding Options that have an exercise price greater than the Fair Market Value of a Share on the date of such cancellation in exchange for cash or other consideration.</w:t>
      </w:r>
    </w:p>
    <w:p>
      <w:pPr>
        <w:spacing w:after="0" w:line="176"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TERMS AND CONDITIONS OF STOCK GRANTS.</w:t>
      </w:r>
    </w:p>
    <w:p>
      <w:pPr>
        <w:spacing w:after="0" w:line="23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restrictions, terms and conditions which the Administrator determines to be appropriate and in the best interest of the Company, subject to the following minimum standards:</w:t>
      </w:r>
    </w:p>
    <w:p>
      <w:pPr>
        <w:spacing w:after="0" w:line="164" w:lineRule="exact"/>
        <w:rPr>
          <w:sz w:val="20"/>
          <w:szCs w:val="20"/>
          <w:color w:val="auto"/>
        </w:rPr>
      </w:pPr>
    </w:p>
    <w:p>
      <w:pPr>
        <w:ind w:right="100" w:firstLine="8"/>
        <w:spacing w:after="0" w:line="275" w:lineRule="auto"/>
        <w:tabs>
          <w:tab w:leader="none" w:pos="64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on the date of the grant of the Stock Grant;</w:t>
      </w:r>
    </w:p>
    <w:p>
      <w:pPr>
        <w:spacing w:after="0" w:line="164" w:lineRule="exact"/>
        <w:rPr>
          <w:rFonts w:ascii="Arial" w:cs="Arial" w:eastAsia="Arial" w:hAnsi="Arial"/>
          <w:sz w:val="16"/>
          <w:szCs w:val="16"/>
          <w:color w:val="auto"/>
        </w:rPr>
      </w:pPr>
    </w:p>
    <w:p>
      <w:pPr>
        <w:ind w:left="660" w:hanging="652"/>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Each Agreement shall state the number of Shares to which the Stock Grant pertains;</w:t>
      </w:r>
    </w:p>
    <w:p>
      <w:pPr>
        <w:spacing w:after="0" w:line="221" w:lineRule="exact"/>
        <w:rPr>
          <w:rFonts w:ascii="Arial" w:cs="Arial" w:eastAsia="Arial" w:hAnsi="Arial"/>
          <w:sz w:val="16"/>
          <w:szCs w:val="16"/>
          <w:color w:val="auto"/>
        </w:rPr>
      </w:pPr>
    </w:p>
    <w:p>
      <w:pPr>
        <w:jc w:val="both"/>
        <w:ind w:right="280" w:firstLine="8"/>
        <w:spacing w:after="0" w:line="275" w:lineRule="auto"/>
        <w:tabs>
          <w:tab w:leader="none" w:pos="64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Each Agreement shall include the terms of any right of the Company to restrict or reacquire the Shares subject to the Stock Grant, including the time period or attainment of Performance Goals or such other performance criteria upon which such rights shall accrue and the purchase price therefor, if any; and</w:t>
      </w:r>
    </w:p>
    <w:p>
      <w:pPr>
        <w:spacing w:after="0" w:line="177" w:lineRule="exact"/>
        <w:rPr>
          <w:rFonts w:ascii="Arial" w:cs="Arial" w:eastAsia="Arial" w:hAnsi="Arial"/>
          <w:sz w:val="16"/>
          <w:szCs w:val="16"/>
          <w:color w:val="auto"/>
        </w:rPr>
      </w:pPr>
    </w:p>
    <w:p>
      <w:pPr>
        <w:jc w:val="both"/>
        <w:ind w:right="180" w:firstLine="8"/>
        <w:spacing w:after="0" w:line="265" w:lineRule="auto"/>
        <w:tabs>
          <w:tab w:leader="none" w:pos="64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Dividends (other than stock dividends to be issued pursuant to Section 25 of the Plan) may accrue but shall not be paid prior to the time, and may be paid only to the extent that the restrictions or rights to reacquire the Shares subject to the Stock Grant lapse. Any entitlement to dividend equivalents or similar entitlements will be established and administered either consistent with an exemption from, or in compliance with the applicable requirements of Section 409A.</w:t>
      </w:r>
    </w:p>
    <w:p>
      <w:pPr>
        <w:spacing w:after="0" w:line="173"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TERMS AND CONDITIONS OF RESTRICTED STOCK UNIT AWARDS AND OTHER STOCK-BASED AWARDS.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Administrator shall have the right to grant Restricted Stock Unit Awards and other Stock-Based Awards based upon the Common Stock having such terms and conditions as the Administrator may determine, including, without limitation, the grant of Shares based upon certain conditions, the grant of securities convertible into Shares and the grant of SARs and phantom stock awards.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Performance Goals or events upon which Shares shall be issued, provided that dividends (other than stock dividends to be issued pursuant to Section 25 of the Plan) or dividend equivalents may accrue but shall not be paid prior to and may be paid only to the extent that the Shares subject to the Stock-Based Award vest. Under no circumstances may an Agreement covering SARs (a) have an exercise or base price (per share) that is less than the Fair Market Value per share of Common Stock on the date of grant or (b) expire more than ten years following the date of grant.</w:t>
      </w:r>
    </w:p>
    <w:p>
      <w:pPr>
        <w:spacing w:after="0" w:line="379"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PERFORMANCE-BASED AWARDS.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issued for such performance period until such certification is made by the Committee. The number of Shares issued in respect of a Performance-Based Award determined by the Committee for a performance period shall be paid to the Participant at such time as determined by the Committee in its sole discretion after the end of such performance period, and any dividends (other than stock dividends to be issued pursuant to Section 25 of the Plan) or dividend equivalents that accrue shall only be paid in respect of the number of Shares earned in respect of such Performance-Based Award.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4" w:name="page105"/>
    <w:bookmarkEnd w:id="104"/>
    <w:p>
      <w:pPr>
        <w:ind w:left="660" w:hanging="652"/>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EXERCISE OF OPTIONS AND ISSUE OF SHARES.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through (d) above, or (f) at the discretion of the Administrator, by payment of such other lawful consideration as the Administrator may determine. Notwithstanding the foregoing, the Administrator shall accept only such payment on exercise of an ISO as is permitted by Section 422.</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that requires the Company to take any action with respect to the Shares prior to their issuance. The Shares shall, upon delivery, be fully paid, non-assessable Shares.</w:t>
      </w:r>
    </w:p>
    <w:p>
      <w:pPr>
        <w:spacing w:after="0" w:line="191" w:lineRule="exact"/>
        <w:rPr>
          <w:sz w:val="20"/>
          <w:szCs w:val="20"/>
          <w:color w:val="auto"/>
        </w:rPr>
      </w:pPr>
    </w:p>
    <w:p>
      <w:pPr>
        <w:ind w:left="640" w:hanging="632"/>
        <w:spacing w:after="0"/>
        <w:tabs>
          <w:tab w:leader="none" w:pos="6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PAYMENT IN CONNECTION WITH THE ISSUANCE OF STOCK GRANTS AND STOCK-BASED AWARDS AND ISSUE OF SHARES.</w:t>
      </w:r>
    </w:p>
    <w:p>
      <w:pPr>
        <w:spacing w:after="0" w:line="22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 treatment) and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17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if the Administrator determines it is necessary to comply with any law or regulation (including, without limitation, federal or state securities laws) which requires the Company to take any action with respect to the Shares prior to their issuance.</w:t>
      </w:r>
    </w:p>
    <w:p>
      <w:pPr>
        <w:spacing w:after="0" w:line="172"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RIGHTS AS A SHAREHOLDER.</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 In addition, at the discretion of the Administrator, the Company shall have received an opinion of its counsel that the Shares may be issued in compliance with the Securities Act without registration thereunder.</w:t>
      </w:r>
    </w:p>
    <w:p>
      <w:pPr>
        <w:spacing w:after="0" w:line="178"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ASSIGNABILITY AND TRANSFERABILITY OF STOCK RIGHTS.</w:t>
      </w:r>
    </w:p>
    <w:p>
      <w:pPr>
        <w:spacing w:after="0" w:line="2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5" w:name="page106"/>
    <w:bookmarkEnd w:id="105"/>
    <w:p>
      <w:pPr>
        <w:ind w:left="660" w:hanging="652"/>
        <w:spacing w:after="0"/>
        <w:tabs>
          <w:tab w:leader="none" w:pos="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EFFECT ON OPTIONS OF TERMINATION OF SERVICE OTHER THAN FOR CAUSE OR DEATH OR DISABILITY.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provided in a Participant’s Option Agreement, in the event of a termination of service (whether as an Employee, director or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Consultant) with the Company or an Affiliate before the Participant has exercised an Option, the following rules apply:</w:t>
      </w:r>
    </w:p>
    <w:p>
      <w:pPr>
        <w:spacing w:after="0" w:line="209" w:lineRule="exact"/>
        <w:rPr>
          <w:sz w:val="20"/>
          <w:szCs w:val="20"/>
          <w:color w:val="auto"/>
        </w:rPr>
      </w:pPr>
    </w:p>
    <w:p>
      <w:pPr>
        <w:ind w:right="340" w:firstLine="8"/>
        <w:spacing w:after="0" w:line="265" w:lineRule="auto"/>
        <w:tabs>
          <w:tab w:leader="none" w:pos="64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Participant who ceases to be an Employee, director or Consultant of the Company or of an Affiliate (for any reason other than termination for Cause, Disability, or death for which events there are special rules in Paragraphs 15, 16, and 17, respectively), may exercise any Option granted to such Participant to the extent that the Option is exercisable on the date of such termination of service, but only within such term as the Administrator has designated in a Participant’s Option Agreement.</w:t>
      </w:r>
    </w:p>
    <w:p>
      <w:pPr>
        <w:spacing w:after="0" w:line="186" w:lineRule="exact"/>
        <w:rPr>
          <w:rFonts w:ascii="Arial" w:cs="Arial" w:eastAsia="Arial" w:hAnsi="Arial"/>
          <w:sz w:val="16"/>
          <w:szCs w:val="16"/>
          <w:color w:val="auto"/>
        </w:rPr>
      </w:pPr>
    </w:p>
    <w:p>
      <w:pPr>
        <w:ind w:right="260" w:firstLine="8"/>
        <w:spacing w:after="0" w:line="286" w:lineRule="auto"/>
        <w:tabs>
          <w:tab w:leader="none" w:pos="64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Except as provided in Subparagraph (c) below, or Paragraph 16 or 17, in no event may an Option intended to be an ISO, be exercised later than three months after the Participant’s termination of employment.</w:t>
      </w:r>
    </w:p>
    <w:p>
      <w:pPr>
        <w:spacing w:after="0" w:line="169" w:lineRule="exact"/>
        <w:rPr>
          <w:rFonts w:ascii="Arial" w:cs="Arial" w:eastAsia="Arial" w:hAnsi="Arial"/>
          <w:sz w:val="16"/>
          <w:szCs w:val="16"/>
          <w:color w:val="auto"/>
        </w:rPr>
      </w:pPr>
    </w:p>
    <w:p>
      <w:pPr>
        <w:ind w:right="60" w:firstLine="8"/>
        <w:spacing w:after="0" w:line="265" w:lineRule="auto"/>
        <w:tabs>
          <w:tab w:leader="none" w:pos="64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provisions of this Paragraph, and not the provisions of Paragraph 16 or 17,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w:t>
      </w:r>
    </w:p>
    <w:p>
      <w:pPr>
        <w:spacing w:after="0" w:line="172" w:lineRule="exact"/>
        <w:rPr>
          <w:rFonts w:ascii="Arial" w:cs="Arial" w:eastAsia="Arial" w:hAnsi="Arial"/>
          <w:sz w:val="16"/>
          <w:szCs w:val="16"/>
          <w:color w:val="auto"/>
        </w:rPr>
      </w:pPr>
    </w:p>
    <w:p>
      <w:pPr>
        <w:ind w:right="180" w:firstLine="8"/>
        <w:spacing w:after="0" w:line="265" w:lineRule="auto"/>
        <w:tabs>
          <w:tab w:leader="none" w:pos="64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186" w:lineRule="exact"/>
        <w:rPr>
          <w:rFonts w:ascii="Arial" w:cs="Arial" w:eastAsia="Arial" w:hAnsi="Arial"/>
          <w:sz w:val="16"/>
          <w:szCs w:val="16"/>
          <w:color w:val="auto"/>
        </w:rPr>
      </w:pPr>
    </w:p>
    <w:p>
      <w:pPr>
        <w:ind w:right="100" w:firstLine="8"/>
        <w:spacing w:after="0" w:line="261" w:lineRule="auto"/>
        <w:tabs>
          <w:tab w:leader="none" w:pos="64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three months, unless pursuant to a contract or statute that guarantees the right to reemployment, shall cause such ISO to become a Non-Qualified Option on the date that is six months following the commencement of such leave of absence.</w:t>
      </w:r>
    </w:p>
    <w:p>
      <w:pPr>
        <w:spacing w:after="0" w:line="176" w:lineRule="exact"/>
        <w:rPr>
          <w:rFonts w:ascii="Arial" w:cs="Arial" w:eastAsia="Arial" w:hAnsi="Arial"/>
          <w:sz w:val="16"/>
          <w:szCs w:val="16"/>
          <w:color w:val="auto"/>
        </w:rPr>
      </w:pPr>
    </w:p>
    <w:p>
      <w:pPr>
        <w:jc w:val="both"/>
        <w:ind w:right="180" w:firstLine="8"/>
        <w:spacing w:after="0" w:line="275" w:lineRule="auto"/>
        <w:tabs>
          <w:tab w:leader="none" w:pos="63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64"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EFFECT ON OPTIONS OF TERMINATION OF SERVICE FOR CAUSE.</w:t>
      </w:r>
    </w:p>
    <w:p>
      <w:pPr>
        <w:spacing w:after="0" w:line="23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156"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All outstanding and unexercised Options as of the time the Participant is notified his or her service is terminated for Cause will immediately be</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forfeited.</w:t>
      </w:r>
    </w:p>
    <w:p>
      <w:pPr>
        <w:spacing w:after="0" w:line="208" w:lineRule="exact"/>
        <w:rPr>
          <w:rFonts w:ascii="Arial" w:cs="Arial" w:eastAsia="Arial" w:hAnsi="Arial"/>
          <w:sz w:val="16"/>
          <w:szCs w:val="16"/>
          <w:color w:val="auto"/>
        </w:rPr>
      </w:pPr>
    </w:p>
    <w:p>
      <w:pPr>
        <w:ind w:right="120" w:firstLine="8"/>
        <w:spacing w:after="0" w:line="265" w:lineRule="auto"/>
        <w:tabs>
          <w:tab w:leader="none" w:pos="64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186" w:lineRule="exact"/>
        <w:rPr>
          <w:sz w:val="20"/>
          <w:szCs w:val="20"/>
          <w:color w:val="auto"/>
        </w:rPr>
      </w:pPr>
    </w:p>
    <w:p>
      <w:pPr>
        <w:ind w:left="660" w:right="5120" w:hanging="652"/>
        <w:spacing w:after="0" w:line="528" w:lineRule="auto"/>
        <w:tabs>
          <w:tab w:leader="none" w:pos="65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EFFECT ON OPTIONS OF TERMINATION OF SERVICE FOR DISABILITY. Except as otherwise provided in a Participant’s Option Agreement:</w:t>
      </w:r>
    </w:p>
    <w:p>
      <w:pPr>
        <w:ind w:right="160" w:firstLine="8"/>
        <w:spacing w:after="0" w:line="261" w:lineRule="auto"/>
        <w:tabs>
          <w:tab w:leader="none" w:pos="64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Participant who ceases to be an Employee, director or Consultant of the Company or of an Affiliate by reason of Disability may exercise any Option granted to such Participant to the extent that the Option has become exercisable but has not been exercised on the date of the Participant’s termination of service due to Disability; and 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6" w:name="page107"/>
    <w:bookmarkEnd w:id="106"/>
    <w:p>
      <w:pPr>
        <w:ind w:right="60" w:firstLine="8"/>
        <w:spacing w:after="0" w:line="265" w:lineRule="auto"/>
        <w:tabs>
          <w:tab w:leader="none" w:pos="64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186" w:lineRule="exact"/>
        <w:rPr>
          <w:rFonts w:ascii="Arial" w:cs="Arial" w:eastAsia="Arial" w:hAnsi="Arial"/>
          <w:sz w:val="16"/>
          <w:szCs w:val="16"/>
          <w:color w:val="auto"/>
        </w:rPr>
      </w:pPr>
    </w:p>
    <w:p>
      <w:pPr>
        <w:ind w:right="80" w:firstLine="8"/>
        <w:spacing w:after="0" w:line="265" w:lineRule="auto"/>
        <w:tabs>
          <w:tab w:leader="none" w:pos="64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73"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EFFECT ON OPTIONS OF DEATH WHILE AN EMPLOYEE, DIRECTOR OR CONSULTANT.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provided in a Participant’s Option Agreement:</w:t>
      </w:r>
    </w:p>
    <w:p>
      <w:pPr>
        <w:spacing w:after="0" w:line="221" w:lineRule="exact"/>
        <w:rPr>
          <w:sz w:val="20"/>
          <w:szCs w:val="20"/>
          <w:color w:val="auto"/>
        </w:rPr>
      </w:pPr>
    </w:p>
    <w:p>
      <w:pPr>
        <w:ind w:right="120" w:firstLine="8"/>
        <w:spacing w:after="0" w:line="260" w:lineRule="auto"/>
        <w:tabs>
          <w:tab w:leader="none" w:pos="64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the event of the death of a Participant while the Participant is an Employee, director or Consultant of the Company or of an Affiliate, such Option may be exercised by the Participant’s Survivors to the extent that the Option has become exercisable but has not been exercised on the date of death; and 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91" w:lineRule="exact"/>
        <w:rPr>
          <w:rFonts w:ascii="Arial" w:cs="Arial" w:eastAsia="Arial" w:hAnsi="Arial"/>
          <w:sz w:val="16"/>
          <w:szCs w:val="16"/>
          <w:color w:val="auto"/>
        </w:rPr>
      </w:pPr>
    </w:p>
    <w:p>
      <w:pPr>
        <w:jc w:val="both"/>
        <w:ind w:right="40" w:firstLine="8"/>
        <w:spacing w:after="0" w:line="275" w:lineRule="auto"/>
        <w:tabs>
          <w:tab w:leader="none" w:pos="64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64" w:lineRule="exact"/>
        <w:rPr>
          <w:sz w:val="20"/>
          <w:szCs w:val="20"/>
          <w:color w:val="auto"/>
        </w:rPr>
      </w:pPr>
    </w:p>
    <w:p>
      <w:pPr>
        <w:ind w:right="200" w:firstLine="8"/>
        <w:spacing w:after="0" w:line="286" w:lineRule="auto"/>
        <w:tabs>
          <w:tab w:leader="none" w:pos="64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EFFECT OF TERMINATION OF SERVICE ON UNACCEPTED STOCK GRANTS, RESTRICTED STOCK UNIT AWARDS AND OTHER STOCK-BASED AWARDS.</w:t>
      </w:r>
    </w:p>
    <w:p>
      <w:pPr>
        <w:spacing w:after="0" w:line="16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event of a termination of service (whether as an Employee, director or Consultant) with the Company or an Affiliate for any reason before the Participant has accepted a Stock Grant or a Stock-Based Award, including a Restricted Stock Unit Award, and paid the purchase price, if required, such grant shall terminate.</w:t>
      </w:r>
    </w:p>
    <w:p>
      <w:pPr>
        <w:spacing w:after="0" w:line="16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For purposes of this Paragraph 18 and Paragraph 19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17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addition, for purposes of this Paragraph 18 and Paragraph 19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64" w:lineRule="exact"/>
        <w:rPr>
          <w:sz w:val="20"/>
          <w:szCs w:val="20"/>
          <w:color w:val="auto"/>
        </w:rPr>
      </w:pPr>
    </w:p>
    <w:p>
      <w:pPr>
        <w:ind w:right="60" w:firstLine="8"/>
        <w:spacing w:after="0" w:line="304" w:lineRule="auto"/>
        <w:tabs>
          <w:tab w:leader="none" w:pos="64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EFFECT ON STOCK GRANTS, RESTRICTED STOCK UNIT AWARDS AND OTHER STOCK-BASED AWARDS OF TERMINATION OF SERVICE OTHER THAN FOR CAUSE, DEATH OR DISABILITY.</w:t>
      </w:r>
    </w:p>
    <w:p>
      <w:pPr>
        <w:spacing w:after="0" w:line="1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Except as otherwise provided in a Participant’s Agreement, in the event of a termination of service for any reason (whether as an Employee, director or Consultant), other than termination for Cause, death or Disability for which there are special rules in Paragraphs 20, 21, and 22 below, before all vesting or forfeiture provisions or Company rights of repurchase shall have lapsed, then the Company shall have the right to cancel or repurchase that number of Shares subject to a Stock Grant as to which the Company’s forfeiture or repurchase rights have not lapsed, or cancel a Restricted Stock Unit Award or other Stock-Based Award without the issuance of any additional shares thereunder.</w:t>
      </w:r>
    </w:p>
    <w:p>
      <w:pPr>
        <w:spacing w:after="0" w:line="191" w:lineRule="exact"/>
        <w:rPr>
          <w:sz w:val="20"/>
          <w:szCs w:val="20"/>
          <w:color w:val="auto"/>
        </w:rPr>
      </w:pPr>
    </w:p>
    <w:p>
      <w:pPr>
        <w:ind w:right="60" w:firstLine="8"/>
        <w:spacing w:after="0" w:line="286" w:lineRule="auto"/>
        <w:tabs>
          <w:tab w:leader="none" w:pos="64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EFFECT ON STOCK GRANTS, RESTRICTED STOCK UNIT AWARDS AND OTHER STOCK-BASED AWARDS OF TERMINATION OF SERVICE FOR CAUSE.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provided in a Participant’s Agreement, the following rules apply if the Participant’s service (whether as an Employee, director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Consultant) with the Company or an Affiliate is terminated for Cause:</w:t>
      </w:r>
    </w:p>
    <w:p>
      <w:pPr>
        <w:spacing w:after="0" w:line="205" w:lineRule="exact"/>
        <w:rPr>
          <w:sz w:val="20"/>
          <w:szCs w:val="20"/>
          <w:color w:val="auto"/>
        </w:rPr>
      </w:pPr>
    </w:p>
    <w:p>
      <w:pPr>
        <w:ind w:right="20" w:firstLine="8"/>
        <w:spacing w:after="0" w:line="275" w:lineRule="auto"/>
        <w:tabs>
          <w:tab w:leader="none" w:pos="64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All Shares subject to any Stock Grant or Stock-Based Award that remain subject to vesting or forfeiture provisions or as to which the Company shall have a repurchase right and Restricted Stock Unit Awards for which Shares have not been issued shall be immediately forfeited to the Company as of the time the Participant is notified his or her service is terminated for Cause.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7" w:name="page108"/>
    <w:bookmarkEnd w:id="107"/>
    <w:p>
      <w:pPr>
        <w:ind w:right="120" w:firstLine="8"/>
        <w:spacing w:after="0" w:line="265" w:lineRule="auto"/>
        <w:tabs>
          <w:tab w:leader="none" w:pos="64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or Stock-Based Award that remained subject to vesting or forfeiture provisions or as to which the Company had a repurchase right on the date of termination shall be immediately forfeited to the Company.</w:t>
      </w:r>
    </w:p>
    <w:p>
      <w:pPr>
        <w:spacing w:after="0" w:line="172" w:lineRule="exact"/>
        <w:rPr>
          <w:sz w:val="20"/>
          <w:szCs w:val="20"/>
          <w:color w:val="auto"/>
        </w:rPr>
      </w:pPr>
    </w:p>
    <w:p>
      <w:pPr>
        <w:ind w:right="60" w:firstLine="8"/>
        <w:spacing w:after="0" w:line="286" w:lineRule="auto"/>
        <w:tabs>
          <w:tab w:leader="none" w:pos="64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EFFECT ON STOCK GRANTS, RESTRICTED STOCK UNIT AWARDS AND OTHER STOCK-BASED AWARDS OF TERMINATION OF SERVICE FOR DISABILITY.</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the Participant’s termination due to Disability, the Stock Grant or Stock Based Award shall be forfeited; provided, however, that in the event such forfeiture provisions or rights of repurchase lapse periodically, such forfeiture provisions or rights shall lapse to the extent of a pro rata portion of the Shares subject to such Stock Grant or Stock-Based Award through the date of the Participant’s termination due to Disability as would have lapsed had the Participant not been terminated due to Disability. The proration shall be based upon the number of days accrued prior to the date of the Participant’s termination due to Disability.</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68" w:lineRule="exact"/>
        <w:rPr>
          <w:sz w:val="20"/>
          <w:szCs w:val="20"/>
          <w:color w:val="auto"/>
        </w:rPr>
      </w:pPr>
    </w:p>
    <w:p>
      <w:pPr>
        <w:ind w:right="840" w:firstLine="8"/>
        <w:spacing w:after="0" w:line="286" w:lineRule="auto"/>
        <w:tabs>
          <w:tab w:leader="none" w:pos="644"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EFFECT ON STOCK GRANTS, RESTRICTED STOCK UNIT AWARDS AND OTHER STOCK-BASED AWARDS OF DEATH WHILE AN EMPLOYEE, DIRECTOR OR CONSULTANT.</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Except as otherwise provided in a Participant’s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the Participant’s death, the Stock Grant or Stock Based Award shall be forfeited; provided, however, that in the event such forfeiture provisions or rights of repurchase lapse periodically, such forfeiture provisions or rights shall lapse to the extent of a pro rata portion of the Shares subject to such Stock Grant or Stock-Based Award through the date of the Participant’s death as would have lapsed had the Participant not died. The proration shall be based upon the number of days accrued prior to the date of the Participant’s death.</w:t>
      </w:r>
    </w:p>
    <w:p>
      <w:pPr>
        <w:spacing w:after="0" w:line="176"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PURCHASE FOR INVESTMENT.</w:t>
      </w:r>
    </w:p>
    <w:p>
      <w:pPr>
        <w:spacing w:after="0" w:line="235" w:lineRule="exact"/>
        <w:rPr>
          <w:sz w:val="20"/>
          <w:szCs w:val="20"/>
          <w:color w:val="auto"/>
        </w:rPr>
      </w:pPr>
    </w:p>
    <w:p>
      <w:pPr>
        <w:ind w:right="20" w:firstLine="8"/>
        <w:spacing w:after="0" w:line="286" w:lineRule="auto"/>
        <w:tabs>
          <w:tab w:leader="none" w:pos="64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155" w:lineRule="exact"/>
        <w:rPr>
          <w:rFonts w:ascii="Arial" w:cs="Arial" w:eastAsia="Arial" w:hAnsi="Arial"/>
          <w:sz w:val="16"/>
          <w:szCs w:val="16"/>
          <w:color w:val="auto"/>
        </w:rPr>
      </w:pPr>
    </w:p>
    <w:p>
      <w:pPr>
        <w:jc w:val="both"/>
        <w:ind w:right="160" w:firstLine="8"/>
        <w:spacing w:after="0" w:line="271" w:lineRule="auto"/>
        <w:tabs>
          <w:tab w:leader="none" w:pos="64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 of a Stock Right:</w:t>
      </w:r>
    </w:p>
    <w:p>
      <w:pPr>
        <w:spacing w:after="0" w:line="16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173"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DISSOLUTION OR LIQUIDATION OF THE COMPANY.</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8" w:name="page109"/>
    <w:bookmarkEnd w:id="108"/>
    <w:p>
      <w:pPr>
        <w:ind w:left="660" w:hanging="652"/>
        <w:spacing w:after="0"/>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ADJUSTMENTS.</w:t>
      </w:r>
    </w:p>
    <w:p>
      <w:pPr>
        <w:spacing w:after="0" w:line="221" w:lineRule="exact"/>
        <w:rPr>
          <w:sz w:val="20"/>
          <w:szCs w:val="20"/>
          <w:color w:val="auto"/>
        </w:rPr>
      </w:pPr>
    </w:p>
    <w:p>
      <w:pPr>
        <w:ind w:right="20" w:firstLine="648"/>
        <w:spacing w:after="0" w:line="304" w:lineRule="auto"/>
        <w:rPr>
          <w:sz w:val="20"/>
          <w:szCs w:val="20"/>
          <w:color w:val="auto"/>
        </w:rPr>
      </w:pPr>
      <w:r>
        <w:rPr>
          <w:rFonts w:ascii="Arial" w:cs="Arial" w:eastAsia="Arial" w:hAnsi="Arial"/>
          <w:sz w:val="16"/>
          <w:szCs w:val="16"/>
          <w:color w:val="auto"/>
        </w:rPr>
        <w:t>Upon the occurrence of any of the following events, a Participant’s rights with respect to any Stock Right granted to such Participant hereunder shall be adjusted as hereinafter provided, unless otherwise specifically provided in a Participant’s Agreement.</w:t>
      </w:r>
    </w:p>
    <w:p>
      <w:pPr>
        <w:spacing w:after="0" w:line="141"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Stock Dividends and Stock Splits</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right="120" w:firstLine="188"/>
        <w:spacing w:after="0" w:line="261" w:lineRule="auto"/>
        <w:tabs>
          <w:tab w:leader="none" w:pos="648"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If (1) the shares of Common Stock shall be subdivided or combined into a greater or smaller number of shares or if the Company shall issue any shares of Common Stock as a stock dividend on its outstanding Common Stock, or (2)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base or purchase price per share and in the Performance Goals applicable to outstanding Performance-Based Awards to reflect such events. The number of Shares subject to the limitations in Paragraph 3(a) shall also be proportionately adjusted upon the occurrence of such events.</w:t>
      </w:r>
    </w:p>
    <w:p>
      <w:pPr>
        <w:spacing w:after="0" w:line="176" w:lineRule="exact"/>
        <w:rPr>
          <w:rFonts w:ascii="Arial" w:cs="Arial" w:eastAsia="Arial" w:hAnsi="Arial"/>
          <w:sz w:val="16"/>
          <w:szCs w:val="16"/>
          <w:color w:val="auto"/>
        </w:rPr>
      </w:pPr>
    </w:p>
    <w:p>
      <w:pPr>
        <w:ind w:right="140" w:firstLine="153"/>
        <w:spacing w:after="0" w:line="265" w:lineRule="auto"/>
        <w:tabs>
          <w:tab w:leader="none" w:pos="648"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Administrator may also make adjustments of the type described in Paragraph 25(a) above to take into account distributions to stockholders other than those provided for in Paragraphs 25(b) below, or any other event, if the Administrator determines that adjustments are appropriate to avoid distortion in the operation of the Plan or any award, having due regard for the qualification of ISOs under Section 422, the requirements of Section 409A, to the extent applicable.</w:t>
      </w:r>
    </w:p>
    <w:p>
      <w:pPr>
        <w:spacing w:after="0" w:line="172" w:lineRule="exact"/>
        <w:rPr>
          <w:rFonts w:ascii="Arial" w:cs="Arial" w:eastAsia="Arial" w:hAnsi="Arial"/>
          <w:sz w:val="16"/>
          <w:szCs w:val="16"/>
          <w:color w:val="auto"/>
        </w:rPr>
      </w:pPr>
    </w:p>
    <w:p>
      <w:pPr>
        <w:ind w:left="660" w:hanging="543"/>
        <w:spacing w:after="0"/>
        <w:tabs>
          <w:tab w:leader="none" w:pos="6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References in the Plan to Shares will be construed to include any stock or securities resulting from an adjustment pursuant to this Paragraph 25(a).</w:t>
      </w:r>
    </w:p>
    <w:p>
      <w:pPr>
        <w:spacing w:after="0" w:line="234" w:lineRule="exact"/>
        <w:rPr>
          <w:rFonts w:ascii="Arial" w:cs="Arial" w:eastAsia="Arial" w:hAnsi="Arial"/>
          <w:sz w:val="16"/>
          <w:szCs w:val="16"/>
          <w:color w:val="auto"/>
        </w:rPr>
      </w:pPr>
    </w:p>
    <w:p>
      <w:pPr>
        <w:ind w:right="40" w:firstLine="8"/>
        <w:spacing w:after="0" w:line="250" w:lineRule="auto"/>
        <w:tabs>
          <w:tab w:leader="none" w:pos="643"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Upon a Corporate Transaction, the Administrator or the board of directors of any entity assuming the obligations of the Company hereunder (the “</w:t>
      </w:r>
      <w:r>
        <w:rPr>
          <w:rFonts w:ascii="Arial" w:cs="Arial" w:eastAsia="Arial" w:hAnsi="Arial"/>
          <w:sz w:val="16"/>
          <w:szCs w:val="16"/>
          <w:b w:val="1"/>
          <w:bCs w:val="1"/>
          <w:color w:val="auto"/>
        </w:rPr>
        <w:t>Successor Board</w:t>
      </w:r>
      <w:r>
        <w:rPr>
          <w:rFonts w:ascii="Arial" w:cs="Arial" w:eastAsia="Arial" w:hAnsi="Arial"/>
          <w:sz w:val="16"/>
          <w:szCs w:val="16"/>
          <w:color w:val="auto"/>
        </w:rPr>
        <w:t>”), may, as to outstanding Options, take any of the following actions: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6"/>
          <w:szCs w:val="16"/>
          <w:u w:val="single" w:color="auto"/>
          <w:color w:val="auto"/>
        </w:rPr>
        <w:t>less the aggregate</w:t>
      </w:r>
      <w:r>
        <w:rPr>
          <w:rFonts w:ascii="Arial" w:cs="Arial" w:eastAsia="Arial" w:hAnsi="Arial"/>
          <w:sz w:val="16"/>
          <w:szCs w:val="16"/>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 For the avoidance of doubt, if the per share exercise price of an Option or portion thereof is equal to or greater than the Fair Market Value of one Share of Common Stock, such Option may be cancelled with no payment due hereunder or otherwise in respect thereof.</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With respect to outstanding Stock Grants or Stock-Based Awards, including Restricted Stock Unit Awards, the Administrator or the Successor Board, shall make appropriate provision for the continuation of such Stock Grants or Stock-Based Awards on the same terms and conditions by substituting on an equitable basis for the Shares then subject to such Stock Grants or Stock-Based Awards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or Stock-Based Award shall be terminated in exchange for payment of an amount equal to the consideration payable upon consummation of such Corporate Transaction to a holder of the number of shares of Common Stock comprising such Stock Grant or Stock-Based Award (to the extent such Stock Grant or Stock-Based Award is no longer subject to any vesting, forfeiture or repurchase rights then in effect or, at the discretion of the Administrator, all vesting, forfeiture and repurchase rights being waived). For the avoidance of doubt, if the purchase or base price of a Stock Grant or Stock-Based Award or portion thereof is equal to or greater than the Fair Market Value of one Share of Common Stock, such Stock Grant or Stock-Based Award, as applicable, may be cancelled with no payment due hereunder or otherwise in respect thereof.</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taking any of the actions permitted under this Paragraph 25(b), the Administrator shall not be obligated by the Plan to treat all Stock Rights, all Stock Rights held by a Participant, or all Stock Rights of the same type, identically.</w:t>
      </w:r>
    </w:p>
    <w:p>
      <w:pPr>
        <w:spacing w:after="0" w:line="1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 Stock Right may be subject to additional acceleration of vesting and exercisability upon or after a Change of Control as may be provided in the Agreement for such Stock Right, in any other written agreement between the Company or any Affiliate and the Participant or in any director compensation policy of the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9" w:name="page110"/>
    <w:bookmarkEnd w:id="109"/>
    <w:p>
      <w:pPr>
        <w:ind w:right="60" w:firstLine="8"/>
        <w:spacing w:after="0" w:line="265" w:lineRule="auto"/>
        <w:tabs>
          <w:tab w:leader="none" w:pos="648"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Recapitalization or Reorganization</w:t>
      </w:r>
      <w:r>
        <w:rPr>
          <w:rFonts w:ascii="Arial" w:cs="Arial" w:eastAsia="Arial" w:hAnsi="Arial"/>
          <w:sz w:val="16"/>
          <w:szCs w:val="16"/>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72" w:lineRule="exact"/>
        <w:rPr>
          <w:rFonts w:ascii="Arial" w:cs="Arial" w:eastAsia="Arial" w:hAnsi="Arial"/>
          <w:sz w:val="16"/>
          <w:szCs w:val="16"/>
          <w:color w:val="auto"/>
        </w:rPr>
      </w:pPr>
    </w:p>
    <w:p>
      <w:pPr>
        <w:ind w:right="100" w:firstLine="8"/>
        <w:spacing w:after="0" w:line="265" w:lineRule="auto"/>
        <w:tabs>
          <w:tab w:leader="none" w:pos="643"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Adjustments to Stock-Based Awards</w:t>
      </w:r>
      <w:r>
        <w:rPr>
          <w:rFonts w:ascii="Arial" w:cs="Arial" w:eastAsia="Arial" w:hAnsi="Arial"/>
          <w:sz w:val="16"/>
          <w:szCs w:val="16"/>
          <w:color w:val="auto"/>
        </w:rPr>
        <w:t>. Upon the happening of any of the events described in Subparagraphs (a), (b) or (c) above, any outstanding Stock Right shall be appropriately adjusted to reflect the events described in such Subparagraphs. The Administrator or the Successor Board shall determine the specific adjustments to be made under this Paragraph 25, including, but not limited to the effect of any, Corporate Transaction and Change of Control and, subject to Paragraph 4, its determination shall be conclusive.</w:t>
      </w:r>
    </w:p>
    <w:p>
      <w:pPr>
        <w:spacing w:after="0" w:line="186" w:lineRule="exact"/>
        <w:rPr>
          <w:rFonts w:ascii="Arial" w:cs="Arial" w:eastAsia="Arial" w:hAnsi="Arial"/>
          <w:sz w:val="16"/>
          <w:szCs w:val="16"/>
          <w:color w:val="auto"/>
        </w:rPr>
      </w:pPr>
    </w:p>
    <w:p>
      <w:pPr>
        <w:ind w:right="100" w:firstLine="8"/>
        <w:spacing w:after="0" w:line="265" w:lineRule="auto"/>
        <w:tabs>
          <w:tab w:leader="none" w:pos="643"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Termination of Awards upon Consummation of Corporate Transaction</w:t>
      </w:r>
      <w:r>
        <w:rPr>
          <w:rFonts w:ascii="Arial" w:cs="Arial" w:eastAsia="Arial" w:hAnsi="Arial"/>
          <w:sz w:val="16"/>
          <w:szCs w:val="16"/>
          <w:color w:val="auto"/>
        </w:rPr>
        <w:t>. Except as the Administrator may otherwise determine, each Stock Right will automatically terminate (and in the case of outstanding Shares of restricted Common Stock, will automatically be forfeited) immediately upon the consummation of a Corporate Transaction, other than (i) any award that is assumed, continued or substituted pursuant to Paragraph 25(b) above, and (ii) any cash award that by its terms, or as a result of action taken by the Administrator, continues following the consummation of the Corporate Transaction.</w:t>
      </w:r>
    </w:p>
    <w:p>
      <w:pPr>
        <w:spacing w:after="0" w:line="173"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ISSUANCES OF SECURITIES.</w:t>
      </w:r>
    </w:p>
    <w:p>
      <w:pPr>
        <w:spacing w:after="0" w:line="221" w:lineRule="exact"/>
        <w:rPr>
          <w:sz w:val="20"/>
          <w:szCs w:val="20"/>
          <w:color w:val="auto"/>
        </w:rPr>
      </w:pPr>
    </w:p>
    <w:p>
      <w:pPr>
        <w:jc w:val="both"/>
        <w:ind w:right="120" w:firstLine="8"/>
        <w:spacing w:after="0" w:line="271" w:lineRule="auto"/>
        <w:tabs>
          <w:tab w:leader="none" w:pos="64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67" w:lineRule="exact"/>
        <w:rPr>
          <w:rFonts w:ascii="Arial" w:cs="Arial" w:eastAsia="Arial" w:hAnsi="Arial"/>
          <w:sz w:val="16"/>
          <w:szCs w:val="16"/>
          <w:color w:val="auto"/>
        </w:rPr>
      </w:pPr>
    </w:p>
    <w:p>
      <w:pPr>
        <w:ind w:firstLine="8"/>
        <w:spacing w:after="0" w:line="258" w:lineRule="auto"/>
        <w:tabs>
          <w:tab w:leader="none" w:pos="64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Company will not be obligated to issue any Shares pursuant to the Plan or to remove any restriction from Shares previously issued under the Plan until: (i) the Company is satisfied that all legal matters in connection with the issuance of such Shares have been addressed and resolved; (ii) if the outstanding Shares is at the time of issuance listed on any stock exchange or national market system, the Shares to be issued have been listed or authorized to be listed on such exchange or system upon official notice of issuance; and (iii) all conditions of the award have been satisfied or waived. The Company may require, as a condition to the exercise of an award or the issuance of Shares under an award, such representations or agreements as counsel for the Company may consider appropriate to avoid violation of the Securities Act, as amended, or any applicable state or non-U.S. securities law. Any Shares issued under the Plan will be evidenced in such manner as the Administrator determines appropriate, including book-entry registration or delivery of stock certificates. In the event that the Administrator determines that stock certificates will be issued in connection with Shares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182"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FRACTIONAL SHARES.</w:t>
      </w:r>
    </w:p>
    <w:p>
      <w:pPr>
        <w:spacing w:after="0" w:line="221"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No fractional shares shall be issued under the Plan and the Participant shall receive from the Company cash in lieu of such fractional shares equal to the Fair Market Value thereof.</w:t>
      </w:r>
    </w:p>
    <w:p>
      <w:pPr>
        <w:spacing w:after="0" w:line="141"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WITHHOLDING.</w:t>
      </w:r>
    </w:p>
    <w:p>
      <w:pPr>
        <w:spacing w:after="0" w:line="2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In the event that any federal, state, or local income taxes, employment taxes, Federal Insurance Contributions Act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If the Fair Market Value of the shares withheld is less than the amount of payroll withholdings required, the Participant may be required to advance the difference in cash to the Company or the Affiliate employer.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0" w:name="page111"/>
    <w:bookmarkEnd w:id="110"/>
    <w:p>
      <w:pPr>
        <w:ind w:left="660" w:hanging="652"/>
        <w:spacing w:after="0"/>
        <w:tabs>
          <w:tab w:leader="none" w:pos="6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TERMINATION OF THE PLAN.</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 xml:space="preserve">The Plan will terminate on March 26, 2036, the date which is ten years from the </w:t>
      </w:r>
      <w:r>
        <w:rPr>
          <w:rFonts w:ascii="Arial" w:cs="Arial" w:eastAsia="Arial" w:hAnsi="Arial"/>
          <w:sz w:val="16"/>
          <w:szCs w:val="16"/>
          <w:i w:val="1"/>
          <w:iCs w:val="1"/>
          <w:color w:val="auto"/>
        </w:rPr>
        <w:t>earlier</w:t>
      </w:r>
      <w:r>
        <w:rPr>
          <w:rFonts w:ascii="Arial" w:cs="Arial" w:eastAsia="Arial" w:hAnsi="Arial"/>
          <w:sz w:val="16"/>
          <w:szCs w:val="16"/>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68" w:lineRule="exact"/>
        <w:rPr>
          <w:sz w:val="20"/>
          <w:szCs w:val="20"/>
          <w:color w:val="auto"/>
        </w:rPr>
      </w:pPr>
    </w:p>
    <w:p>
      <w:pPr>
        <w:ind w:left="660" w:hanging="652"/>
        <w:spacing w:after="0"/>
        <w:tabs>
          <w:tab w:leader="none" w:pos="6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AMENDMENT OF THE PLAN AND AGREEMENTS.</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Plan may be amended by the shareholders of the Company. The Plan may also be amended by the Administrator; provided that any amendment approved by the Administrator which the Administrator determines is of a scope that requires shareholder approval shall be subject to obtaining such shareholder approval including, without limitation, to the extent necessary to qualify any or all outstanding Stock Rights granted under the Plan or Stock Rights to be granted under the Plan for favorable federal income tax treatment as may be afforded ISOs under Section 422 and to the extent necessary to qualify the Shares issuable under the Plan for listing on any national securities exchange or quotation in any national automated quotation system of securities dealers. Any modification or amendment of the Plan shall not, without the consent of a Participant, adversely affect his or her rights under a Stock Right previously granted to such Participant, unless such amendment is required by applicable law or necessary to preserve the economic value of such Stock Right. With the consent of the Participant affected, the Administrator may amend outstanding Agreements in a manner which may be adverse to such Participant but which is not inconsistent with the Plan. In the discretion of the Administrator, outstanding Agreements may be amended by the Administrator in a manner which is not adverse to the Participant. Nothing in this Paragraph 30 shall limit the Administrator’s authority to take any action permitted pursuant to Paragraph 25.</w:t>
      </w:r>
    </w:p>
    <w:p>
      <w:pPr>
        <w:spacing w:after="0" w:line="392"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EMPLOYMENT OR OTHER RELATIONSHIP.</w:t>
      </w:r>
    </w:p>
    <w:p>
      <w:pPr>
        <w:spacing w:after="0" w:line="2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64"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SECTION 409A AND SECTION 422.</w:t>
      </w:r>
    </w:p>
    <w:p>
      <w:pPr>
        <w:spacing w:after="0" w:line="23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Company intends that the Plan and any Stock Rights granted hereunder be exempt from or comply with Section 409A, to the extent applicable. The Company intends that ISOs comply with Section 422, to the extent applicable. Any ambiguities in the Plan or any Stock Right shall be construed to effect the intent as described in this Paragraph 32.</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If a Participant is a “specified employee” as defined in Section 409A (and as applied according to procedures of the Company and its Affiliates) as of such Participant’s separation from service, to the extent any payment under this Plan or pursuant to a Stock Right constitutes non-exempt deferred compensation under Section 409A that is being paid by reason of the separation from service, no payments due under this Plan or pursuant to a Stock Right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Administrator shall administer the Plan with a view toward ensuring that Stock Rights under the Plan that are subject to Section 409A or Section 422, as applicable comply with the requirements thereof and that Options under the Plan be exempt from the requirements of Section 409A or compliant with Section 422, as applicable, but neither the Administrator nor any member of the Board of Directors, nor the Company nor any of its Affiliates, nor any other person acting hereunder on behalf of the Company, the Administrator or the Board of Directors shall be liable to a Participant or any Survivor by reason of the acceleration of any income, or the imposition of any additional tax or penalty, with respect to a Stock Right, whether by reason of a failure to satisfy the requirements of Section 409A or Section 422 or otherwise.</w:t>
      </w:r>
    </w:p>
    <w:p>
      <w:pPr>
        <w:spacing w:after="0" w:line="176"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INDEMNITY.</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Neither the Board of Directors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of Directors,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1" w:name="page112"/>
    <w:bookmarkEnd w:id="111"/>
    <w:p>
      <w:pPr>
        <w:ind w:left="660" w:hanging="652"/>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CLAWBACK.</w:t>
      </w:r>
    </w:p>
    <w:p>
      <w:pPr>
        <w:spacing w:after="0" w:line="2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as then in effect is triggered.</w:t>
      </w:r>
    </w:p>
    <w:p>
      <w:pPr>
        <w:spacing w:after="0" w:line="178"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GOVERNING LAW.</w:t>
      </w:r>
    </w:p>
    <w:p>
      <w:pPr>
        <w:spacing w:after="0" w:line="2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This Plan shall be construed and enforced in accordance with the law of the State of Delaware.</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WAIVER OF JURY TRIAL.</w:t>
      </w:r>
    </w:p>
    <w:p>
      <w:pPr>
        <w:spacing w:after="0" w:line="2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spacing w:after="0" w:line="177" w:lineRule="exact"/>
        <w:rPr>
          <w:sz w:val="20"/>
          <w:szCs w:val="20"/>
          <w:color w:val="auto"/>
        </w:rPr>
      </w:pPr>
    </w:p>
    <w:p>
      <w:pPr>
        <w:ind w:left="660" w:hanging="652"/>
        <w:spacing w:after="0"/>
        <w:tabs>
          <w:tab w:leader="none" w:pos="6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UNFUNDED OBLIGATIONS.</w:t>
      </w:r>
    </w:p>
    <w:p>
      <w:pPr>
        <w:spacing w:after="0" w:line="23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9017000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79978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72200" cy="7997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78352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72200" cy="78352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1."/>
      <w:numFmt w:val="decimal"/>
      <w:start w:val="1"/>
    </w:lvl>
  </w:abstractNum>
  <w:abstractNum w:abstractNumId="5">
    <w:nsid w:val="76272110"/>
    <w:multiLevelType w:val="hybridMultilevel"/>
    <w:lvl w:ilvl="0">
      <w:lvlJc w:val="left"/>
      <w:lvlText w:val="1"/>
      <w:numFmt w:val="bullet"/>
      <w:start w:val="1"/>
    </w:lvl>
  </w:abstractNum>
  <w:abstractNum w:abstractNumId="6">
    <w:nsid w:val="4C04A8AF"/>
    <w:multiLevelType w:val="hybridMultilevel"/>
    <w:lvl w:ilvl="0">
      <w:lvlJc w:val="left"/>
      <w:lvlText w:val="\endash "/>
      <w:numFmt w:val="bullet"/>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2"/>
      <w:numFmt w:val="bullet"/>
      <w:start w:val="1"/>
    </w:lvl>
  </w:abstractNum>
  <w:abstractNum w:abstractNumId="9">
    <w:nsid w:val="3222E7CD"/>
    <w:multiLevelType w:val="hybridMultilevel"/>
    <w:lvl w:ilvl="0">
      <w:lvlJc w:val="left"/>
      <w:lvlText w:val="•"/>
      <w:numFmt w:val="bullet"/>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3"/>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
      <w:numFmt w:val="bullet"/>
      <w:start w:val="1"/>
    </w:lvl>
    <w:lvl w:ilvl="1">
      <w:lvlJc w:val="left"/>
      <w:lvlText w:val="•"/>
      <w:numFmt w:val="bullet"/>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C"/>
      <w:numFmt w:val="bullet"/>
      <w:start w:val="1"/>
    </w:lvl>
  </w:abstractNum>
  <w:abstractNum w:abstractNumId="20">
    <w:nsid w:val="26F324BA"/>
    <w:multiLevelType w:val="hybridMultilevel"/>
    <w:lvl w:ilvl="0">
      <w:lvlJc w:val="left"/>
      <w:lvlText w:val="*"/>
      <w:numFmt w:val="bullet"/>
      <w:start w:val="1"/>
    </w:lvl>
  </w:abstractNum>
  <w:abstractNum w:abstractNumId="21">
    <w:nsid w:val="7F01579B"/>
    <w:multiLevelType w:val="hybridMultilevel"/>
    <w:lvl w:ilvl="0">
      <w:lvlJc w:val="left"/>
      <w:lvlText w:val="•"/>
      <w:numFmt w:val="bullet"/>
      <w:start w:val="1"/>
    </w:lvl>
  </w:abstractNum>
  <w:abstractNum w:abstractNumId="22">
    <w:nsid w:val="49DA307D"/>
    <w:multiLevelType w:val="hybridMultilevel"/>
    <w:lvl w:ilvl="0">
      <w:lvlJc w:val="left"/>
      <w:lvlText w:val="•"/>
      <w:numFmt w:val="bullet"/>
      <w:start w:val="1"/>
    </w:lvl>
  </w:abstractNum>
  <w:abstractNum w:abstractNumId="23">
    <w:nsid w:val="7055A5F5"/>
    <w:multiLevelType w:val="hybridMultilevel"/>
    <w:lvl w:ilvl="0">
      <w:lvlJc w:val="left"/>
      <w:lvlText w:val="•"/>
      <w:numFmt w:val="bullet"/>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
      <w:numFmt w:val="bullet"/>
      <w:start w:val="1"/>
    </w:lvl>
  </w:abstractNum>
  <w:abstractNum w:abstractNumId="27">
    <w:nsid w:val="5FB8011C"/>
    <w:multiLevelType w:val="hybridMultilevel"/>
    <w:lvl w:ilvl="0">
      <w:lvlJc w:val="left"/>
      <w:lvlText w:val="(%1)"/>
      <w:numFmt w:val="decimal"/>
      <w:start w:val="1"/>
    </w:lvl>
  </w:abstractNum>
  <w:abstractNum w:abstractNumId="28">
    <w:nsid w:val="6AA78F7F"/>
    <w:multiLevelType w:val="hybridMultilevel"/>
    <w:lvl w:ilvl="0">
      <w:lvlJc w:val="left"/>
      <w:lvlText w:val="•"/>
      <w:numFmt w:val="bullet"/>
      <w:start w:val="1"/>
    </w:lvl>
  </w:abstractNum>
  <w:abstractNum w:abstractNumId="29">
    <w:nsid w:val="7672BD23"/>
    <w:multiLevelType w:val="hybridMultilevel"/>
    <w:lvl w:ilvl="0">
      <w:lvlJc w:val="left"/>
      <w:lvlText w:val="•"/>
      <w:numFmt w:val="bullet"/>
      <w:start w:val="1"/>
    </w:lvl>
  </w:abstractNum>
  <w:abstractNum w:abstractNumId="30">
    <w:nsid w:val="6FC75AF8"/>
    <w:multiLevelType w:val="hybridMultilevel"/>
    <w:lvl w:ilvl="0">
      <w:lvlJc w:val="left"/>
      <w:lvlText w:val="•"/>
      <w:numFmt w:val="bullet"/>
      <w:start w:val="1"/>
    </w:lvl>
  </w:abstractNum>
  <w:abstractNum w:abstractNumId="31">
    <w:nsid w:val="6A5F7029"/>
    <w:multiLevelType w:val="hybridMultilevel"/>
    <w:lvl w:ilvl="0">
      <w:lvlJc w:val="left"/>
      <w:lvlText w:val="(%1)"/>
      <w:numFmt w:val="decimal"/>
      <w:start w:val="1"/>
    </w:lvl>
  </w:abstractNum>
  <w:abstractNum w:abstractNumId="32">
    <w:nsid w:val="7D5E18F8"/>
    <w:multiLevelType w:val="hybridMultilevel"/>
    <w:lvl w:ilvl="0">
      <w:lvlJc w:val="left"/>
      <w:lvlText w:val="•"/>
      <w:numFmt w:val="bullet"/>
      <w:start w:val="1"/>
    </w:lvl>
  </w:abstractNum>
  <w:abstractNum w:abstractNumId="33">
    <w:nsid w:val="5F3534A4"/>
    <w:multiLevelType w:val="hybridMultilevel"/>
    <w:lvl w:ilvl="0">
      <w:lvlJc w:val="left"/>
      <w:lvlText w:val="•"/>
      <w:numFmt w:val="bullet"/>
      <w:start w:val="1"/>
    </w:lvl>
  </w:abstractNum>
  <w:abstractNum w:abstractNumId="34">
    <w:nsid w:val="73A1821B"/>
    <w:multiLevelType w:val="hybridMultilevel"/>
    <w:lvl w:ilvl="0">
      <w:lvlJc w:val="left"/>
      <w:lvlText w:val="•"/>
      <w:numFmt w:val="bullet"/>
      <w:start w:val="1"/>
    </w:lvl>
  </w:abstractNum>
  <w:abstractNum w:abstractNumId="35">
    <w:nsid w:val="7DE67713"/>
    <w:multiLevelType w:val="hybridMultilevel"/>
    <w:lvl w:ilvl="0">
      <w:lvlJc w:val="left"/>
      <w:lvlText w:val="•"/>
      <w:numFmt w:val="bullet"/>
      <w:start w:val="1"/>
    </w:lvl>
  </w:abstractNum>
  <w:abstractNum w:abstractNumId="36">
    <w:nsid w:val="555C55B5"/>
    <w:multiLevelType w:val="hybridMultilevel"/>
    <w:lvl w:ilvl="0">
      <w:lvlJc w:val="left"/>
      <w:lvlText w:val="•"/>
      <w:numFmt w:val="bullet"/>
      <w:start w:val="1"/>
    </w:lvl>
  </w:abstractNum>
  <w:abstractNum w:abstractNumId="37">
    <w:nsid w:val="3FA62ACA"/>
    <w:multiLevelType w:val="hybridMultilevel"/>
    <w:lvl w:ilvl="0">
      <w:lvlJc w:val="left"/>
      <w:lvlText w:val="•"/>
      <w:numFmt w:val="bullet"/>
      <w:start w:val="1"/>
    </w:lvl>
  </w:abstractNum>
  <w:abstractNum w:abstractNumId="38">
    <w:nsid w:val="14FCE74E"/>
    <w:multiLevelType w:val="hybridMultilevel"/>
    <w:lvl w:ilvl="0">
      <w:lvlJc w:val="left"/>
      <w:lvlText w:val="•"/>
      <w:numFmt w:val="bullet"/>
      <w:start w:val="1"/>
    </w:lvl>
  </w:abstractNum>
  <w:abstractNum w:abstractNumId="39">
    <w:nsid w:val="6A3DD3E8"/>
    <w:multiLevelType w:val="hybridMultilevel"/>
    <w:lvl w:ilvl="0">
      <w:lvlJc w:val="left"/>
      <w:lvlText w:val="**"/>
      <w:numFmt w:val="bullet"/>
      <w:start w:val="1"/>
    </w:lvl>
  </w:abstractNum>
  <w:abstractNum w:abstractNumId="40">
    <w:nsid w:val="71C91298"/>
    <w:multiLevelType w:val="hybridMultilevel"/>
    <w:lvl w:ilvl="0">
      <w:lvlJc w:val="left"/>
      <w:lvlText w:val="•"/>
      <w:numFmt w:val="bullet"/>
      <w:start w:val="1"/>
    </w:lvl>
  </w:abstractNum>
  <w:abstractNum w:abstractNumId="41">
    <w:nsid w:val="9DAF632"/>
    <w:multiLevelType w:val="hybridMultilevel"/>
    <w:lvl w:ilvl="0">
      <w:lvlJc w:val="left"/>
      <w:lvlText w:val="•"/>
      <w:numFmt w:val="bullet"/>
      <w:start w:val="1"/>
    </w:lvl>
  </w:abstractNum>
  <w:abstractNum w:abstractNumId="42">
    <w:nsid w:val="53299938"/>
    <w:multiLevelType w:val="hybridMultilevel"/>
    <w:lvl w:ilvl="0">
      <w:lvlJc w:val="left"/>
      <w:lvlText w:val="•"/>
      <w:numFmt w:val="bullet"/>
      <w:start w:val="1"/>
    </w:lvl>
  </w:abstractNum>
  <w:abstractNum w:abstractNumId="43">
    <w:nsid w:val="1FBFE8E0"/>
    <w:multiLevelType w:val="hybridMultilevel"/>
    <w:lvl w:ilvl="0">
      <w:lvlJc w:val="left"/>
      <w:lvlText w:val="•"/>
      <w:numFmt w:val="bullet"/>
      <w:start w:val="1"/>
    </w:lvl>
  </w:abstractNum>
  <w:abstractNum w:abstractNumId="44">
    <w:nsid w:val="5092CA79"/>
    <w:multiLevelType w:val="hybridMultilevel"/>
    <w:lvl w:ilvl="0">
      <w:lvlJc w:val="left"/>
      <w:lvlText w:val="(%1)"/>
      <w:numFmt w:val="decimal"/>
      <w:start w:val="1"/>
    </w:lvl>
  </w:abstractNum>
  <w:abstractNum w:abstractNumId="45">
    <w:nsid w:val="1D545C4D"/>
    <w:multiLevelType w:val="hybridMultilevel"/>
    <w:lvl w:ilvl="0">
      <w:lvlJc w:val="left"/>
      <w:lvlText w:val="(%1)"/>
      <w:numFmt w:val="decimal"/>
      <w:start w:val="1"/>
    </w:lvl>
  </w:abstractNum>
  <w:abstractNum w:abstractNumId="46">
    <w:nsid w:val="59ADEA3D"/>
    <w:multiLevelType w:val="hybridMultilevel"/>
    <w:lvl w:ilvl="0">
      <w:lvlJc w:val="left"/>
      <w:lvlText w:val="•"/>
      <w:numFmt w:val="bullet"/>
      <w:start w:val="1"/>
    </w:lvl>
  </w:abstractNum>
  <w:abstractNum w:abstractNumId="47">
    <w:nsid w:val="288F1A34"/>
    <w:multiLevelType w:val="hybridMultilevel"/>
    <w:lvl w:ilvl="0">
      <w:lvlJc w:val="left"/>
      <w:lvlText w:val="(%1)"/>
      <w:numFmt w:val="decimal"/>
      <w:start w:val="1"/>
    </w:lvl>
  </w:abstractNum>
  <w:abstractNum w:abstractNumId="48">
    <w:nsid w:val="2A155DBC"/>
    <w:multiLevelType w:val="hybridMultilevel"/>
    <w:lvl w:ilvl="0">
      <w:lvlJc w:val="left"/>
      <w:lvlText w:val="(%1)"/>
      <w:numFmt w:val="decimal"/>
      <w:start w:val="1"/>
    </w:lvl>
  </w:abstractNum>
  <w:abstractNum w:abstractNumId="49">
    <w:nsid w:val="1D9F6E5F"/>
    <w:multiLevelType w:val="hybridMultilevel"/>
    <w:lvl w:ilvl="0">
      <w:lvlJc w:val="left"/>
      <w:lvlText w:val="•"/>
      <w:numFmt w:val="bullet"/>
      <w:start w:val="1"/>
    </w:lvl>
  </w:abstractNum>
  <w:abstractNum w:abstractNumId="50">
    <w:nsid w:val="97E1B4E"/>
    <w:multiLevelType w:val="hybridMultilevel"/>
    <w:lvl w:ilvl="0">
      <w:lvlJc w:val="left"/>
      <w:lvlText w:val="•"/>
      <w:numFmt w:val="bullet"/>
      <w:start w:val="1"/>
    </w:lvl>
  </w:abstractNum>
  <w:abstractNum w:abstractNumId="51">
    <w:nsid w:val="51088277"/>
    <w:multiLevelType w:val="hybridMultilevel"/>
    <w:lvl w:ilvl="0">
      <w:lvlJc w:val="left"/>
      <w:lvlText w:val="•"/>
      <w:numFmt w:val="bullet"/>
      <w:start w:val="1"/>
    </w:lvl>
  </w:abstractNum>
  <w:abstractNum w:abstractNumId="52">
    <w:nsid w:val="1CA0C5FA"/>
    <w:multiLevelType w:val="hybridMultilevel"/>
    <w:lvl w:ilvl="0">
      <w:lvlJc w:val="left"/>
      <w:lvlText w:val="•"/>
      <w:numFmt w:val="bullet"/>
      <w:start w:val="1"/>
    </w:lvl>
  </w:abstractNum>
  <w:abstractNum w:abstractNumId="53">
    <w:nsid w:val="53584BCB"/>
    <w:multiLevelType w:val="hybridMultilevel"/>
    <w:lvl w:ilvl="0">
      <w:lvlJc w:val="left"/>
      <w:lvlText w:val="(%1)"/>
      <w:numFmt w:val="decimal"/>
      <w:start w:val="1"/>
    </w:lvl>
  </w:abstractNum>
  <w:abstractNum w:abstractNumId="54">
    <w:nsid w:val="415E286C"/>
    <w:multiLevelType w:val="hybridMultilevel"/>
    <w:lvl w:ilvl="0">
      <w:lvlJc w:val="left"/>
      <w:lvlText w:val="(%1)"/>
      <w:numFmt w:val="decimal"/>
      <w:start w:val="6"/>
    </w:lvl>
  </w:abstractNum>
  <w:abstractNum w:abstractNumId="55">
    <w:nsid w:val="7C58FD05"/>
    <w:multiLevelType w:val="hybridMultilevel"/>
    <w:lvl w:ilvl="0">
      <w:lvlJc w:val="left"/>
      <w:lvlText w:val="(%1)"/>
      <w:numFmt w:val="decimal"/>
      <w:start w:val="1"/>
    </w:lvl>
  </w:abstractNum>
  <w:abstractNum w:abstractNumId="56">
    <w:nsid w:val="23D86AAC"/>
    <w:multiLevelType w:val="hybridMultilevel"/>
    <w:lvl w:ilvl="0">
      <w:lvlJc w:val="left"/>
      <w:lvlText w:val="(%1)"/>
      <w:numFmt w:val="decimal"/>
      <w:start w:val="4"/>
    </w:lvl>
  </w:abstractNum>
  <w:abstractNum w:abstractNumId="57">
    <w:nsid w:val="45E6D486"/>
    <w:multiLevelType w:val="hybridMultilevel"/>
    <w:lvl w:ilvl="0">
      <w:lvlJc w:val="left"/>
      <w:lvlText w:val="(%1)"/>
      <w:numFmt w:val="decimal"/>
      <w:start w:val="1"/>
    </w:lvl>
  </w:abstractNum>
  <w:abstractNum w:abstractNumId="58">
    <w:nsid w:val="5C10FE21"/>
    <w:multiLevelType w:val="hybridMultilevel"/>
    <w:lvl w:ilvl="0">
      <w:lvlJc w:val="left"/>
      <w:lvlText w:val="(%1)"/>
      <w:numFmt w:val="decimal"/>
      <w:start w:val="6"/>
    </w:lvl>
  </w:abstractNum>
  <w:abstractNum w:abstractNumId="59">
    <w:nsid w:val="E7FFA2B"/>
    <w:multiLevelType w:val="hybridMultilevel"/>
    <w:lvl w:ilvl="0">
      <w:lvlJc w:val="left"/>
      <w:lvlText w:val="(%1)"/>
      <w:numFmt w:val="decimal"/>
      <w:start w:val="1"/>
    </w:lvl>
  </w:abstractNum>
  <w:abstractNum w:abstractNumId="60">
    <w:nsid w:val="3C5991AA"/>
    <w:multiLevelType w:val="hybridMultilevel"/>
    <w:lvl w:ilvl="0">
      <w:lvlJc w:val="left"/>
      <w:lvlText w:val="•"/>
      <w:numFmt w:val="bullet"/>
      <w:start w:val="1"/>
    </w:lvl>
  </w:abstractNum>
  <w:abstractNum w:abstractNumId="61">
    <w:nsid w:val="4BD8591A"/>
    <w:multiLevelType w:val="hybridMultilevel"/>
    <w:lvl w:ilvl="0">
      <w:lvlJc w:val="left"/>
      <w:lvlText w:val="•"/>
      <w:numFmt w:val="bullet"/>
      <w:start w:val="1"/>
    </w:lvl>
  </w:abstractNum>
  <w:abstractNum w:abstractNumId="62">
    <w:nsid w:val="78DF6A55"/>
    <w:multiLevelType w:val="hybridMultilevel"/>
    <w:lvl w:ilvl="0">
      <w:lvlJc w:val="left"/>
      <w:lvlText w:val="•"/>
      <w:numFmt w:val="bullet"/>
      <w:start w:val="1"/>
    </w:lvl>
  </w:abstractNum>
  <w:abstractNum w:abstractNumId="63">
    <w:nsid w:val="39B7AAA2"/>
    <w:multiLevelType w:val="hybridMultilevel"/>
    <w:lvl w:ilvl="0">
      <w:lvlJc w:val="left"/>
      <w:lvlText w:val="(%1)"/>
      <w:numFmt w:val="decimal"/>
      <w:start w:val="1"/>
    </w:lvl>
  </w:abstractNum>
  <w:abstractNum w:abstractNumId="64">
    <w:nsid w:val="2B0D8DBE"/>
    <w:multiLevelType w:val="hybridMultilevel"/>
    <w:lvl w:ilvl="0">
      <w:lvlJc w:val="left"/>
      <w:lvlText w:val="(%1)"/>
      <w:numFmt w:val="decimal"/>
      <w:start w:val="2"/>
    </w:lvl>
  </w:abstractNum>
  <w:abstractNum w:abstractNumId="65">
    <w:nsid w:val="6C80EC70"/>
    <w:multiLevelType w:val="hybridMultilevel"/>
    <w:lvl w:ilvl="0">
      <w:lvlJc w:val="left"/>
      <w:lvlText w:val="(%1)"/>
      <w:numFmt w:val="decimal"/>
      <w:start w:val="3"/>
    </w:lvl>
  </w:abstractNum>
  <w:abstractNum w:abstractNumId="66">
    <w:nsid w:val="379E21B5"/>
    <w:multiLevelType w:val="hybridMultilevel"/>
    <w:lvl w:ilvl="0">
      <w:lvlJc w:val="left"/>
      <w:lvlText w:val="(%1)"/>
      <w:numFmt w:val="decimal"/>
      <w:start w:val="1"/>
    </w:lvl>
  </w:abstractNum>
  <w:abstractNum w:abstractNumId="67">
    <w:nsid w:val="69E373"/>
    <w:multiLevelType w:val="hybridMultilevel"/>
    <w:lvl w:ilvl="0">
      <w:lvlJc w:val="left"/>
      <w:lvlText w:val="(%1)"/>
      <w:numFmt w:val="decimal"/>
      <w:start w:val="1"/>
    </w:lvl>
  </w:abstractNum>
  <w:abstractNum w:abstractNumId="68">
    <w:nsid w:val="2C27173B"/>
    <w:multiLevelType w:val="hybridMultilevel"/>
    <w:lvl w:ilvl="0">
      <w:lvlJc w:val="left"/>
      <w:lvlText w:val="(%1)"/>
      <w:numFmt w:val="decimal"/>
      <w:start w:val="1"/>
    </w:lvl>
  </w:abstractNum>
  <w:abstractNum w:abstractNumId="69">
    <w:nsid w:val="4C9B0904"/>
    <w:multiLevelType w:val="hybridMultilevel"/>
    <w:lvl w:ilvl="0">
      <w:lvlJc w:val="left"/>
      <w:lvlText w:val="(%1)"/>
      <w:numFmt w:val="decimal"/>
      <w:start w:val="1"/>
    </w:lvl>
  </w:abstractNum>
  <w:abstractNum w:abstractNumId="70">
    <w:nsid w:val="6AA7B75C"/>
    <w:multiLevelType w:val="hybridMultilevel"/>
    <w:lvl w:ilvl="0">
      <w:lvlJc w:val="left"/>
      <w:lvlText w:val="(%1)"/>
      <w:numFmt w:val="decimal"/>
      <w:start w:val="1"/>
    </w:lvl>
  </w:abstractNum>
  <w:abstractNum w:abstractNumId="71">
    <w:nsid w:val="1DF029D3"/>
    <w:multiLevelType w:val="hybridMultilevel"/>
    <w:lvl w:ilvl="0">
      <w:lvlJc w:val="left"/>
      <w:lvlText w:val="*"/>
      <w:numFmt w:val="bullet"/>
      <w:start w:val="1"/>
    </w:lvl>
  </w:abstractNum>
  <w:abstractNum w:abstractNumId="72">
    <w:nsid w:val="5675FF36"/>
    <w:multiLevelType w:val="hybridMultilevel"/>
    <w:lvl w:ilvl="0">
      <w:lvlJc w:val="left"/>
      <w:lvlText w:val="**"/>
      <w:numFmt w:val="bullet"/>
      <w:start w:val="1"/>
    </w:lvl>
  </w:abstractNum>
  <w:abstractNum w:abstractNumId="73">
    <w:nsid w:val="3DD15094"/>
    <w:multiLevelType w:val="hybridMultilevel"/>
    <w:lvl w:ilvl="0">
      <w:lvlJc w:val="left"/>
      <w:lvlText w:val="(%1)"/>
      <w:numFmt w:val="decimal"/>
      <w:start w:val="1"/>
    </w:lvl>
  </w:abstractNum>
  <w:abstractNum w:abstractNumId="74">
    <w:nsid w:val="3DB012B3"/>
    <w:multiLevelType w:val="hybridMultilevel"/>
    <w:lvl w:ilvl="0">
      <w:lvlJc w:val="left"/>
      <w:lvlText w:val="•"/>
      <w:numFmt w:val="bullet"/>
      <w:start w:val="1"/>
    </w:lvl>
  </w:abstractNum>
  <w:abstractNum w:abstractNumId="75">
    <w:nsid w:val="2708C9AF"/>
    <w:multiLevelType w:val="hybridMultilevel"/>
    <w:lvl w:ilvl="0">
      <w:lvlJc w:val="left"/>
      <w:lvlText w:val="•"/>
      <w:numFmt w:val="bullet"/>
      <w:start w:val="1"/>
    </w:lvl>
  </w:abstractNum>
  <w:abstractNum w:abstractNumId="76">
    <w:nsid w:val="5B25ACE2"/>
    <w:multiLevelType w:val="hybridMultilevel"/>
    <w:lvl w:ilvl="0">
      <w:lvlJc w:val="left"/>
      <w:lvlText w:val="ü"/>
      <w:numFmt w:val="bullet"/>
      <w:start w:val="1"/>
    </w:lvl>
  </w:abstractNum>
  <w:abstractNum w:abstractNumId="77">
    <w:nsid w:val="175DFCF0"/>
    <w:multiLevelType w:val="hybridMultilevel"/>
    <w:lvl w:ilvl="0">
      <w:lvlJc w:val="left"/>
      <w:lvlText w:val="%1."/>
      <w:numFmt w:val="decimal"/>
      <w:start w:val="1"/>
    </w:lvl>
  </w:abstractNum>
  <w:abstractNum w:abstractNumId="78">
    <w:nsid w:val="4F97E3E4"/>
    <w:multiLevelType w:val="hybridMultilevel"/>
    <w:lvl w:ilvl="0">
      <w:lvlJc w:val="left"/>
      <w:lvlText w:val="(%1)"/>
      <w:numFmt w:val="lowerRoman"/>
      <w:start w:val="1"/>
    </w:lvl>
  </w:abstractNum>
  <w:abstractNum w:abstractNumId="79">
    <w:nsid w:val="53B0A9E"/>
    <w:multiLevelType w:val="hybridMultilevel"/>
    <w:lvl w:ilvl="0">
      <w:lvlJc w:val="left"/>
      <w:lvlText w:val="•"/>
      <w:numFmt w:val="bullet"/>
      <w:start w:val="1"/>
    </w:lvl>
  </w:abstractNum>
  <w:abstractNum w:abstractNumId="80">
    <w:nsid w:val="34FD6B4F"/>
    <w:multiLevelType w:val="hybridMultilevel"/>
    <w:lvl w:ilvl="0">
      <w:lvlJc w:val="left"/>
      <w:lvlText w:val="•"/>
      <w:numFmt w:val="bullet"/>
      <w:start w:val="1"/>
    </w:lvl>
  </w:abstractNum>
  <w:abstractNum w:abstractNumId="81">
    <w:nsid w:val="5915FF32"/>
    <w:multiLevelType w:val="hybridMultilevel"/>
    <w:lvl w:ilvl="0">
      <w:lvlJc w:val="left"/>
      <w:lvlText w:val="(%1)"/>
      <w:numFmt w:val="decimal"/>
      <w:start w:val="1"/>
    </w:lvl>
  </w:abstractNum>
  <w:abstractNum w:abstractNumId="82">
    <w:nsid w:val="56438D15"/>
    <w:multiLevelType w:val="hybridMultilevel"/>
    <w:lvl w:ilvl="0">
      <w:lvlJc w:val="left"/>
      <w:lvlText w:val="(%1)"/>
      <w:numFmt w:val="decimal"/>
      <w:start w:val="1"/>
    </w:lvl>
  </w:abstractNum>
  <w:abstractNum w:abstractNumId="83">
    <w:nsid w:val="519E3149"/>
    <w:multiLevelType w:val="hybridMultilevel"/>
    <w:lvl w:ilvl="0">
      <w:lvlJc w:val="left"/>
      <w:lvlText w:val="(%1)"/>
      <w:numFmt w:val="decimal"/>
      <w:start w:val="1"/>
    </w:lvl>
  </w:abstractNum>
  <w:abstractNum w:abstractNumId="84">
    <w:nsid w:val="2C6E4AFD"/>
    <w:multiLevelType w:val="hybridMultilevel"/>
    <w:lvl w:ilvl="0">
      <w:lvlJc w:val="left"/>
      <w:lvlText w:val="\emdash "/>
      <w:numFmt w:val="bullet"/>
      <w:start w:val="1"/>
    </w:lvl>
  </w:abstractNum>
  <w:abstractNum w:abstractNumId="85">
    <w:nsid w:val="17A1B582"/>
    <w:multiLevelType w:val="hybridMultilevel"/>
    <w:lvl w:ilvl="0">
      <w:lvlJc w:val="left"/>
      <w:lvlText w:val="\emdash "/>
      <w:numFmt w:val="bullet"/>
      <w:start w:val="1"/>
    </w:lvl>
  </w:abstractNum>
  <w:abstractNum w:abstractNumId="86">
    <w:nsid w:val="4DF72E4E"/>
    <w:multiLevelType w:val="hybridMultilevel"/>
    <w:lvl w:ilvl="0">
      <w:lvlJc w:val="left"/>
      <w:lvlText w:val="(%1)"/>
      <w:numFmt w:val="decimal"/>
      <w:start w:val="2"/>
    </w:lvl>
  </w:abstractNum>
  <w:abstractNum w:abstractNumId="87">
    <w:nsid w:val="5046B5A9"/>
    <w:multiLevelType w:val="hybridMultilevel"/>
    <w:lvl w:ilvl="0">
      <w:lvlJc w:val="left"/>
      <w:lvlText w:val="(%1)"/>
      <w:numFmt w:val="decimal"/>
      <w:start w:val="1"/>
    </w:lvl>
  </w:abstractNum>
  <w:abstractNum w:abstractNumId="88">
    <w:nsid w:val="5D888A08"/>
    <w:multiLevelType w:val="hybridMultilevel"/>
    <w:lvl w:ilvl="0">
      <w:lvlJc w:val="left"/>
      <w:lvlText w:val="(%1)"/>
      <w:numFmt w:val="decimal"/>
      <w:start w:val="1"/>
    </w:lvl>
  </w:abstractNum>
  <w:abstractNum w:abstractNumId="89">
    <w:nsid w:val="2A082C70"/>
    <w:multiLevelType w:val="hybridMultilevel"/>
    <w:lvl w:ilvl="0">
      <w:lvlJc w:val="left"/>
      <w:lvlText w:val="(%1)"/>
      <w:numFmt w:val="decimal"/>
      <w:start w:val="1"/>
    </w:lvl>
  </w:abstractNum>
  <w:abstractNum w:abstractNumId="90">
    <w:nsid w:val="5EC6AFD4"/>
    <w:multiLevelType w:val="hybridMultilevel"/>
    <w:lvl w:ilvl="0">
      <w:lvlJc w:val="left"/>
      <w:lvlText w:val="%1."/>
      <w:numFmt w:val="decimal"/>
      <w:start w:val="1"/>
    </w:lvl>
  </w:abstractNum>
  <w:abstractNum w:abstractNumId="91">
    <w:nsid w:val="19E21BB2"/>
    <w:multiLevelType w:val="hybridMultilevel"/>
    <w:lvl w:ilvl="0">
      <w:lvlJc w:val="left"/>
      <w:lvlText w:val="(%1)"/>
      <w:numFmt w:val="lowerLetter"/>
      <w:start w:val="1"/>
    </w:lvl>
  </w:abstractNum>
  <w:abstractNum w:abstractNumId="92">
    <w:nsid w:val="75E0858A"/>
    <w:multiLevelType w:val="hybridMultilevel"/>
    <w:lvl w:ilvl="0">
      <w:lvlJc w:val="left"/>
      <w:lvlText w:val="%1."/>
      <w:numFmt w:val="decimal"/>
      <w:start w:val="3"/>
    </w:lvl>
  </w:abstractNum>
  <w:abstractNum w:abstractNumId="93">
    <w:nsid w:val="57A61A29"/>
    <w:multiLevelType w:val="hybridMultilevel"/>
    <w:lvl w:ilvl="0">
      <w:lvlJc w:val="left"/>
      <w:lvlText w:val="(%1)"/>
      <w:numFmt w:val="lowerLetter"/>
      <w:start w:val="1"/>
    </w:lvl>
  </w:abstractNum>
  <w:abstractNum w:abstractNumId="94">
    <w:nsid w:val="5399C654"/>
    <w:multiLevelType w:val="hybridMultilevel"/>
    <w:lvl w:ilvl="0">
      <w:lvlJc w:val="left"/>
      <w:lvlText w:val="(%1)"/>
      <w:numFmt w:val="lowerLetter"/>
      <w:start w:val="2"/>
    </w:lvl>
  </w:abstractNum>
  <w:abstractNum w:abstractNumId="95">
    <w:nsid w:val="20EE1348"/>
    <w:multiLevelType w:val="hybridMultilevel"/>
    <w:lvl w:ilvl="0">
      <w:lvlJc w:val="left"/>
      <w:lvlText w:val="%1."/>
      <w:numFmt w:val="decimal"/>
      <w:start w:val="4"/>
    </w:lvl>
  </w:abstractNum>
  <w:abstractNum w:abstractNumId="96">
    <w:nsid w:val="4427069A"/>
    <w:multiLevelType w:val="hybridMultilevel"/>
    <w:lvl w:ilvl="0">
      <w:lvlJc w:val="left"/>
      <w:lvlText w:val="(%1)"/>
      <w:numFmt w:val="lowerLetter"/>
      <w:start w:val="1"/>
    </w:lvl>
  </w:abstractNum>
  <w:abstractNum w:abstractNumId="97">
    <w:nsid w:val="B37E80A"/>
    <w:multiLevelType w:val="hybridMultilevel"/>
    <w:lvl w:ilvl="0">
      <w:lvlJc w:val="left"/>
      <w:lvlText w:val="%1."/>
      <w:numFmt w:val="decimal"/>
      <w:start w:val="6"/>
    </w:lvl>
  </w:abstractNum>
  <w:abstractNum w:abstractNumId="98">
    <w:nsid w:val="2157F6BC"/>
    <w:multiLevelType w:val="hybridMultilevel"/>
    <w:lvl w:ilvl="0">
      <w:lvlJc w:val="left"/>
      <w:lvlText w:val="(%1)"/>
      <w:numFmt w:val="lowerLetter"/>
      <w:start w:val="1"/>
    </w:lvl>
  </w:abstractNum>
  <w:abstractNum w:abstractNumId="99">
    <w:nsid w:val="704E1DD5"/>
    <w:multiLevelType w:val="hybridMultilevel"/>
    <w:lvl w:ilvl="0">
      <w:lvlJc w:val="left"/>
      <w:lvlText w:val="%1."/>
      <w:numFmt w:val="decimal"/>
      <w:start w:val="7"/>
    </w:lvl>
  </w:abstractNum>
  <w:abstractNum w:abstractNumId="100">
    <w:nsid w:val="57D2F10E"/>
    <w:multiLevelType w:val="hybridMultilevel"/>
    <w:lvl w:ilvl="0">
      <w:lvlJc w:val="left"/>
      <w:lvlText w:val="(%1)"/>
      <w:numFmt w:val="lowerLetter"/>
      <w:start w:val="1"/>
    </w:lvl>
  </w:abstractNum>
  <w:abstractNum w:abstractNumId="101">
    <w:nsid w:val="BFFAE18"/>
    <w:multiLevelType w:val="hybridMultilevel"/>
    <w:lvl w:ilvl="0">
      <w:lvlJc w:val="left"/>
      <w:lvlText w:val="%1."/>
      <w:numFmt w:val="decimal"/>
      <w:start w:val="8"/>
    </w:lvl>
  </w:abstractNum>
  <w:abstractNum w:abstractNumId="102">
    <w:nsid w:val="E3E47A8"/>
    <w:multiLevelType w:val="hybridMultilevel"/>
    <w:lvl w:ilvl="0">
      <w:lvlJc w:val="left"/>
      <w:lvlText w:val="(%1)"/>
      <w:numFmt w:val="lowerLetter"/>
      <w:start w:val="1"/>
    </w:lvl>
  </w:abstractNum>
  <w:abstractNum w:abstractNumId="103">
    <w:nsid w:val="2E48F044"/>
    <w:multiLevelType w:val="hybridMultilevel"/>
    <w:lvl w:ilvl="0">
      <w:lvlJc w:val="left"/>
      <w:lvlText w:val="%1."/>
      <w:numFmt w:val="decimal"/>
      <w:start w:val="11"/>
    </w:lvl>
  </w:abstractNum>
  <w:abstractNum w:abstractNumId="104">
    <w:nsid w:val="49D0FEAC"/>
    <w:multiLevelType w:val="hybridMultilevel"/>
    <w:lvl w:ilvl="0">
      <w:lvlJc w:val="left"/>
      <w:lvlText w:val="(%1)"/>
      <w:numFmt w:val="lowerLetter"/>
      <w:start w:val="1"/>
    </w:lvl>
  </w:abstractNum>
  <w:abstractNum w:abstractNumId="105">
    <w:nsid w:val="4BEE5A5B"/>
    <w:multiLevelType w:val="hybridMultilevel"/>
    <w:lvl w:ilvl="0">
      <w:lvlJc w:val="left"/>
      <w:lvlText w:val="%1."/>
      <w:numFmt w:val="decimal"/>
      <w:start w:val="13"/>
    </w:lvl>
  </w:abstractNum>
  <w:abstractNum w:abstractNumId="106">
    <w:nsid w:val="5551B9F3"/>
    <w:multiLevelType w:val="hybridMultilevel"/>
    <w:lvl w:ilvl="0">
      <w:lvlJc w:val="left"/>
      <w:lvlText w:val="(%1)"/>
      <w:numFmt w:val="lowerLetter"/>
      <w:start w:val="1"/>
    </w:lvl>
  </w:abstractNum>
  <w:abstractNum w:abstractNumId="107">
    <w:nsid w:val="24F6AB8E"/>
    <w:multiLevelType w:val="hybridMultilevel"/>
    <w:lvl w:ilvl="0">
      <w:lvlJc w:val="left"/>
      <w:lvlText w:val="1"/>
      <w:numFmt w:val="bullet"/>
      <w:start w:val="1"/>
    </w:lvl>
  </w:abstractNum>
  <w:abstractNum w:abstractNumId="108">
    <w:nsid w:val="634C574C"/>
    <w:multiLevelType w:val="hybridMultilevel"/>
    <w:lvl w:ilvl="0">
      <w:lvlJc w:val="left"/>
      <w:lvlText w:val="(%1)"/>
      <w:numFmt w:val="lowerLetter"/>
      <w:start w:val="2"/>
    </w:lvl>
  </w:abstractNum>
  <w:abstractNum w:abstractNumId="109">
    <w:nsid w:val="24E99DD7"/>
    <w:multiLevelType w:val="hybridMultilevel"/>
    <w:lvl w:ilvl="0">
      <w:lvlJc w:val="left"/>
      <w:lvlText w:val="%1."/>
      <w:numFmt w:val="decimal"/>
      <w:start w:val="15"/>
    </w:lvl>
  </w:abstractNum>
  <w:abstractNum w:abstractNumId="110">
    <w:nsid w:val="2A31B62D"/>
    <w:multiLevelType w:val="hybridMultilevel"/>
    <w:lvl w:ilvl="0">
      <w:lvlJc w:val="left"/>
      <w:lvlText w:val="%1."/>
      <w:numFmt w:val="decimal"/>
      <w:start w:val="19"/>
    </w:lvl>
  </w:abstractNum>
  <w:abstractNum w:abstractNumId="111">
    <w:nsid w:val="1849C29B"/>
    <w:multiLevelType w:val="hybridMultilevel"/>
    <w:lvl w:ilvl="0">
      <w:lvlJc w:val="left"/>
      <w:lvlText w:val="(%1)"/>
      <w:numFmt w:val="lowerLetter"/>
      <w:start w:val="1"/>
    </w:lvl>
  </w:abstractNum>
  <w:abstractNum w:abstractNumId="112">
    <w:nsid w:val="7DFF9D09"/>
    <w:multiLevelType w:val="hybridMultilevel"/>
    <w:lvl w:ilvl="0">
      <w:lvlJc w:val="left"/>
      <w:lvlText w:val="(%1)"/>
      <w:numFmt w:val="lowerLetter"/>
      <w:start w:val="2"/>
    </w:lvl>
  </w:abstractNum>
  <w:abstractNum w:abstractNumId="113">
    <w:nsid w:val="754342"/>
    <w:multiLevelType w:val="hybridMultilevel"/>
    <w:lvl w:ilvl="0">
      <w:lvlJc w:val="left"/>
      <w:lvlText w:val="%1."/>
      <w:numFmt w:val="decimal"/>
      <w:start w:val="20"/>
    </w:lvl>
  </w:abstractNum>
  <w:abstractNum w:abstractNumId="114">
    <w:nsid w:val="69E7F3E5"/>
    <w:multiLevelType w:val="hybridMultilevel"/>
    <w:lvl w:ilvl="0">
      <w:lvlJc w:val="left"/>
      <w:lvlText w:val="%1."/>
      <w:numFmt w:val="decimal"/>
      <w:start w:val="22"/>
    </w:lvl>
  </w:abstractNum>
  <w:abstractNum w:abstractNumId="115">
    <w:nsid w:val="2A6DE806"/>
    <w:multiLevelType w:val="hybridMultilevel"/>
    <w:lvl w:ilvl="0">
      <w:lvlJc w:val="left"/>
      <w:lvlText w:val="%1."/>
      <w:numFmt w:val="decimal"/>
      <w:start w:val="1"/>
    </w:lvl>
  </w:abstractNum>
  <w:abstractNum w:abstractNumId="116">
    <w:nsid w:val="1816F8C4"/>
    <w:multiLevelType w:val="hybridMultilevel"/>
    <w:lvl w:ilvl="0">
      <w:lvlJc w:val="left"/>
      <w:lvlText w:val="%1."/>
      <w:numFmt w:val="decimal"/>
      <w:start w:val="2"/>
    </w:lvl>
  </w:abstractNum>
  <w:abstractNum w:abstractNumId="117">
    <w:nsid w:val="37DF2233"/>
    <w:multiLevelType w:val="hybridMultilevel"/>
    <w:lvl w:ilvl="0">
      <w:lvlJc w:val="left"/>
      <w:lvlText w:val="%1."/>
      <w:numFmt w:val="decimal"/>
      <w:start w:val="3"/>
    </w:lvl>
  </w:abstractNum>
  <w:abstractNum w:abstractNumId="118">
    <w:nsid w:val="7AB49DAF"/>
    <w:multiLevelType w:val="hybridMultilevel"/>
    <w:lvl w:ilvl="0">
      <w:lvlJc w:val="left"/>
      <w:lvlText w:val="(%1)"/>
      <w:numFmt w:val="lowerLetter"/>
      <w:start w:val="1"/>
    </w:lvl>
  </w:abstractNum>
  <w:abstractNum w:abstractNumId="119">
    <w:nsid w:val="759F82CD"/>
    <w:multiLevelType w:val="hybridMultilevel"/>
    <w:lvl w:ilvl="0">
      <w:lvlJc w:val="left"/>
      <w:lvlText w:val="1"/>
      <w:numFmt w:val="bullet"/>
      <w:start w:val="1"/>
    </w:lvl>
  </w:abstractNum>
  <w:abstractNum w:abstractNumId="120">
    <w:nsid w:val="61E74EA3"/>
    <w:multiLevelType w:val="hybridMultilevel"/>
    <w:lvl w:ilvl="0">
      <w:lvlJc w:val="left"/>
      <w:lvlText w:val="%1."/>
      <w:numFmt w:val="decimal"/>
      <w:start w:val="4"/>
    </w:lvl>
  </w:abstractNum>
  <w:abstractNum w:abstractNumId="121">
    <w:nsid w:val="597B4D84"/>
    <w:multiLevelType w:val="hybridMultilevel"/>
    <w:lvl w:ilvl="0">
      <w:lvlJc w:val="left"/>
      <w:lvlText w:val="(%1)"/>
      <w:numFmt w:val="lowerLetter"/>
      <w:start w:val="1"/>
    </w:lvl>
  </w:abstractNum>
  <w:abstractNum w:abstractNumId="122">
    <w:nsid w:val="F819E7F"/>
    <w:multiLevelType w:val="hybridMultilevel"/>
    <w:lvl w:ilvl="0">
      <w:lvlJc w:val="left"/>
      <w:lvlText w:val="%1."/>
      <w:numFmt w:val="decimal"/>
      <w:start w:val="5"/>
    </w:lvl>
  </w:abstractNum>
  <w:abstractNum w:abstractNumId="123">
    <w:nsid w:val="57C7D42D"/>
    <w:multiLevelType w:val="hybridMultilevel"/>
    <w:lvl w:ilvl="0">
      <w:lvlJc w:val="left"/>
      <w:lvlText w:val="%1."/>
      <w:numFmt w:val="decimal"/>
      <w:start w:val="6"/>
    </w:lvl>
  </w:abstractNum>
  <w:abstractNum w:abstractNumId="124">
    <w:nsid w:val="312167A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5">
    <w:nsid w:val="631B64D4"/>
    <w:multiLevelType w:val="hybridMultilevel"/>
    <w:lvl w:ilvl="0">
      <w:lvlJc w:val="left"/>
      <w:lvlText w:val="(%1)"/>
      <w:numFmt w:val="lowerLetter"/>
      <w:start w:val="3"/>
    </w:lvl>
  </w:abstractNum>
  <w:abstractNum w:abstractNumId="126">
    <w:nsid w:val="78B5E776"/>
    <w:multiLevelType w:val="hybridMultilevel"/>
    <w:lvl w:ilvl="0">
      <w:lvlJc w:val="left"/>
      <w:lvlText w:val="%1."/>
      <w:numFmt w:val="decimal"/>
      <w:start w:val="7"/>
    </w:lvl>
  </w:abstractNum>
  <w:abstractNum w:abstractNumId="127">
    <w:nsid w:val="75486E47"/>
    <w:multiLevelType w:val="hybridMultilevel"/>
    <w:lvl w:ilvl="0">
      <w:lvlJc w:val="left"/>
      <w:lvlText w:val="(%1)"/>
      <w:numFmt w:val="lowerLetter"/>
      <w:start w:val="1"/>
    </w:lvl>
  </w:abstractNum>
  <w:abstractNum w:abstractNumId="128">
    <w:nsid w:val="6E534CDE"/>
    <w:multiLevelType w:val="hybridMultilevel"/>
    <w:lvl w:ilvl="0">
      <w:lvlJc w:val="left"/>
      <w:lvlText w:val="%1."/>
      <w:numFmt w:val="decimal"/>
      <w:start w:val="8"/>
    </w:lvl>
  </w:abstractNum>
  <w:abstractNum w:abstractNumId="129">
    <w:nsid w:val="1A0DDE32"/>
    <w:multiLevelType w:val="hybridMultilevel"/>
    <w:lvl w:ilvl="0">
      <w:lvlJc w:val="left"/>
      <w:lvlText w:val="%1."/>
      <w:numFmt w:val="decimal"/>
      <w:start w:val="9"/>
    </w:lvl>
  </w:abstractNum>
  <w:abstractNum w:abstractNumId="130">
    <w:nsid w:val="65968C1C"/>
    <w:multiLevelType w:val="hybridMultilevel"/>
    <w:lvl w:ilvl="0">
      <w:lvlJc w:val="left"/>
      <w:lvlText w:val="%1."/>
      <w:numFmt w:val="decimal"/>
      <w:start w:val="10"/>
    </w:lvl>
  </w:abstractNum>
  <w:abstractNum w:abstractNumId="131">
    <w:nsid w:val="46263DEC"/>
    <w:multiLevelType w:val="hybridMultilevel"/>
    <w:lvl w:ilvl="0">
      <w:lvlJc w:val="left"/>
      <w:lvlText w:val="%1."/>
      <w:numFmt w:val="decimal"/>
      <w:start w:val="11"/>
    </w:lvl>
  </w:abstractNum>
  <w:abstractNum w:abstractNumId="132">
    <w:nsid w:val="260D8C4A"/>
    <w:multiLevelType w:val="hybridMultilevel"/>
    <w:lvl w:ilvl="0">
      <w:lvlJc w:val="left"/>
      <w:lvlText w:val="%1."/>
      <w:numFmt w:val="decimal"/>
      <w:start w:val="12"/>
    </w:lvl>
  </w:abstractNum>
  <w:abstractNum w:abstractNumId="133">
    <w:nsid w:val="73D4D3C4"/>
    <w:multiLevelType w:val="hybridMultilevel"/>
    <w:lvl w:ilvl="0">
      <w:lvlJc w:val="left"/>
      <w:lvlText w:val="%1."/>
      <w:numFmt w:val="decimal"/>
      <w:start w:val="13"/>
    </w:lvl>
  </w:abstractNum>
  <w:abstractNum w:abstractNumId="134">
    <w:nsid w:val="746F2E30"/>
    <w:multiLevelType w:val="hybridMultilevel"/>
    <w:lvl w:ilvl="0">
      <w:lvlJc w:val="left"/>
      <w:lvlText w:val="%1."/>
      <w:numFmt w:val="decimal"/>
      <w:start w:val="14"/>
    </w:lvl>
  </w:abstractNum>
  <w:abstractNum w:abstractNumId="135">
    <w:nsid w:val="6FDE8AF6"/>
    <w:multiLevelType w:val="hybridMultilevel"/>
    <w:lvl w:ilvl="0">
      <w:lvlJc w:val="left"/>
      <w:lvlText w:val="(%1)"/>
      <w:numFmt w:val="lowerLetter"/>
      <w:start w:val="1"/>
    </w:lvl>
  </w:abstractNum>
  <w:abstractNum w:abstractNumId="136">
    <w:nsid w:val="3FC32E20"/>
    <w:multiLevelType w:val="hybridMultilevel"/>
    <w:lvl w:ilvl="0">
      <w:lvlJc w:val="left"/>
      <w:lvlText w:val="%1."/>
      <w:numFmt w:val="decimal"/>
      <w:start w:val="15"/>
    </w:lvl>
  </w:abstractNum>
  <w:abstractNum w:abstractNumId="137">
    <w:nsid w:val="49C0E823"/>
    <w:multiLevelType w:val="hybridMultilevel"/>
    <w:lvl w:ilvl="0">
      <w:lvlJc w:val="left"/>
      <w:lvlText w:val="(%1)"/>
      <w:numFmt w:val="lowerLetter"/>
      <w:start w:val="1"/>
    </w:lvl>
  </w:abstractNum>
  <w:abstractNum w:abstractNumId="138">
    <w:nsid w:val="14D53685"/>
    <w:multiLevelType w:val="hybridMultilevel"/>
    <w:lvl w:ilvl="0">
      <w:lvlJc w:val="left"/>
      <w:lvlText w:val="%1."/>
      <w:numFmt w:val="decimal"/>
      <w:start w:val="16"/>
    </w:lvl>
  </w:abstractNum>
  <w:abstractNum w:abstractNumId="139">
    <w:nsid w:val="230F856C"/>
    <w:multiLevelType w:val="hybridMultilevel"/>
    <w:lvl w:ilvl="0">
      <w:lvlJc w:val="left"/>
      <w:lvlText w:val="(%1)"/>
      <w:numFmt w:val="lowerLetter"/>
      <w:start w:val="1"/>
    </w:lvl>
  </w:abstractNum>
  <w:abstractNum w:abstractNumId="140">
    <w:nsid w:val="6EAA85FB"/>
    <w:multiLevelType w:val="hybridMultilevel"/>
    <w:lvl w:ilvl="0">
      <w:lvlJc w:val="left"/>
      <w:lvlText w:val="(%1)"/>
      <w:numFmt w:val="lowerLetter"/>
      <w:start w:val="2"/>
    </w:lvl>
  </w:abstractNum>
  <w:abstractNum w:abstractNumId="141">
    <w:nsid w:val="3F06ECB2"/>
    <w:multiLevelType w:val="hybridMultilevel"/>
    <w:lvl w:ilvl="0">
      <w:lvlJc w:val="left"/>
      <w:lvlText w:val="%1."/>
      <w:numFmt w:val="decimal"/>
      <w:start w:val="17"/>
    </w:lvl>
  </w:abstractNum>
  <w:abstractNum w:abstractNumId="142">
    <w:nsid w:val="3B594807"/>
    <w:multiLevelType w:val="hybridMultilevel"/>
    <w:lvl w:ilvl="0">
      <w:lvlJc w:val="left"/>
      <w:lvlText w:val="(%1)"/>
      <w:numFmt w:val="lowerLetter"/>
      <w:start w:val="1"/>
    </w:lvl>
  </w:abstractNum>
  <w:abstractNum w:abstractNumId="143">
    <w:nsid w:val="6CAA2304"/>
    <w:multiLevelType w:val="hybridMultilevel"/>
    <w:lvl w:ilvl="0">
      <w:lvlJc w:val="left"/>
      <w:lvlText w:val="%1."/>
      <w:numFmt w:val="decimal"/>
      <w:start w:val="18"/>
    </w:lvl>
  </w:abstractNum>
  <w:abstractNum w:abstractNumId="144">
    <w:nsid w:val="3F7C2FF4"/>
    <w:multiLevelType w:val="hybridMultilevel"/>
    <w:lvl w:ilvl="0">
      <w:lvlJc w:val="left"/>
      <w:lvlText w:val="%1."/>
      <w:numFmt w:val="decimal"/>
      <w:start w:val="19"/>
    </w:lvl>
  </w:abstractNum>
  <w:abstractNum w:abstractNumId="145">
    <w:nsid w:val="25413BEC"/>
    <w:multiLevelType w:val="hybridMultilevel"/>
    <w:lvl w:ilvl="0">
      <w:lvlJc w:val="left"/>
      <w:lvlText w:val="%1."/>
      <w:numFmt w:val="decimal"/>
      <w:start w:val="20"/>
    </w:lvl>
  </w:abstractNum>
  <w:abstractNum w:abstractNumId="146">
    <w:nsid w:val="17180B0B"/>
    <w:multiLevelType w:val="hybridMultilevel"/>
    <w:lvl w:ilvl="0">
      <w:lvlJc w:val="left"/>
      <w:lvlText w:val="(%1)"/>
      <w:numFmt w:val="lowerLetter"/>
      <w:start w:val="1"/>
    </w:lvl>
  </w:abstractNum>
  <w:abstractNum w:abstractNumId="147">
    <w:nsid w:val="579328B9"/>
    <w:multiLevelType w:val="hybridMultilevel"/>
    <w:lvl w:ilvl="0">
      <w:lvlJc w:val="left"/>
      <w:lvlText w:val="(%1)"/>
      <w:numFmt w:val="lowerLetter"/>
      <w:start w:val="2"/>
    </w:lvl>
  </w:abstractNum>
  <w:abstractNum w:abstractNumId="148">
    <w:nsid w:val="5D205E20"/>
    <w:multiLevelType w:val="hybridMultilevel"/>
    <w:lvl w:ilvl="0">
      <w:lvlJc w:val="left"/>
      <w:lvlText w:val="%1."/>
      <w:numFmt w:val="decimal"/>
      <w:start w:val="21"/>
    </w:lvl>
  </w:abstractNum>
  <w:abstractNum w:abstractNumId="149">
    <w:nsid w:val="11CCA8BA"/>
    <w:multiLevelType w:val="hybridMultilevel"/>
    <w:lvl w:ilvl="0">
      <w:lvlJc w:val="left"/>
      <w:lvlText w:val="%1."/>
      <w:numFmt w:val="decimal"/>
      <w:start w:val="22"/>
    </w:lvl>
  </w:abstractNum>
  <w:abstractNum w:abstractNumId="150">
    <w:nsid w:val="4D32AB86"/>
    <w:multiLevelType w:val="hybridMultilevel"/>
    <w:lvl w:ilvl="0">
      <w:lvlJc w:val="left"/>
      <w:lvlText w:val="%1."/>
      <w:numFmt w:val="decimal"/>
      <w:start w:val="23"/>
    </w:lvl>
  </w:abstractNum>
  <w:abstractNum w:abstractNumId="151">
    <w:nsid w:val="3F07ACC3"/>
    <w:multiLevelType w:val="hybridMultilevel"/>
    <w:lvl w:ilvl="0">
      <w:lvlJc w:val="left"/>
      <w:lvlText w:val="(%1)"/>
      <w:numFmt w:val="lowerLetter"/>
      <w:start w:val="1"/>
    </w:lvl>
  </w:abstractNum>
  <w:abstractNum w:abstractNumId="152">
    <w:nsid w:val="6B47F63E"/>
    <w:multiLevelType w:val="hybridMultilevel"/>
    <w:lvl w:ilvl="0">
      <w:lvlJc w:val="left"/>
      <w:lvlText w:val="%1."/>
      <w:numFmt w:val="decimal"/>
      <w:start w:val="24"/>
    </w:lvl>
  </w:abstractNum>
  <w:abstractNum w:abstractNumId="153">
    <w:nsid w:val="5CB44A05"/>
    <w:multiLevelType w:val="hybridMultilevel"/>
    <w:lvl w:ilvl="0">
      <w:lvlJc w:val="left"/>
      <w:lvlText w:val="%1."/>
      <w:numFmt w:val="decimal"/>
      <w:start w:val="25"/>
    </w:lvl>
  </w:abstractNum>
  <w:abstractNum w:abstractNumId="154">
    <w:nsid w:val="16CF80F1"/>
    <w:multiLevelType w:val="hybridMultilevel"/>
    <w:lvl w:ilvl="0">
      <w:lvlJc w:val="left"/>
      <w:lvlText w:val="(%1)"/>
      <w:numFmt w:val="lowerLetter"/>
      <w:start w:val="1"/>
    </w:lvl>
    <w:lvl w:ilvl="1">
      <w:lvlJc w:val="left"/>
      <w:lvlText w:val="(%2)"/>
      <w:numFmt w:val="lowerRoman"/>
      <w:start w:val="1"/>
    </w:lvl>
  </w:abstractNum>
  <w:abstractNum w:abstractNumId="155">
    <w:nsid w:val="1C695DEC"/>
    <w:multiLevelType w:val="hybridMultilevel"/>
    <w:lvl w:ilvl="0">
      <w:lvlJc w:val="left"/>
      <w:lvlText w:val="(%1)"/>
      <w:numFmt w:val="lowerLetter"/>
      <w:start w:val="3"/>
    </w:lvl>
  </w:abstractNum>
  <w:abstractNum w:abstractNumId="156">
    <w:nsid w:val="3FCFAED9"/>
    <w:multiLevelType w:val="hybridMultilevel"/>
    <w:lvl w:ilvl="0">
      <w:lvlJc w:val="left"/>
      <w:lvlText w:val="%1."/>
      <w:numFmt w:val="decimal"/>
      <w:start w:val="26"/>
    </w:lvl>
  </w:abstractNum>
  <w:abstractNum w:abstractNumId="157">
    <w:nsid w:val="F856867"/>
    <w:multiLevelType w:val="hybridMultilevel"/>
    <w:lvl w:ilvl="0">
      <w:lvlJc w:val="left"/>
      <w:lvlText w:val="(%1)"/>
      <w:numFmt w:val="lowerLetter"/>
      <w:start w:val="1"/>
    </w:lvl>
  </w:abstractNum>
  <w:abstractNum w:abstractNumId="158">
    <w:nsid w:val="11B1CC33"/>
    <w:multiLevelType w:val="hybridMultilevel"/>
    <w:lvl w:ilvl="0">
      <w:lvlJc w:val="left"/>
      <w:lvlText w:val="%1."/>
      <w:numFmt w:val="decimal"/>
      <w:start w:val="27"/>
    </w:lvl>
  </w:abstractNum>
  <w:abstractNum w:abstractNumId="159">
    <w:nsid w:val="2E22FBB7"/>
    <w:multiLevelType w:val="hybridMultilevel"/>
    <w:lvl w:ilvl="0">
      <w:lvlJc w:val="left"/>
      <w:lvlText w:val="%1."/>
      <w:numFmt w:val="decimal"/>
      <w:start w:val="28"/>
    </w:lvl>
  </w:abstractNum>
  <w:abstractNum w:abstractNumId="160">
    <w:nsid w:val="29934699"/>
    <w:multiLevelType w:val="hybridMultilevel"/>
    <w:lvl w:ilvl="0">
      <w:lvlJc w:val="left"/>
      <w:lvlText w:val="%1."/>
      <w:numFmt w:val="decimal"/>
      <w:start w:val="29"/>
    </w:lvl>
  </w:abstractNum>
  <w:abstractNum w:abstractNumId="161">
    <w:nsid w:val="77485850"/>
    <w:multiLevelType w:val="hybridMultilevel"/>
    <w:lvl w:ilvl="0">
      <w:lvlJc w:val="left"/>
      <w:lvlText w:val="%1."/>
      <w:numFmt w:val="decimal"/>
      <w:start w:val="30"/>
    </w:lvl>
  </w:abstractNum>
  <w:abstractNum w:abstractNumId="162">
    <w:nsid w:val="744939A3"/>
    <w:multiLevelType w:val="hybridMultilevel"/>
    <w:lvl w:ilvl="0">
      <w:lvlJc w:val="left"/>
      <w:lvlText w:val="%1."/>
      <w:numFmt w:val="decimal"/>
      <w:start w:val="31"/>
    </w:lvl>
  </w:abstractNum>
  <w:abstractNum w:abstractNumId="163">
    <w:nsid w:val="4FA0D2E3"/>
    <w:multiLevelType w:val="hybridMultilevel"/>
    <w:lvl w:ilvl="0">
      <w:lvlJc w:val="left"/>
      <w:lvlText w:val="%1."/>
      <w:numFmt w:val="decimal"/>
      <w:start w:val="32"/>
    </w:lvl>
  </w:abstractNum>
  <w:abstractNum w:abstractNumId="164">
    <w:nsid w:val="6B1D2C14"/>
    <w:multiLevelType w:val="hybridMultilevel"/>
    <w:lvl w:ilvl="0">
      <w:lvlJc w:val="left"/>
      <w:lvlText w:val="%1."/>
      <w:numFmt w:val="decimal"/>
      <w:start w:val="33"/>
    </w:lvl>
  </w:abstractNum>
  <w:abstractNum w:abstractNumId="165">
    <w:nsid w:val="68B867D3"/>
    <w:multiLevelType w:val="hybridMultilevel"/>
    <w:lvl w:ilvl="0">
      <w:lvlJc w:val="left"/>
      <w:lvlText w:val="%1."/>
      <w:numFmt w:val="decimal"/>
      <w:start w:val="34"/>
    </w:lvl>
  </w:abstractNum>
  <w:abstractNum w:abstractNumId="166">
    <w:nsid w:val="3F7F5DD9"/>
    <w:multiLevelType w:val="hybridMultilevel"/>
    <w:lvl w:ilvl="0">
      <w:lvlJc w:val="left"/>
      <w:lvlText w:val="%1."/>
      <w:numFmt w:val="decimal"/>
      <w:start w:val="35"/>
    </w:lvl>
  </w:abstractNum>
  <w:abstractNum w:abstractNumId="167">
    <w:nsid w:val="2AE05A34"/>
    <w:multiLevelType w:val="hybridMultilevel"/>
    <w:lvl w:ilvl="0">
      <w:lvlJc w:val="left"/>
      <w:lvlText w:val="%1."/>
      <w:numFmt w:val="decimal"/>
      <w:start w:val="3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2026-04-14T16:11:51Z</dcterms:created>
  <dcterms:modified xsi:type="dcterms:W3CDTF">2026-04-14T16:11:51Z</dcterms:modified>
</cp:coreProperties>
</file>