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Raha Samraat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03/13/2025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216,495</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488,889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03/14/2025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80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7,649</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481,240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Company's 2017 Employee, Director and Consultant Equity Incentive Plan. Each restricted stock unit represents a contingent right to receive one share of the Company's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March 14,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03/17/2025</w:t>
            </w:r>
          </w:p>
        </w:tc>
        <w:tc>
          <w:tcPr>
            <w:tcW w:w="0" w:type="dxa"/>
            <w:vAlign w:val="bottom"/>
          </w:tcPr>
          <w:p>
            <w:pPr>
              <w:spacing w:after="0"/>
              <w:rPr>
                <w:sz w:val="1"/>
                <w:szCs w:val="1"/>
                <w:color w:val="auto"/>
              </w:rPr>
            </w:pPr>
          </w:p>
        </w:tc>
      </w:tr>
      <w:tr>
        <w:trPr>
          <w:trHeight w:val="87"/>
        </w:trPr>
        <w:tc>
          <w:tcPr>
            <w:tcW w:w="11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Samraat S. Raha</w:t>
            </w:r>
          </w:p>
        </w:tc>
        <w:tc>
          <w:tcPr>
            <w:tcW w:w="40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340"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2025-03-17T15:45:27Z</dcterms:created>
  <dcterms:modified xsi:type="dcterms:W3CDTF">2025-03-17T15:45:27Z</dcterms:modified>
</cp:coreProperties>
</file>