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3"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74" w:lineRule="exact"/>
        <w:rPr>
          <w:sz w:val="24"/>
          <w:szCs w:val="24"/>
          <w:color w:val="auto"/>
        </w:rPr>
      </w:pPr>
    </w:p>
    <w:p>
      <w:pPr>
        <w:ind w:left="38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3962400</wp:posOffset>
            </wp:positionH>
            <wp:positionV relativeFrom="paragraph">
              <wp:posOffset>-5080</wp:posOffset>
            </wp:positionV>
            <wp:extent cx="723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265"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0-26642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MYRIAD GENETICS,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tbl>
      <w:tblPr>
        <w:tblLayout w:type="fixed"/>
        <w:tblInd w:w="1060" w:type="dxa"/>
        <w:tblCellMar>
          <w:top w:w="0" w:type="dxa"/>
          <w:left w:w="0" w:type="dxa"/>
          <w:bottom w:w="0" w:type="dxa"/>
          <w:right w:w="0" w:type="dxa"/>
        </w:tblCellMar>
      </w:tblPr>
      <w:tr>
        <w:trPr>
          <w:trHeight w:val="185"/>
        </w:trPr>
        <w:tc>
          <w:tcPr>
            <w:tcW w:w="1200" w:type="dxa"/>
            <w:vAlign w:val="bottom"/>
          </w:tcPr>
          <w:p>
            <w:pPr>
              <w:spacing w:after="0"/>
              <w:rPr>
                <w:sz w:val="16"/>
                <w:szCs w:val="16"/>
                <w:color w:val="auto"/>
              </w:rPr>
            </w:pPr>
          </w:p>
        </w:tc>
        <w:tc>
          <w:tcPr>
            <w:tcW w:w="3400" w:type="dxa"/>
            <w:vAlign w:val="bottom"/>
            <w:gridSpan w:val="3"/>
          </w:tcPr>
          <w:p>
            <w:pPr>
              <w:jc w:val="center"/>
              <w:ind w:right="26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4240" w:type="dxa"/>
            <w:vAlign w:val="bottom"/>
            <w:gridSpan w:val="5"/>
          </w:tcPr>
          <w:p>
            <w:pPr>
              <w:jc w:val="right"/>
              <w:ind w:right="940"/>
              <w:spacing w:after="0" w:line="184" w:lineRule="exact"/>
              <w:rPr>
                <w:sz w:val="20"/>
                <w:szCs w:val="20"/>
                <w:color w:val="auto"/>
              </w:rPr>
            </w:pPr>
            <w:r>
              <w:rPr>
                <w:rFonts w:ascii="Times New Roman" w:cs="Times New Roman" w:eastAsia="Times New Roman" w:hAnsi="Times New Roman"/>
                <w:sz w:val="18"/>
                <w:szCs w:val="18"/>
                <w:b w:val="1"/>
                <w:bCs w:val="1"/>
                <w:color w:val="auto"/>
              </w:rPr>
              <w:t>87-0494517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60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4240" w:type="dxa"/>
            <w:vAlign w:val="bottom"/>
            <w:gridSpan w:val="5"/>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c>
          <w:tcPr>
            <w:tcW w:w="0" w:type="dxa"/>
            <w:vAlign w:val="bottom"/>
          </w:tcPr>
          <w:p>
            <w:pPr>
              <w:spacing w:after="0"/>
              <w:rPr>
                <w:sz w:val="1"/>
                <w:szCs w:val="1"/>
                <w:color w:val="auto"/>
              </w:rPr>
            </w:pPr>
          </w:p>
        </w:tc>
      </w:tr>
      <w:tr>
        <w:trPr>
          <w:trHeight w:val="238"/>
        </w:trPr>
        <w:tc>
          <w:tcPr>
            <w:tcW w:w="4600" w:type="dxa"/>
            <w:vAlign w:val="bottom"/>
            <w:gridSpan w:val="4"/>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of incorporation or organization)</w:t>
            </w: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322 North 2200 West, Salt Lake City, UT</w:t>
            </w:r>
          </w:p>
        </w:tc>
        <w:tc>
          <w:tcPr>
            <w:tcW w:w="1480" w:type="dxa"/>
            <w:vAlign w:val="bottom"/>
          </w:tcPr>
          <w:p>
            <w:pPr>
              <w:spacing w:after="0"/>
              <w:rPr>
                <w:sz w:val="19"/>
                <w:szCs w:val="19"/>
                <w:color w:val="auto"/>
              </w:rPr>
            </w:pPr>
          </w:p>
        </w:tc>
        <w:tc>
          <w:tcPr>
            <w:tcW w:w="3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84116</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4"/>
            <w:vMerge w:val="restart"/>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00" w:type="dxa"/>
            <w:vAlign w:val="bottom"/>
            <w:gridSpan w:val="4"/>
            <w:vMerge w:val="continue"/>
          </w:tcPr>
          <w:p>
            <w:pPr>
              <w:spacing w:after="0"/>
              <w:rPr>
                <w:sz w:val="19"/>
                <w:szCs w:val="19"/>
                <w:color w:val="auto"/>
              </w:rPr>
            </w:pPr>
          </w:p>
        </w:tc>
        <w:tc>
          <w:tcPr>
            <w:tcW w:w="2420" w:type="dxa"/>
            <w:vAlign w:val="bottom"/>
          </w:tcPr>
          <w:p>
            <w:pPr>
              <w:spacing w:after="0"/>
              <w:rPr>
                <w:sz w:val="19"/>
                <w:szCs w:val="19"/>
                <w:color w:val="auto"/>
              </w:rPr>
            </w:pPr>
          </w:p>
        </w:tc>
        <w:tc>
          <w:tcPr>
            <w:tcW w:w="182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(801) 584-3600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40" w:type="dxa"/>
            <w:vAlign w:val="bottom"/>
          </w:tcPr>
          <w:p>
            <w:pPr>
              <w:spacing w:after="0"/>
              <w:rPr>
                <w:sz w:val="18"/>
                <w:szCs w:val="18"/>
                <w:color w:val="auto"/>
              </w:rPr>
            </w:pPr>
          </w:p>
        </w:tc>
      </w:tr>
      <w:tr>
        <w:trPr>
          <w:trHeight w:val="238"/>
        </w:trPr>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37"/>
        </w:trPr>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MYGN</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57"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3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600"/>
              <w:spacing w:after="0"/>
              <w:rPr>
                <w:sz w:val="20"/>
                <w:szCs w:val="20"/>
                <w:color w:val="auto"/>
              </w:rPr>
            </w:pPr>
            <w:r>
              <w:rPr>
                <w:rFonts w:ascii="Wingdings" w:cs="Wingdings" w:eastAsia="Wingdings" w:hAnsi="Wingdings"/>
                <w:sz w:val="18"/>
                <w:szCs w:val="18"/>
                <w:b w:val="1"/>
                <w:bCs w:val="1"/>
                <w:color w:val="auto"/>
              </w:rPr>
              <w:t>x</w:t>
            </w:r>
          </w:p>
        </w:tc>
        <w:tc>
          <w:tcPr>
            <w:tcW w:w="48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2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r>
      <w:tr>
        <w:trPr>
          <w:trHeight w:val="964"/>
        </w:trPr>
        <w:tc>
          <w:tcPr>
            <w:tcW w:w="22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ind w:right="154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August 2, 2024, the registrant had 90,820,354 shares of $0.01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982345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45" w:right="49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22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INDEX TO FORM 10-Q</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Page</w:t>
            </w:r>
          </w:p>
        </w:tc>
      </w:tr>
      <w:tr>
        <w:trPr>
          <w:trHeight w:val="291"/>
        </w:trPr>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40" w:type="dxa"/>
            <w:vAlign w:val="bottom"/>
            <w:gridSpan w:val="9"/>
          </w:tcPr>
          <w:p>
            <w:pPr>
              <w:jc w:val="center"/>
              <w:ind w:right="2280"/>
              <w:spacing w:after="0"/>
              <w:rPr>
                <w:sz w:val="20"/>
                <w:szCs w:val="20"/>
                <w:color w:val="auto"/>
              </w:rPr>
            </w:pPr>
            <w:r>
              <w:rPr>
                <w:rFonts w:ascii="Times New Roman" w:cs="Times New Roman" w:eastAsia="Times New Roman" w:hAnsi="Times New Roman"/>
                <w:sz w:val="18"/>
                <w:szCs w:val="18"/>
                <w:color w:val="auto"/>
                <w:w w:val="98"/>
              </w:rPr>
              <w:t>PART I - Financial Information</w:t>
            </w: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1"/>
        </w:trPr>
        <w:tc>
          <w:tcPr>
            <w:tcW w:w="1000" w:type="dxa"/>
            <w:vAlign w:val="bottom"/>
          </w:tcPr>
          <w:p>
            <w:pPr>
              <w:spacing w:after="0"/>
              <w:rPr>
                <w:sz w:val="24"/>
                <w:szCs w:val="24"/>
                <w:color w:val="auto"/>
              </w:rPr>
            </w:pPr>
          </w:p>
        </w:tc>
        <w:tc>
          <w:tcPr>
            <w:tcW w:w="70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June 30, 2024 and December 31, 2023 (unaudited)</w:t>
            </w:r>
          </w:p>
        </w:tc>
        <w:tc>
          <w:tcPr>
            <w:tcW w:w="2040" w:type="dxa"/>
            <w:vAlign w:val="bottom"/>
            <w:gridSpan w:val="4"/>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1000" w:type="dxa"/>
            <w:vAlign w:val="bottom"/>
          </w:tcPr>
          <w:p>
            <w:pPr>
              <w:spacing w:after="0"/>
              <w:rPr>
                <w:sz w:val="24"/>
                <w:szCs w:val="24"/>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2024 and 2023 (unaudited)</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1000" w:type="dxa"/>
            <w:vAlign w:val="bottom"/>
          </w:tcPr>
          <w:p>
            <w:pPr>
              <w:spacing w:after="0"/>
              <w:rPr>
                <w:sz w:val="24"/>
                <w:szCs w:val="24"/>
                <w:color w:val="auto"/>
              </w:rPr>
            </w:pPr>
          </w:p>
        </w:tc>
        <w:tc>
          <w:tcPr>
            <w:tcW w:w="86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and six months ended June 30, 2024 and 2023</w:t>
            </w:r>
          </w:p>
        </w:tc>
        <w:tc>
          <w:tcPr>
            <w:tcW w:w="1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96"/>
        </w:trPr>
        <w:tc>
          <w:tcPr>
            <w:tcW w:w="1000" w:type="dxa"/>
            <w:vAlign w:val="bottom"/>
          </w:tcPr>
          <w:p>
            <w:pPr>
              <w:spacing w:after="0"/>
              <w:rPr>
                <w:sz w:val="17"/>
                <w:szCs w:val="17"/>
                <w:color w:val="auto"/>
              </w:rPr>
            </w:pPr>
          </w:p>
        </w:tc>
        <w:tc>
          <w:tcPr>
            <w:tcW w:w="8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(unaudited)</w:t>
            </w:r>
          </w:p>
        </w:tc>
        <w:tc>
          <w:tcPr>
            <w:tcW w:w="8220" w:type="dxa"/>
            <w:vAlign w:val="bottom"/>
            <w:gridSpan w:val="14"/>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12"/>
        </w:trPr>
        <w:tc>
          <w:tcPr>
            <w:tcW w:w="1000" w:type="dxa"/>
            <w:vAlign w:val="bottom"/>
          </w:tcPr>
          <w:p>
            <w:pPr>
              <w:spacing w:after="0"/>
              <w:rPr>
                <w:sz w:val="24"/>
                <w:szCs w:val="24"/>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2024 and 2023</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96"/>
        </w:trPr>
        <w:tc>
          <w:tcPr>
            <w:tcW w:w="1000" w:type="dxa"/>
            <w:vAlign w:val="bottom"/>
          </w:tcPr>
          <w:p>
            <w:pPr>
              <w:spacing w:after="0"/>
              <w:rPr>
                <w:sz w:val="17"/>
                <w:szCs w:val="17"/>
                <w:color w:val="auto"/>
              </w:rPr>
            </w:pPr>
          </w:p>
        </w:tc>
        <w:tc>
          <w:tcPr>
            <w:tcW w:w="8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(unaudited)</w:t>
            </w:r>
          </w:p>
        </w:tc>
        <w:tc>
          <w:tcPr>
            <w:tcW w:w="7840" w:type="dxa"/>
            <w:vAlign w:val="bottom"/>
            <w:tcBorders>
              <w:top w:val="single" w:sz="8" w:color="0000FF"/>
            </w:tcBorders>
            <w:gridSpan w:val="12"/>
          </w:tcPr>
          <w:p>
            <w:pPr>
              <w:spacing w:after="0"/>
              <w:rPr>
                <w:sz w:val="17"/>
                <w:szCs w:val="17"/>
                <w:color w:val="auto"/>
              </w:rPr>
            </w:pPr>
          </w:p>
        </w:tc>
        <w:tc>
          <w:tcPr>
            <w:tcW w:w="3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12"/>
        </w:trPr>
        <w:tc>
          <w:tcPr>
            <w:tcW w:w="1000" w:type="dxa"/>
            <w:vAlign w:val="bottom"/>
          </w:tcPr>
          <w:p>
            <w:pPr>
              <w:spacing w:after="0"/>
              <w:rPr>
                <w:sz w:val="24"/>
                <w:szCs w:val="24"/>
                <w:color w:val="auto"/>
              </w:rPr>
            </w:pPr>
          </w:p>
        </w:tc>
        <w:tc>
          <w:tcPr>
            <w:tcW w:w="81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2024 and 2023 (unaudited)</w:t>
            </w:r>
          </w:p>
        </w:tc>
        <w:tc>
          <w:tcPr>
            <w:tcW w:w="880" w:type="dxa"/>
            <w:vAlign w:val="bottom"/>
            <w:gridSpan w:val="3"/>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1000" w:type="dxa"/>
            <w:vAlign w:val="bottom"/>
          </w:tcPr>
          <w:p>
            <w:pPr>
              <w:spacing w:after="0"/>
              <w:rPr>
                <w:sz w:val="24"/>
                <w:szCs w:val="24"/>
                <w:color w:val="auto"/>
              </w:rPr>
            </w:pPr>
          </w:p>
        </w:tc>
        <w:tc>
          <w:tcPr>
            <w:tcW w:w="48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180" w:type="dxa"/>
            <w:vAlign w:val="bottom"/>
            <w:gridSpan w:val="6"/>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2"/>
          </w:tcPr>
          <w:p>
            <w:pPr>
              <w:spacing w:after="0"/>
              <w:rPr>
                <w:sz w:val="24"/>
                <w:szCs w:val="24"/>
                <w:color w:val="auto"/>
              </w:rPr>
            </w:pPr>
          </w:p>
        </w:tc>
        <w:tc>
          <w:tcPr>
            <w:tcW w:w="2620" w:type="dxa"/>
            <w:vAlign w:val="bottom"/>
            <w:gridSpan w:val="5"/>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53"/>
        </w:trPr>
        <w:tc>
          <w:tcPr>
            <w:tcW w:w="10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740" w:type="dxa"/>
            <w:vAlign w:val="bottom"/>
            <w:gridSpan w:val="9"/>
          </w:tcPr>
          <w:p>
            <w:pPr>
              <w:jc w:val="center"/>
              <w:ind w:right="2280"/>
              <w:spacing w:after="0"/>
              <w:rPr>
                <w:sz w:val="20"/>
                <w:szCs w:val="20"/>
                <w:color w:val="auto"/>
              </w:rPr>
            </w:pPr>
            <w:r>
              <w:rPr>
                <w:rFonts w:ascii="Times New Roman" w:cs="Times New Roman" w:eastAsia="Times New Roman" w:hAnsi="Times New Roman"/>
                <w:sz w:val="18"/>
                <w:szCs w:val="18"/>
                <w:color w:val="auto"/>
                <w:w w:val="98"/>
              </w:rPr>
              <w:t>PART II - Other Information</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720" w:type="dxa"/>
            <w:vAlign w:val="bottom"/>
            <w:gridSpan w:val="11"/>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700" w:type="dxa"/>
            <w:vAlign w:val="bottom"/>
            <w:gridSpan w:val="8"/>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4"/>
                <w:szCs w:val="24"/>
                <w:color w:val="auto"/>
              </w:rPr>
            </w:pPr>
          </w:p>
        </w:tc>
        <w:tc>
          <w:tcPr>
            <w:tcW w:w="6740" w:type="dxa"/>
            <w:vAlign w:val="bottom"/>
            <w:gridSpan w:val="9"/>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740" w:type="dxa"/>
            <w:vAlign w:val="bottom"/>
            <w:gridSpan w:val="12"/>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00" w:type="dxa"/>
            <w:vAlign w:val="bottom"/>
            <w:gridSpan w:val="15"/>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r>
      <w:tr>
        <w:trPr>
          <w:trHeight w:val="412"/>
        </w:trPr>
        <w:tc>
          <w:tcPr>
            <w:tcW w:w="1000" w:type="dxa"/>
            <w:vAlign w:val="bottom"/>
          </w:tcPr>
          <w:p>
            <w:pPr>
              <w:spacing w:after="0"/>
              <w:rPr>
                <w:sz w:val="24"/>
                <w:szCs w:val="24"/>
                <w:color w:val="auto"/>
              </w:rPr>
            </w:pPr>
          </w:p>
        </w:tc>
        <w:tc>
          <w:tcPr>
            <w:tcW w:w="90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887" w:right="7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1"/>
        </w:trPr>
        <w:tc>
          <w:tcPr>
            <w:tcW w:w="85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43"/>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investment securities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43"/>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taxes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3"/>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7"/>
        </w:trPr>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held for sale</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7"/>
        </w:trPr>
        <w:tc>
          <w:tcPr>
            <w:tcW w:w="8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7"/>
        </w:trPr>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27"/>
        </w:trPr>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64"/>
        </w:trPr>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1,146.5</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43"/>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7"/>
        </w:trPr>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43"/>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5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37"/>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7"/>
        </w:trPr>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7"/>
        </w:trPr>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7"/>
        </w:trPr>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7"/>
        </w:trPr>
        <w:tc>
          <w:tcPr>
            <w:tcW w:w="8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90.9 and 89.9 shares outstanding at June 30, 2024 and December 31, 2023,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w:t>
            </w:r>
          </w:p>
        </w:tc>
      </w:tr>
      <w:tr>
        <w:trPr>
          <w:trHeight w:val="27"/>
        </w:trPr>
        <w:tc>
          <w:tcPr>
            <w:tcW w:w="8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r>
      <w:tr>
        <w:trPr>
          <w:trHeight w:val="27"/>
        </w:trPr>
        <w:tc>
          <w:tcPr>
            <w:tcW w:w="8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w:t>
            </w:r>
          </w:p>
        </w:tc>
      </w:tr>
      <w:tr>
        <w:trPr>
          <w:trHeight w:val="264"/>
        </w:trPr>
        <w:tc>
          <w:tcPr>
            <w:tcW w:w="8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1,146.5</w:t>
            </w:r>
          </w:p>
        </w:tc>
      </w:tr>
      <w:tr>
        <w:trPr>
          <w:trHeight w:val="21"/>
        </w:trPr>
        <w:tc>
          <w:tcPr>
            <w:tcW w:w="8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Condensed Consolidated Statements of Operations (unaudited)</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1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18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Testing revenue</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4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testing revenue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settlements</w:t>
            </w: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Loss before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r>
      <w:tr>
        <w:trPr>
          <w:trHeight w:val="50"/>
        </w:trPr>
        <w:tc>
          <w:tcPr>
            <w:tcW w:w="61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186"/>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1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440" w:type="dxa"/>
            <w:vAlign w:val="bottom"/>
            <w:tcBorders>
              <w:bottom w:val="single" w:sz="8" w:color="CFF0FC"/>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243"/>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unrealized loss on available-for-sale debt securities, net of tax</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adjustments for losses included in net loss, net of tax</w:t>
            </w: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cumulative translation adjustment to income upon liquidation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61"/>
        </w:trPr>
        <w:tc>
          <w:tcPr>
            <w:tcW w:w="6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of an investment in a foreign entity,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6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1"/>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5"/>
              </w:rPr>
              <w:t>Myriad Genetics,</w:t>
            </w:r>
          </w:p>
        </w:tc>
      </w:tr>
      <w:tr>
        <w:trPr>
          <w:trHeight w:val="148"/>
        </w:trPr>
        <w:tc>
          <w:tcPr>
            <w:tcW w:w="4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3"/>
              </w:rPr>
              <w:t>Inc.</w:t>
            </w:r>
          </w:p>
        </w:tc>
      </w:tr>
      <w:tr>
        <w:trPr>
          <w:trHeight w:val="148"/>
        </w:trPr>
        <w:tc>
          <w:tcPr>
            <w:tcW w:w="48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0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r>
      <w:tr>
        <w:trPr>
          <w:trHeight w:val="180"/>
        </w:trPr>
        <w:tc>
          <w:tcPr>
            <w:tcW w:w="48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80" w:type="dxa"/>
            <w:vAlign w:val="bottom"/>
          </w:tcPr>
          <w:p>
            <w:pPr>
              <w:spacing w:after="0"/>
              <w:rPr>
                <w:sz w:val="15"/>
                <w:szCs w:val="15"/>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5"/>
                <w:szCs w:val="15"/>
                <w:color w:val="auto"/>
              </w:rPr>
            </w:pPr>
          </w:p>
        </w:tc>
        <w:tc>
          <w:tcPr>
            <w:tcW w:w="10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2"/>
              </w:rPr>
              <w:t>equity</w:t>
            </w:r>
          </w:p>
        </w:tc>
      </w:tr>
      <w:tr>
        <w:trPr>
          <w:trHeight w:val="29"/>
        </w:trPr>
        <w:tc>
          <w:tcPr>
            <w:tcW w:w="48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2022</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1,260.1</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885.8</w:t>
            </w:r>
          </w:p>
        </w:tc>
      </w:tr>
      <w:tr>
        <w:trPr>
          <w:trHeight w:val="182"/>
        </w:trPr>
        <w:tc>
          <w:tcPr>
            <w:tcW w:w="48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Issuance of common stock under stock-based compensation plans, net of</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exchanged for withholding tax</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5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payment expense</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4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7"/>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BALANCES AT MARCH 31, 2023</w:t>
            </w:r>
          </w:p>
        </w:tc>
        <w:tc>
          <w:tcPr>
            <w:tcW w:w="880" w:type="dxa"/>
            <w:vAlign w:val="bottom"/>
            <w:tcBorders>
              <w:top w:val="single" w:sz="8" w:color="auto"/>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1,262.7</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835.2</w:t>
            </w:r>
          </w:p>
        </w:tc>
      </w:tr>
      <w:tr>
        <w:trPr>
          <w:trHeight w:val="18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stock-based compensation plans, net of</w:t>
            </w: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exchanged for withholding tax</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payment expense</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5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r>
      <w:tr>
        <w:trPr>
          <w:trHeight w:val="236"/>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7"/>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2023</w:t>
            </w:r>
          </w:p>
        </w:tc>
        <w:tc>
          <w:tcPr>
            <w:tcW w:w="88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1,276.8</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735.2</w:t>
            </w:r>
          </w:p>
        </w:tc>
      </w:tr>
      <w:tr>
        <w:trPr>
          <w:trHeight w:val="95"/>
        </w:trPr>
        <w:tc>
          <w:tcPr>
            <w:tcW w:w="4880" w:type="dxa"/>
            <w:vAlign w:val="bottom"/>
            <w:tcBorders>
              <w:bottom w:val="single" w:sz="8" w:color="CCEEFF"/>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23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2023</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1,415.5</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783.2</w:t>
            </w:r>
          </w:p>
        </w:tc>
      </w:tr>
      <w:tr>
        <w:trPr>
          <w:trHeight w:val="182"/>
        </w:trPr>
        <w:tc>
          <w:tcPr>
            <w:tcW w:w="48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Issuance of common stock under stock-based compensation plans, net of</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exchanged for withholding tax</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5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payment expense</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4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MARCH 31, 2024</w:t>
            </w:r>
          </w:p>
        </w:tc>
        <w:tc>
          <w:tcPr>
            <w:tcW w:w="880" w:type="dxa"/>
            <w:vAlign w:val="bottom"/>
            <w:tcBorders>
              <w:top w:val="single" w:sz="8" w:color="auto"/>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1,418.8</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760.0</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9"/>
        </w:trPr>
        <w:tc>
          <w:tcPr>
            <w:tcW w:w="48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Issuance of common stock under stock-based compensation plans, net of</w:t>
            </w: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exchanged for withholding tax</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3"/>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payment expense</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5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37"/>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8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36"/>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JUNE 30, 2024</w:t>
            </w:r>
          </w:p>
        </w:tc>
        <w:tc>
          <w:tcPr>
            <w:tcW w:w="88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1,435.8</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(692.2)</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740.5</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42"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26035</wp:posOffset>
            </wp:positionV>
            <wp:extent cx="17399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5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w:t>
            </w:r>
          </w:p>
        </w:tc>
      </w:tr>
      <w:tr>
        <w:trPr>
          <w:trHeight w:val="253"/>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3"/>
        </w:trPr>
        <w:tc>
          <w:tcPr>
            <w:tcW w:w="8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53"/>
        </w:trPr>
        <w:tc>
          <w:tcPr>
            <w:tcW w:w="8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lease expense</w:t>
            </w:r>
          </w:p>
        </w:tc>
        <w:tc>
          <w:tcPr>
            <w:tcW w:w="8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33"/>
        </w:trPr>
        <w:tc>
          <w:tcPr>
            <w:tcW w:w="8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53"/>
        </w:trPr>
        <w:tc>
          <w:tcPr>
            <w:tcW w:w="8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8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33"/>
        </w:trPr>
        <w:tc>
          <w:tcPr>
            <w:tcW w:w="8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53"/>
        </w:trPr>
        <w:tc>
          <w:tcPr>
            <w:tcW w:w="8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Bad debt expense</w:t>
            </w:r>
          </w:p>
        </w:tc>
        <w:tc>
          <w:tcPr>
            <w:tcW w:w="8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realized losses on marketable investment securities</w:t>
            </w:r>
          </w:p>
        </w:tc>
        <w:tc>
          <w:tcPr>
            <w:tcW w:w="8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53"/>
        </w:trPr>
        <w:tc>
          <w:tcPr>
            <w:tcW w:w="8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Impairment of goodwill and long-lived assets</w:t>
            </w:r>
          </w:p>
        </w:tc>
        <w:tc>
          <w:tcPr>
            <w:tcW w:w="8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8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on termination of lease</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Gain on acquisition</w:t>
            </w:r>
          </w:p>
        </w:tc>
        <w:tc>
          <w:tcPr>
            <w:tcW w:w="8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8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46"/>
        </w:trPr>
        <w:tc>
          <w:tcPr>
            <w:tcW w:w="8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8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8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3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Inventory</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53"/>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taxes</w:t>
            </w:r>
          </w:p>
        </w:tc>
        <w:tc>
          <w:tcPr>
            <w:tcW w:w="8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40"/>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assets</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46"/>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Tenant improvement allowance received</w:t>
            </w:r>
          </w:p>
        </w:tc>
        <w:tc>
          <w:tcPr>
            <w:tcW w:w="8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33"/>
        </w:trPr>
        <w:tc>
          <w:tcPr>
            <w:tcW w:w="85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46"/>
        </w:trPr>
        <w:tc>
          <w:tcPr>
            <w:tcW w:w="8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liabilities</w:t>
            </w:r>
          </w:p>
        </w:tc>
        <w:tc>
          <w:tcPr>
            <w:tcW w:w="8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23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5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of internal-use software costs</w:t>
            </w:r>
          </w:p>
        </w:tc>
        <w:tc>
          <w:tcPr>
            <w:tcW w:w="8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Proceeds from maturities and sales of marketable investment securities</w:t>
            </w: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w:t>
            </w:r>
          </w:p>
        </w:tc>
      </w:tr>
      <w:tr>
        <w:trPr>
          <w:trHeight w:val="24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8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1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common stock issued under stock-based compensation plans</w:t>
            </w:r>
          </w:p>
        </w:tc>
        <w:tc>
          <w:tcPr>
            <w:tcW w:w="8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tax withheld for common stock issued under stock-based compensation plans</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5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8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revolving credit facility</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Fees associated with issuance and refinancing of revolving credit facility</w:t>
            </w:r>
          </w:p>
        </w:tc>
        <w:tc>
          <w:tcPr>
            <w:tcW w:w="8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6"/>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 on finance leases</w:t>
            </w: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8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rates on cash, cash equivalents, and restricted cash</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4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 classified as held for sale</w:t>
            </w:r>
          </w:p>
        </w:tc>
        <w:tc>
          <w:tcPr>
            <w:tcW w:w="8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5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8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the period</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w:t>
            </w:r>
          </w:p>
        </w:tc>
      </w:tr>
      <w:tr>
        <w:trPr>
          <w:trHeight w:val="27"/>
        </w:trPr>
        <w:tc>
          <w:tcPr>
            <w:tcW w:w="8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3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Myriad Genetics, Inc. (together with its subsidiaries, the “Company” or “Myriad”) is a leading genetic testing and precision medicine company dedicated to advancing health and well-being for all. Myriad provides insights that help people take control of their health and enable healthcare providers to better detect, treat, and prevent disease. Myriad develops and offers tests that help assess the risk of developing disease or disease progression and guide treatment decisions across medical specialties where genetic insights can significantly improve patient care and lower health care costs. The Company currently operates as a single reporting segment. The Company’s principal executive office is located in Salt Lake City, Utah.</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for the Company have been prepared in accordance with United States ("U.S.") generally accepted accounting principles (“GAAP”) for interim financial information and pursuant to the applicable rules and regulations of the Securities and Exchange Commission (“SEC”). All intercompany accounts and transactions have been eliminated in consolidation. In the opinion of management, the accompanying financial statements contain all adjustments (consisting of normal and recurring accruals) necessary to present fairly all financial statements in accordance with GAAP. The Condensed Consolidated Financial Statements herein should be read in conjunction with the Company’s audited Consolidated Financial Statements and notes thereto included in the Company’s Annual Report on Form 10-K for the year ended December 31, 2023 (the “Form 10-K”).</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and liabilities and disclosures of contingent assets and liabilities at the date of the financial statements, as well as the reported amounts of revenue and expenses during the reporting period.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historically experienced seasonality in its business. Due to the annual reset of patient deductibles at the beginning of the year, the Company has historically experienced a decrease in test volumes and reduction in the average revenue per test for the six months ended June 30. For the six months ended June 30, 2024 and 2023, the Company did not experience this seasonality impact to the same extent as prior years. Additionally, operating results for the three and six months ended June 30, 2024 may not necessarily be indicative of results to be expected for any other interim period or for the full year and historical patterns of seasonality may continue in future periods. For example, the volume of testing is typically negatively impacted by the summer season, which is generally reflected in the quarter ended September 30.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Held for Sale Policy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held for sale ("Net Assets held for Sale") represent receivables, inventory, intangibles, and other assets and liabilities that have met the criteria of "held for sale" accounting, as specified by Accounting Standards Codification ("ASC") 360, Property, Plant, and Equipment, and are recorded at the lower of carrying value or fair value less costs to sell. Fair value is based on the estimated proceeds from the sale of net assets and estimates of the costs to sell that include direct costs that are estimable and probable. Assets and liabilities classified as held for sale are expected to be sold within twelve months following their initial classification as held for sale. See Note 18 for additional information regarding assets and liabilities held for sale.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w:t>
      </w:r>
      <w:r>
        <w:rPr>
          <w:rFonts w:ascii="Times New Roman" w:cs="Times New Roman" w:eastAsia="Times New Roman" w:hAnsi="Times New Roman"/>
          <w:sz w:val="18"/>
          <w:szCs w:val="18"/>
          <w:i w:val="1"/>
          <w:iCs w:val="1"/>
          <w:color w:val="auto"/>
        </w:rPr>
        <w:t>egment Reporting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280): Improvements to Reportable Segment Disclosures</w:t>
      </w:r>
      <w:r>
        <w:rPr>
          <w:rFonts w:ascii="Times New Roman" w:cs="Times New Roman" w:eastAsia="Times New Roman" w:hAnsi="Times New Roman"/>
          <w:sz w:val="18"/>
          <w:szCs w:val="18"/>
          <w:color w:val="auto"/>
        </w:rPr>
        <w:t>, which enhances the disclosures required for reportable segments in annual and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ASU 2023-07 is effective for the Company for annual reporting periods beginning after December 15, 2023 and for interim periods within fiscal years December 15, 2024. Early adoption is permitted. The Company is currently evaluating the impact of ASU 2023-07 on its segment disclosures.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enhanced income tax disclosures, including disaggregation of information on the rate reconciliation table and disaggregated information related to income taxes paid. The amendments in ASU 2023-09 are effective for annual periods beginning after December 15, 2024. The Company is currently evaluating the impact of ASU 2023-09 on its income tax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with the current period presentation. The reclassifications have no impact on the Company's total assets, total liabilities, stockholders' equity, or cash flows from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primarily generates revenue by performing genetic testing. Testing revenues are primarily derived from the following categories of products: Hereditary Cancer (MyRisk, BRACAnalysis, BRACAnalysis CDx), Tumor Profiling (MyChoice CDx, Prolaris, Precise Tumor, and EndoPredict), Prenatal (Foresight, Prequel, and SneakPeek), and Pharmacogenomics (GeneSight). Revenue is recorded at the estimated transaction price. The Company has determined that the communication of test results indicates transfer of control for revenue recognition purposes.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 regarding the composition of the Company’s total revenue by product type and by geographical region, either U.S. or rest of world (“RoW”):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RoW</w:t>
            </w:r>
          </w:p>
        </w:tc>
        <w:tc>
          <w:tcPr>
            <w:tcW w:w="200" w:type="dxa"/>
            <w:vAlign w:val="bottom"/>
          </w:tcPr>
          <w:p>
            <w:pPr>
              <w:spacing w:after="0"/>
              <w:rPr>
                <w:sz w:val="16"/>
                <w:szCs w:val="16"/>
                <w:color w:val="auto"/>
              </w:rPr>
            </w:pPr>
          </w:p>
        </w:tc>
        <w:tc>
          <w:tcPr>
            <w:tcW w:w="10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RoW</w:t>
            </w:r>
          </w:p>
        </w:tc>
        <w:tc>
          <w:tcPr>
            <w:tcW w:w="260" w:type="dxa"/>
            <w:vAlign w:val="bottom"/>
          </w:tcPr>
          <w:p>
            <w:pPr>
              <w:spacing w:after="0"/>
              <w:rPr>
                <w:sz w:val="16"/>
                <w:szCs w:val="16"/>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0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Testing revenues: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Prenatal</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30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429"/>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RoW</w:t>
            </w:r>
          </w:p>
        </w:tc>
        <w:tc>
          <w:tcPr>
            <w:tcW w:w="200" w:type="dxa"/>
            <w:vAlign w:val="bottom"/>
          </w:tcPr>
          <w:p>
            <w:pPr>
              <w:spacing w:after="0"/>
              <w:rPr>
                <w:sz w:val="16"/>
                <w:szCs w:val="16"/>
                <w:color w:val="auto"/>
              </w:rPr>
            </w:pPr>
          </w:p>
        </w:tc>
        <w:tc>
          <w:tcPr>
            <w:tcW w:w="102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RoW</w:t>
            </w:r>
          </w:p>
        </w:tc>
        <w:tc>
          <w:tcPr>
            <w:tcW w:w="260" w:type="dxa"/>
            <w:vAlign w:val="bottom"/>
          </w:tcPr>
          <w:p>
            <w:pPr>
              <w:spacing w:after="0"/>
              <w:rPr>
                <w:sz w:val="16"/>
                <w:szCs w:val="16"/>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0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Testing revenues: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Prenatal</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30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 entity recognizes revenue to depict the transfer of promised goods or services to customers in an amount that reflects the consideration to which the entity expects to be entitled in exchange for those goods or services. The Company performs its obligation under a contract with a customer by processing tests and communicating the test results to customers, in exchange for consideration from the customer. The Company has the right to bill its customers upon the completion of performance obligations and thus does not record contract assets. Occasionally, customers make payments prior to the Company’s performance of its contractual obligations. When this occurs, the Company records a contract liability as Deferred revenue, which is included in Accrued liabilities in the Condensed Consolidated Balance Sheets.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 the Company has elected not to disclose the aggregate amount of the transaction price allocated to remaining performance obligations for its contracts that are one year or less, as the revenue is expected to be recognized within the next year. Furthermore, the Company has elected not to disclose the aggregate amount of the transaction price allocated to remaining performance obligations for its agreements wherein the Company’s right to payment is in an amount that directly corresponds with the value of the Company’s performance to date.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the transaction price, the Company includes an estimate of the expected amount of consideration as revenue. The Company applies this method consistently for similar contracts when estimating the effect of any uncertainty on an amount of variable consideration to which it will be entitled. An estimate of transaction price does not include any estimated amount of variable consideration that is constrained. In addition, the Company considers all the information (historical, current, and forecast) that is reasonably available to identify possible consideration amounts. In determining the expected value, the Company considers the probability of the variable consideration for each possible scenario. The Company also has significant experience with historical discount patterns and uses this experience to estimate transaction prices.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 of revenue is affected by assumptions in payor behavior such as changes in payor mix, payor collections, current customer contractual requirements, and experience with collections from third-party payors. When assessing the total consideration for insurance carriers and patients, revenues are further constrained for estimated refunds. The Company reserves certain amounts in Accrued liabilities in the Company’s Condensed Consolidated Balance Sheets in anticipation of requests for refunds of payments made previously by insurance carriers, which are accounted for as reductions in revenues in the Condensed Consolidated Statements of Operations and Comprehensive Loss.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collections for certain tests delivered may differ from rates estimated, primarily driven by changes in the estimated transaction price due to contractual adjustments, obtaining updated information from payors and patients that was unknown at the time the performance obligation was met, and settlements with third-party payors. As a result of this new information, the Company updates its estimate of the amounts to be recognized for previously delivered tests. During the three months ended June 30, 2024 and the three and six months ended June 30, 2023, the impact of the amounts to be recognized for previously delivered tests was not material to the Company's Condensed Consolidated Statements of Operations. During the six months ended June 30, 2024, the Company recognized $6.3 million in revenue, which resulted in a $0.07 impact to earnings per share for tests in which the performance obligation was met in prior periods, primarily driven by changes in the estimated transaction price. Additionally, during the six months ended June 30, 2024, the Company recognized $3.0 million in revenue due to a retroactive coverage change by a payor for one of its prenatal products.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applies the practical expedient related to costs to obtain or fulfill a contract since the amortization period for such costs will be one year or less. Accordingly, no costs incurred to obtain or fulfill a contract have been capitalized. The Company also applies the practical expedient for not adjusting revenue recognized for the effects of the time value of money. This practical expedient has been elected because the Company collects very little cash from customers under payment terms and the vast majority of payment terms have a payback period of less than one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 The Company limits its exposure to loss by placing its cash in financial institutions with high credit ratings. The Company's cash may consist of deposits held with banks that may at times exceed federally insured limits of $250,000 per customer. Substantially all of the Company’s accounts receivable are with companies in the healthcare industry, U.S. and state governmental agencies, and individuals. The Company does not believe that receivables due from U.S. and state governmental agencies, such as Medicare, represent a credit risk since the related healthcare programs are funded by the U.S. and state governments.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only has one payor, Medicare, that represents greater than 10% of its revenues. Revenues received from Medicare represented 11% of total revenue for the three and six months ended June 30, 2024 and 12% and 11% of total revenue for the three and six months ended June 30, 2023, respectively. Concentrations of credit risk are mitigated due to the number of the Company’s customers as well as their dispersion across many geographic regions. The Company has only one payor that accounted for more than 10% of accounts receivable at June 30, 2024 and December 31, 2023. The balance of accounts receivable from the payor represented 13% and 12% of the total accounts receivable balance as of June 30, 2024 and December 31, 2023, respectively. The Company does not require collateral from its customers.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INVESTMENT SECURITIES</w:t>
      </w:r>
    </w:p>
    <w:p>
      <w:pPr>
        <w:spacing w:after="0" w:line="121"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18"/>
          <w:szCs w:val="18"/>
          <w:color w:val="auto"/>
        </w:rPr>
        <w:t>The amortized cost, gross unrealized holding gains, gross unrealized holding losses, and fair value for debt securities classified as available-for-sale securities by major security type and class of security at June 30, 2024 and December 31, 2023 were as follows:</w:t>
      </w:r>
    </w:p>
    <w:tbl>
      <w:tblPr>
        <w:tblLayout w:type="fixed"/>
        <w:tblInd w:w="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1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43"/>
        </w:trPr>
        <w:tc>
          <w:tcPr>
            <w:tcW w:w="5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70"/>
        </w:trPr>
        <w:tc>
          <w:tcPr>
            <w:tcW w:w="570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Reclassification to assets held for sale</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64"/>
        </w:trPr>
        <w:tc>
          <w:tcPr>
            <w:tcW w:w="5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Available-for-sale:</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57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holding</w:t>
            </w:r>
          </w:p>
        </w:tc>
        <w:tc>
          <w:tcPr>
            <w:tcW w:w="22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204"/>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5680" w:type="dxa"/>
            <w:vAlign w:val="bottom"/>
            <w:tcBorders>
              <w:bottom w:val="single" w:sz="8" w:color="CFF0FC"/>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43"/>
        </w:trPr>
        <w:tc>
          <w:tcPr>
            <w:tcW w:w="5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0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23"/>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5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57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maturities of debt securities classified as available-for-sale securities were as follows at June 30, 2024: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5"/>
                <w:szCs w:val="15"/>
                <w:color w:val="auto"/>
              </w:rPr>
            </w:pP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1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85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5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7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8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5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43"/>
        </w:trPr>
        <w:tc>
          <w:tcPr>
            <w:tcW w:w="8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Reclassification to assets held for sale</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8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5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cash, cash equivalents, and maturities of debt securities classified as available-for-sale securities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a security sold, or amount reclassified out of accumulated other comprehensive income or loss into net loss, is determined based on the specific identification method. The Company does not intend to sell these available-for-sale debt securities, and it is not more likely than not that the Company will be required to sell these securities prior to recovery of their amortized cost basis. Additional information relating to fair value of marketable investment securities can be found in Note 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17"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Some of the Company’s marketable securities primarily utilize broker quotes in a non-active market for valuation of these securities.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3—unobservable inputs.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Company’s financial instruments are valued using quoted prices in active markets or based on other observable inputs. For Level 2 securities, the Company uses a third-party pricing service which provides documentation on an ongoing basis that includes, among other things, pricing information with respect to reference data, methodology, inputs summarized by asset class, pricing application and corroborative information.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which it considers a Level 2 measurement, is estimated using discounted cash flow analyses, based on the Company’s current estimated incremental borrowing rates for similar borrowing arrangements. The fair value of the Company’s long-term debt is estimated to be $39.8 million at June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fair value of the financial assets and liabilities that the Company re-measures on a regular basis: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7"/>
                <w:szCs w:val="17"/>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 (a)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Money market funds are primarily comprised of exchange traded funds and accrued interest.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7"/>
                <w:szCs w:val="17"/>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7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 (a)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533"/>
              <w:spacing w:after="0"/>
              <w:rPr>
                <w:sz w:val="20"/>
                <w:szCs w:val="20"/>
                <w:color w:val="auto"/>
              </w:rPr>
            </w:pPr>
            <w:r>
              <w:rPr>
                <w:rFonts w:ascii="Times New Roman" w:cs="Times New Roman" w:eastAsia="Times New Roman" w:hAnsi="Times New Roman"/>
                <w:sz w:val="18"/>
                <w:szCs w:val="18"/>
                <w:color w:val="auto"/>
                <w:w w:val="97"/>
              </w:rPr>
              <w:t>2.2</w:t>
            </w: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center"/>
              <w:ind w:left="533"/>
              <w:spacing w:after="0"/>
              <w:rPr>
                <w:sz w:val="20"/>
                <w:szCs w:val="20"/>
                <w:color w:val="auto"/>
              </w:rPr>
            </w:pPr>
            <w:r>
              <w:rPr>
                <w:rFonts w:ascii="Times New Roman" w:cs="Times New Roman" w:eastAsia="Times New Roman" w:hAnsi="Times New Roman"/>
                <w:sz w:val="18"/>
                <w:szCs w:val="18"/>
                <w:color w:val="auto"/>
                <w:w w:val="97"/>
              </w:rPr>
              <w:t>8.3</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center"/>
              <w:ind w:left="533"/>
              <w:spacing w:after="0"/>
              <w:rPr>
                <w:sz w:val="20"/>
                <w:szCs w:val="20"/>
                <w:color w:val="auto"/>
              </w:rPr>
            </w:pPr>
            <w:r>
              <w:rPr>
                <w:rFonts w:ascii="Times New Roman" w:cs="Times New Roman" w:eastAsia="Times New Roman" w:hAnsi="Times New Roman"/>
                <w:sz w:val="18"/>
                <w:szCs w:val="18"/>
                <w:color w:val="auto"/>
                <w:w w:val="97"/>
              </w:rPr>
              <w:t>0.5</w:t>
            </w: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(5.4)</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center"/>
              <w:ind w:left="513"/>
              <w:spacing w:after="0"/>
              <w:rPr>
                <w:sz w:val="20"/>
                <w:szCs w:val="20"/>
                <w:color w:val="auto"/>
              </w:rPr>
            </w:pPr>
            <w:r>
              <w:rPr>
                <w:rFonts w:ascii="Times New Roman" w:cs="Times New Roman" w:eastAsia="Times New Roman" w:hAnsi="Times New Roman"/>
                <w:sz w:val="18"/>
                <w:szCs w:val="18"/>
                <w:color w:val="auto"/>
              </w:rPr>
              <w:t>(5.4)</w:t>
            </w:r>
          </w:p>
        </w:tc>
      </w:tr>
      <w:tr>
        <w:trPr>
          <w:trHeight w:val="263"/>
        </w:trPr>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center"/>
              <w:ind w:left="533"/>
              <w:spacing w:after="0"/>
              <w:rPr>
                <w:sz w:val="20"/>
                <w:szCs w:val="20"/>
                <w:color w:val="auto"/>
              </w:rPr>
            </w:pPr>
            <w:r>
              <w:rPr>
                <w:rFonts w:ascii="Times New Roman" w:cs="Times New Roman" w:eastAsia="Times New Roman" w:hAnsi="Times New Roman"/>
                <w:sz w:val="18"/>
                <w:szCs w:val="18"/>
                <w:color w:val="auto"/>
                <w:w w:val="97"/>
              </w:rPr>
              <w:t>5.6</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Money market funds are primarily comprised of exchange traded funds and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signed a definitive agreement to sell its EndoPredict business to Eurobio Scientific and classified the associated assets and liabilities as held for sale. The Company recognized a $10.2 million impairment based on the estimated net sale price of the EndoPredict business. The fair value used in the analysis was considered a Level 2 measurement.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change in the fair value of the contingent consideration during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204"/>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7"/>
                <w:szCs w:val="17"/>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9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the Statements of Operations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Translation adjustments recognized in Other comprehensive loss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June 30, 2024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Level 2 contingent consideration related to the acquisition of Gateway Genomics, LLC ("Gateway"), the Company reassesses the fair value of expected contingent consideration and the corresponding liability each reporting period using then current financial projections. As of June 30, 2024, the Company has estimated a fair value of $0 related to the Gateway contingent consideration as the achievement of the contingent consideration targets is not considered probable.</w:t>
      </w:r>
    </w:p>
    <w:p>
      <w:pPr>
        <w:spacing w:after="0" w:line="28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plant and equipment at June 30, 2024 and December 31, 2023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0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7"/>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7"/>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to assets held for sale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2023, the Company incurred $5.7 million of accelerated depreciation of leasehold improvements and equipment in connection with the Company's decision to cease the use of its corporate headquarters in Salt Lake City, Utah, and transition corporate support operations to its new facility in west Salt Lake City. The Company formally assigned the previous corporate headquarters lease to a third party as of December 31, 2023. See Note 15 for further discussion.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depreciation during the respective periods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4"/>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5"/>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635"/>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six months ended June 30, 2024 are as follows: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a goodwill impairment charge of $0.8 million during the six months ended June 30, 2024 related to the goodwill allocated to assets held for sale in the Myriad International reporting unit. The goodwill impairment charge is reflected in Goodwill and long-lived asset impairment charges in the Condensed Consolidated Statements of Operations. See Note 18 for further discussion.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Intangible assets consist of amortizable assets of developed technologies, customer relationships, and trademarks. The following summarizes the amounts reported as intangible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5"/>
                <w:szCs w:val="15"/>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7"/>
                <w:szCs w:val="17"/>
                <w:color w:val="auto"/>
              </w:rPr>
            </w:pPr>
          </w:p>
        </w:tc>
        <w:tc>
          <w:tcPr>
            <w:tcW w:w="10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June 30, 2024</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 (in-process)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assets held for sale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7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7"/>
                <w:szCs w:val="17"/>
                <w:color w:val="auto"/>
              </w:rPr>
            </w:pPr>
          </w:p>
        </w:tc>
        <w:tc>
          <w:tcPr>
            <w:tcW w:w="10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 December 31, 2023</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Developed technologies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Internal-use software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Internal-use software (in-process)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Trademarks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r>
      <w:tr>
        <w:trPr>
          <w:trHeight w:val="297"/>
        </w:trPr>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0"/>
        </w:trPr>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3"/>
        </w:trPr>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7"/>
        </w:trPr>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-899795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-556895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-213995</wp:posOffset>
            </wp:positionV>
            <wp:extent cx="7132320"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160"/>
          </w:cols>
          <w:pgMar w:left="320" w:top="12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amortization expense during the respective periods for these intangible assets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6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680" w:type="dxa"/>
            <w:vAlign w:val="bottom"/>
            <w:gridSpan w:val="4"/>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4"/>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4"/>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864"/>
        </w:trPr>
        <w:tc>
          <w:tcPr>
            <w:tcW w:w="55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liabilities at June 30, 2024 and December 31, 2023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45.2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 payable</w:t>
            </w:r>
          </w:p>
        </w:tc>
        <w:tc>
          <w:tcPr>
            <w:tcW w:w="9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8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Refunds payable and reserves</w:t>
            </w: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contingent consideration</w:t>
            </w:r>
          </w:p>
        </w:tc>
        <w:tc>
          <w:tcPr>
            <w:tcW w:w="940" w:type="dxa"/>
            <w:vAlign w:val="bottom"/>
          </w:tcPr>
          <w:p>
            <w:pPr>
              <w:spacing w:after="0"/>
              <w:rPr>
                <w:sz w:val="21"/>
                <w:szCs w:val="21"/>
                <w:color w:val="auto"/>
              </w:rPr>
            </w:pPr>
          </w:p>
        </w:tc>
        <w:tc>
          <w:tcPr>
            <w:tcW w:w="5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8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w:t>
            </w:r>
          </w:p>
        </w:tc>
        <w:tc>
          <w:tcPr>
            <w:tcW w:w="9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termination accrual</w:t>
            </w: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9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14.4</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8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liabilities held for sale</w:t>
            </w:r>
          </w:p>
        </w:tc>
        <w:tc>
          <w:tcPr>
            <w:tcW w:w="9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98.3</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r>
    </w:tbl>
    <w:p>
      <w:pPr>
        <w:spacing w:after="0" w:line="396"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2023, the Company entered into an asset-based revolving credit facility (the “ABL Facility”) with an initial maximum principal amount of $90.0 million, with JPMorgan Chase Bank, N.A. as administrative agent and issuing bank, the other lender parties thereto, and certain of the Company's domestic subsidiaries (the "Guarantors"). On October 31, 2023, the Company entered into an amendment to the ABL Facility to increase the maximum principal amount of the available revolving line of credit by $25.0 million for a total maximum principal commitment of $115.0 million under the ABL Facility, which was effected through a new commitment provided by a new lender, Goldman Sachs Bank USA. The ABL Facility matures on June 30, 2026. The obligations of the Company are guaranteed by the Guarantors and the ABL Facility is secured by substantially all of the assets of the Company and the Guarantors. The Company had long-term debt of $40.0 million under the ABL Facility at June 30, 2024 and December 31, 2023, net of $1.2 million and $1.5 million of debt issuance costs, respectively. Proceeds from the ABL Facility were or will be used for the working capital needs and general corporate purposes of the Company and its subsidiaries.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Availability under the ABL Facility is subject to a borrowing base, which is the lesser of (a) 85% of the Company's and the Guarantor's eligible accounts receivable plus certain cash held in a segregated and fully-blocked account with the administrative agent in an amount up to $20.0 million ("Eligible Cash") minus any reserves established by the administrative agent in accordance with the ABL Facility, and (b) the aggregate amount of cash collections from eligible accounts of the Company and the Guarantors for the 60 consecutive days most recently ended. Subject to certain conditions, the Company can freely withdraw cash from the Eligible Cash account, provided that any reduction in the Eligible Cash amount will have a corresponding reduction in the borrowing base under the ABL Facility.</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Loans outstanding under the ABL Facility will bear interest at a rate per annum equal to, at the option of the Company, either (a) the greatest of (i) the daily Prime Rate, (ii) the daily NYFRB Rate plus 0.5%, and (iii) the monthly Adjusted Term SOFR Rate (as defined below) plus 1.0% (the “ABR”) plus an applicable margin ranging from 1.0% to 1.5% depending on the aggregate average unused availability under the ABL Facility during the prior quarter or</w:t>
      </w:r>
    </w:p>
    <w:p>
      <w:pPr>
        <w:spacing w:after="0" w:line="1" w:lineRule="exact"/>
        <w:rPr>
          <w:sz w:val="20"/>
          <w:szCs w:val="20"/>
          <w:color w:val="auto"/>
        </w:rPr>
      </w:pPr>
    </w:p>
    <w:p>
      <w:pPr>
        <w:jc w:val="both"/>
        <w:ind w:firstLine="8"/>
        <w:spacing w:after="0" w:line="253"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for a tenor of one, three or six months (at the Company’s election) plus 0.1% (the “Adjusted Term SOFR Rate”) plus an applicable margin ranging from 2.0% to 2.5% depending on the average unused availability under the ABL Facility during the prior quarter, with an ABR floor of 1.0% and an Adjusted Term SOFR Rate floor of 0.0%. Under the ABL Facility, the undrawn fee ranges from 37.5 to 50 basis points based on the daily amount of the available revolving commitment. The weighted average interest rate for borrowings under the ABL Facility as of June 30, 2024 was 8.7%.</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elect to prepay all or any portion of the amounts owed prior to the maturity date without premium or penalty. The ABL Facility is also subject to customary mandatory prepayments with the proceeds of unpermitted indebtedness and upon the occurrence of an over-advance. Voluntary and mandatory prepayments and all other payments of the ABL Facility must be accompanied by payment of accrued interest on the principal amount repaid or prepaid.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ABL Facility contains customary loan terms, interest rates, representations and warranties and affirmative and negative covenants, in each case, subject to customary limitations, exceptions and exclusions. Covenants under the ABL Facility limit or restrict the Company and its subsidiaries' ability to incur liens, incur indebtedness, dispose of assets, make investments, make certain restricted payments, merge or consolidate and enter into certain speculative hedging arrangements. The ABL Facility requires the Company and the Guarantors, on a consolidated basis, to maintain minimum liquidity of $60.0 million and minimum availability of $25.0 million at all times before achieving a fixed charge coverage ratio of 1.0 to 1.0 and thereafter, to maintain a fixed charge coverage ratio of 1.0 to 1.0 until achieving availability under the ABL Facility of greater than the greater of (a) $10.6 million and (b) 12.5% of the lesser of the maximum commitment amount and the borrowing base for a period of 30 consecutive days. As of June 30, 2024, availability under the ABL Facility was $41.5 million. In addition, the ABL Facility includes a number of customary events of default. If any event of default occurs (subject, in certain instances, to specified grace periods), the principal, premium, if any, interest and any other monetary obligations on all the then-outstanding amounts under the ABL Facility may become due and payable immediately.</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ABL Facility, if (i) an event of default has occurred and is continuing or (ii) availability under the ABL Facility is less than the greater of (a) $12.5 million and (b) 15% of the lesser of the maximum commitment amount and the borrowing base, the Company will become subject to cash dominion, upon which the administrative agent will apply funds credited to a collection account to first prepay any outstanding protective advances, second to prepay any revolving loans and third, to cash collateralize any outstanding letter of credit exposure. Such cash dominion period will end when availability has remained in excess of the greater of (i) $12.5 million and (ii) 15% of the lesser of the maximum commitment amount and the borrowing base for a period of 45 consecutive days and no event of default is continuing.</w:t>
      </w:r>
    </w:p>
    <w:p>
      <w:pPr>
        <w:spacing w:after="0" w:line="12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OTHER LONG-TERM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long-term liabilities at June 30, 2024 and December 31, 2023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3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Escrow liability</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settlements</w:t>
            </w: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24.0</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to liabilities held for sale</w:t>
            </w:r>
          </w:p>
        </w:tc>
        <w:tc>
          <w:tcPr>
            <w:tcW w:w="9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34.6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r>
    </w:tbl>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23, 2023 (the "Effective Date"), the Company and Ravgen, Inc. ("Ravgen") entered into a settlement agreement pursuant to which the parties agreed to settle a pending lawsuit. Subject to the terms of the settlement agreement, the Company agreed to pay Ravgen a contingent payment of $21.25 million payable in five annual installments, with (1) the first installment of $5.0 million payable on the later of (a) 30 days after notification in writing by Ravgen of the successful conclusion in favor of Ravgen of all of Ravgen's litigations and patent reexaminations pending as of the Effective Date and (b) January 1, 2026 (the "Contingent Payment Date"); (2) the second installment of $5.0 million on the first anniversary of the Contingent Payment Date; (3) the third installment of $5.0 million on the second anniversary of the Contingent Payment Date; (4) the fourth installment of $5.0 million on the third anniversary of the Contingent Payment Date; and (5) $1.25 million on the fourth anniversary of the Contingent Payment Date. Additionally, the Company agreed to pay Ravgen a minimum of $12.75 million in three installment payments of which $7.75 million is outstanding as of June 30, 2024. The remaining payments will be made in two installments: (1) $5.0 million on or before October 31, 2024 and (2) $2.75 million on or before October 31, 2025. The Company has accrued $5.0 million in Accrued Liabilities and $24.0 million in Other long-term liabilities for these payments in the Company's Condensed Consolidated Balance Sheet as of June 30,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PREFERRED AND COMMON STOCKHOLDERS' EQUITY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5.0 million shares of preferred stock, par value $0.01 per share. There were no shares of preferred stock outstanding at June 30,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150.0 million shares of common stock, par value $0.01 per share. There were 90.9 million shares of common stock issued and outstanding at June 30,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31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318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common stock issued and outstanding</w:t>
      </w:r>
    </w:p>
    <w:p>
      <w:pPr>
        <w:spacing w:after="0" w:line="63"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8"/>
          <w:szCs w:val="18"/>
          <w:color w:val="auto"/>
        </w:rPr>
        <w:t>Common stock issued upon exercise of options, vesting of restricted stock units, and purchases under employee stock purchase plan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issued and outstanding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37"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75" w:lineRule="exact"/>
        <w:rPr>
          <w:sz w:val="20"/>
          <w:szCs w:val="20"/>
          <w:color w:val="auto"/>
        </w:rPr>
      </w:pPr>
    </w:p>
    <w:p>
      <w:pPr>
        <w:ind w:left="420"/>
        <w:spacing w:after="0"/>
        <w:tabs>
          <w:tab w:leader="none" w:pos="1940" w:val="left"/>
        </w:tabs>
        <w:rPr>
          <w:sz w:val="20"/>
          <w:szCs w:val="20"/>
          <w:color w:val="auto"/>
        </w:rPr>
      </w:pPr>
      <w:r>
        <w:rPr>
          <w:rFonts w:ascii="Times New Roman" w:cs="Times New Roman" w:eastAsia="Times New Roman" w:hAnsi="Times New Roman"/>
          <w:sz w:val="18"/>
          <w:szCs w:val="18"/>
          <w:color w:val="auto"/>
        </w:rPr>
        <w:t>89.9</w:t>
      </w:r>
      <w:r>
        <w:rPr>
          <w:sz w:val="20"/>
          <w:szCs w:val="20"/>
          <w:color w:val="auto"/>
        </w:rPr>
        <w:tab/>
      </w:r>
      <w:r>
        <w:rPr>
          <w:rFonts w:ascii="Times New Roman" w:cs="Times New Roman" w:eastAsia="Times New Roman" w:hAnsi="Times New Roman"/>
          <w:sz w:val="17"/>
          <w:szCs w:val="17"/>
          <w:color w:val="auto"/>
        </w:rPr>
        <w:t>81.2</w:t>
      </w:r>
    </w:p>
    <w:p>
      <w:pPr>
        <w:spacing w:after="0" w:line="279" w:lineRule="exact"/>
        <w:rPr>
          <w:sz w:val="20"/>
          <w:szCs w:val="20"/>
          <w:color w:val="auto"/>
        </w:rPr>
      </w:pPr>
    </w:p>
    <w:p>
      <w:pPr>
        <w:jc w:val="right"/>
        <w:ind w:right="80"/>
        <w:spacing w:after="0"/>
        <w:tabs>
          <w:tab w:leader="none" w:pos="2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0.7</w:t>
      </w:r>
    </w:p>
    <w:p>
      <w:pPr>
        <w:spacing w:after="0" w:line="77" w:lineRule="exact"/>
        <w:rPr>
          <w:sz w:val="20"/>
          <w:szCs w:val="20"/>
          <w:color w:val="auto"/>
        </w:rPr>
      </w:pPr>
    </w:p>
    <w:p>
      <w:pPr>
        <w:ind w:left="420"/>
        <w:spacing w:after="0"/>
        <w:tabs>
          <w:tab w:leader="none" w:pos="1940" w:val="left"/>
        </w:tabs>
        <w:rPr>
          <w:sz w:val="20"/>
          <w:szCs w:val="20"/>
          <w:color w:val="auto"/>
        </w:rPr>
      </w:pPr>
      <w:r>
        <w:rPr>
          <w:rFonts w:ascii="Times New Roman" w:cs="Times New Roman" w:eastAsia="Times New Roman" w:hAnsi="Times New Roman"/>
          <w:sz w:val="18"/>
          <w:szCs w:val="18"/>
          <w:color w:val="auto"/>
        </w:rPr>
        <w:t>90.9</w:t>
      </w:r>
      <w:r>
        <w:rPr>
          <w:sz w:val="20"/>
          <w:szCs w:val="20"/>
          <w:color w:val="auto"/>
        </w:rPr>
        <w:tab/>
      </w:r>
      <w:r>
        <w:rPr>
          <w:rFonts w:ascii="Times New Roman" w:cs="Times New Roman" w:eastAsia="Times New Roman" w:hAnsi="Times New Roman"/>
          <w:sz w:val="17"/>
          <w:szCs w:val="17"/>
          <w:color w:val="auto"/>
        </w:rPr>
        <w:t>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60325</wp:posOffset>
            </wp:positionV>
            <wp:extent cx="18173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180" w:space="720"/>
            <w:col w:w="2340"/>
          </w:cols>
          <w:pgMar w:left="320" w:top="121" w:right="339" w:bottom="1440" w:gutter="0" w:footer="0" w:header="0"/>
        </w:sectPr>
      </w:pP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based on the weighted-average number of shares of common stock outstanding. Diluted earnings per share is computed based on the weighted-average number of shares of common stock, including the dilutive effect of common stock equivalents, outstanding. In periods when the Company has a net loss, stock awards are excluded from the calculation of diluted net loss per share as their inclusion would have an antidilutive effect.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denominators of the basic and diluted earnings per share (“EPS”) computations: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used to compute basic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0583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0583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 of dilutive shares</w:t>
      </w:r>
    </w:p>
    <w:p>
      <w:pPr>
        <w:spacing w:after="0" w:line="63"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Weighted-average shares outstanding and dilutive securities used to compute diluted EPS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380" w:type="dxa"/>
            <w:vAlign w:val="bottom"/>
            <w:gridSpan w:val="5"/>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4"/>
                <w:szCs w:val="14"/>
                <w:color w:val="auto"/>
              </w:rPr>
            </w:pPr>
          </w:p>
        </w:tc>
      </w:tr>
      <w:tr>
        <w:trPr>
          <w:trHeight w:val="190"/>
        </w:trPr>
        <w:tc>
          <w:tcPr>
            <w:tcW w:w="880" w:type="dxa"/>
            <w:vAlign w:val="bottom"/>
          </w:tcPr>
          <w:p>
            <w:pPr>
              <w:spacing w:after="0"/>
              <w:rPr>
                <w:sz w:val="16"/>
                <w:szCs w:val="16"/>
                <w:color w:val="auto"/>
              </w:rPr>
            </w:pPr>
          </w:p>
        </w:tc>
        <w:tc>
          <w:tcPr>
            <w:tcW w:w="150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6"/>
                <w:szCs w:val="16"/>
                <w:color w:val="auto"/>
              </w:rPr>
            </w:pPr>
          </w:p>
        </w:tc>
      </w:tr>
      <w:tr>
        <w:trPr>
          <w:trHeight w:val="50"/>
        </w:trPr>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00"/>
        </w:trPr>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493"/>
        </w:trPr>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right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2"/>
        </w:trPr>
        <w:tc>
          <w:tcPr>
            <w:tcW w:w="8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67"/>
        </w:trPr>
        <w:tc>
          <w:tcPr>
            <w:tcW w:w="8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-839470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4900" w:space="620"/>
            <w:col w:w="5720"/>
          </w:cols>
          <w:pgMar w:left="320" w:top="121"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outstanding options and restricted stock units (“RSUs”) were excluded from the computation of diluted earnings per share because the effect would have been anti-dilutive. These potential dilutive shares of common stock, which may be dilutive to future diluted earnings per share,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2420" w:type="dxa"/>
            <w:vAlign w:val="bottom"/>
            <w:gridSpan w:val="5"/>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2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500" w:type="dxa"/>
            <w:vAlign w:val="bottom"/>
            <w:tcBorders>
              <w:bottom w:val="single" w:sz="8" w:color="CFF0FC"/>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options and RSUs excluded from EPS computation</w:t>
            </w: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5500" w:type="dxa"/>
            <w:vAlign w:val="bottom"/>
            <w:shd w:val="clear" w:color="auto" w:fill="CFF0FC"/>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30, 2017, the Company’s stockholders approved the adoption of the 2017 Employee, Director and Consultant Equity Incentive Plan (as amended, the “2017 Plan”). The 2017 Plan allows the Company, under the direction of the Compensation and Human Capital Committee (the "CHCC") of the Board of Directors, to make grants of restricted stock and restricted stock unit awards to employees, consultants, and directors. Stockholders have subsequently approved amendments to the 2017 Plan increasing the shares available to grant thereunder, including most recently at the Company's annual meeting of stockholders held on June 1, 2023, when stockholders approved an amendment to the 2017 Plan to increase the aggregate number of shares of common stock available thereunder for the granting of awards by an additional 4.8 million shares. As of June 30, 2024, the Company had 2.4 million shares of common stock available for grant under the 2017 Plan. If an RSU awarded under the 2017 Plan is cancelled or forfeited without the issuance of shares of common stock, the unissued or reacquired shares that were subject to the RSU will again be available for issuance pursuant to the 2017 Plan.</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number of shares, terms, and vesting periods are generally determined by the Company’s Board of Directors or the CHCC on an award-by-award basis. RSUs granted to employees generally vest either ratably over three or four years or as cliff vesting after three years either on the anniversary of the date on which the RSUs were granted or during the month in which such anniversary dates occur. The number of performance-based RSUs ("PSUs") awarded to certain employees may be increased or reduced based on certain additional performance and market metrics. RSUs granted to non-employee directors generally vest in full upon the earlier of the completion of one year of service following the date of the grant or the date of the next annual meeting of stockholders following such grant. Options granted to the Company's President and Chief Executive Officer as an inducement to his employment expire on August 13, 2027.</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performance and market conditions associated with PSU awards granted during the six months ended June 30, 2024 include vesting that is based on revenue targets (34% weighting), adjusted earnings per share targets (33% weighting), and relative total stockholder return (33% weighting) measured against the Nasdaq Health Care Index (IXHC) using the 20-trading day averages at the beginning and end of the measurement period. The measurement period for the relative total stockholder return metric is January 1, 2024 through December 31, 2026, and the revenue and adjusted earnings per share metrics will be measured based on fiscal year 2026 results. The Company estimates the likelihood of achievement of performance conditions for all PSU awards at the end of each period. To the extent those awards or portions thereof are considered probable of being achieved, such awards or portions thereof are expensed over the performance period. The portion of the awards pertaining to relative total stockholder return represent market conditions and, accordingly, the estimated fair value of such awards is recognized over the performance period.</w:t>
      </w:r>
    </w:p>
    <w:p>
      <w:pPr>
        <w:sectPr>
          <w:pgSz w:w="11900" w:h="16838" w:orient="portrait"/>
          <w:cols w:equalWidth="0" w:num="1">
            <w:col w:w="11240"/>
          </w:cols>
          <w:pgMar w:left="320" w:top="121" w:right="339" w:bottom="1440" w:gutter="0" w:footer="0" w:header="0"/>
        </w:sectPr>
      </w:pP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for the six months ended June 30, 2024 is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(number of 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outstanding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exercisable at June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204"/>
        </w:trPr>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3"/>
        </w:trPr>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97"/>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r>
    </w:tbl>
    <w:p>
      <w:pPr>
        <w:spacing w:after="0" w:line="200" w:lineRule="exact"/>
        <w:rPr>
          <w:sz w:val="20"/>
          <w:szCs w:val="20"/>
          <w:color w:val="auto"/>
        </w:rPr>
      </w:pPr>
    </w:p>
    <w:p>
      <w:pPr>
        <w:sectPr>
          <w:pgSz w:w="11900" w:h="16838" w:orient="portrait"/>
          <w:cols w:equalWidth="0" w:num="2">
            <w:col w:w="7680" w:space="720"/>
            <w:col w:w="2840"/>
          </w:cols>
          <w:pgMar w:left="320" w:top="121" w:right="339" w:bottom="1440" w:gutter="0" w:footer="0" w:header="0"/>
          <w:type w:val="continuous"/>
        </w:sectPr>
      </w:pPr>
    </w:p>
    <w:p>
      <w:pPr>
        <w:spacing w:after="0" w:line="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June 30, 2024, there was $0.1 million of total unrecognized stock-based compensation expense related to stock options that will be recognized over a weighted-average period of 0.2 years. There were no options granted during the six months ended June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RSU awards activity under the Company’s equity plan and inducement awards, including PSU awards, for the six months ended June 30,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9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9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of</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(number of shares in millions)</w:t>
            </w:r>
          </w:p>
        </w:tc>
        <w:tc>
          <w:tcPr>
            <w:tcW w:w="3660" w:type="dxa"/>
            <w:vAlign w:val="bottom"/>
          </w:tcPr>
          <w:p>
            <w:pPr>
              <w:spacing w:after="0"/>
              <w:rPr>
                <w:sz w:val="16"/>
                <w:szCs w:val="16"/>
                <w:color w:val="auto"/>
              </w:rPr>
            </w:pPr>
          </w:p>
        </w:tc>
        <w:tc>
          <w:tcPr>
            <w:tcW w:w="9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37"/>
        </w:trPr>
        <w:tc>
          <w:tcPr>
            <w:tcW w:w="4740" w:type="dxa"/>
            <w:vAlign w:val="bottom"/>
            <w:tcBorders>
              <w:bottom w:val="single" w:sz="8" w:color="CFF0FC"/>
            </w:tcBorders>
          </w:tcPr>
          <w:p>
            <w:pPr>
              <w:spacing w:after="0"/>
              <w:rPr>
                <w:sz w:val="3"/>
                <w:szCs w:val="3"/>
                <w:color w:val="auto"/>
              </w:rPr>
            </w:pPr>
          </w:p>
        </w:tc>
        <w:tc>
          <w:tcPr>
            <w:tcW w:w="3660" w:type="dxa"/>
            <w:vAlign w:val="bottom"/>
            <w:tcBorders>
              <w:bottom w:val="single" w:sz="8" w:color="CFF0FC"/>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unvested and outstanding at December 31, 2023</w:t>
            </w:r>
          </w:p>
        </w:tc>
        <w:tc>
          <w:tcPr>
            <w:tcW w:w="36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3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RSUs vested</w:t>
            </w:r>
          </w:p>
        </w:tc>
        <w:tc>
          <w:tcPr>
            <w:tcW w:w="3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RSUs canceled</w:t>
            </w:r>
          </w:p>
        </w:tc>
        <w:tc>
          <w:tcPr>
            <w:tcW w:w="366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0" w:type="dxa"/>
            <w:vAlign w:val="bottom"/>
          </w:tcPr>
          <w:p>
            <w:pPr>
              <w:spacing w:after="0"/>
              <w:rPr>
                <w:sz w:val="1"/>
                <w:szCs w:val="1"/>
                <w:color w:val="auto"/>
              </w:rPr>
            </w:pPr>
          </w:p>
        </w:tc>
      </w:tr>
      <w:tr>
        <w:trPr>
          <w:trHeight w:val="26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unvested and outstanding at June 30, 2024</w:t>
            </w:r>
          </w:p>
        </w:tc>
        <w:tc>
          <w:tcPr>
            <w:tcW w:w="3660" w:type="dxa"/>
            <w:vAlign w:val="bottom"/>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660" w:type="dxa"/>
            <w:vAlign w:val="bottom"/>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7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has an Employee Stock Purchase Plan that was initially approved by stockholders in 2012 and was amended and approved by the Board of Directors of the Company on September 23, 2021 and the stockholders on June 2, 2022 (the "Amended and Restated 2012 Purchase Plan"), under which 4.0 million shares of common stock were authorized for issuance under the Amended and Restated 2012 Purchase Plan. Shares are issued under the Amended and Restated 2012 Purchase Plan twice yearly at the end of each offering period and the number of shares that may be purchased by any participant during an offering period is limited to 5,000 shares. The first offering period of 2024 started on December 1, 2023 and ended on May 31, 2024. The second offering period of 2024 began on June 1, 2024 and will end on November 30, 2024. As of June 30, 2024, 1.1 million shares of common stock were available for issuance under the Amended and Restated 2012 Purchase Plan. Shares purchased under, and compensation expense associated with, the Amended and Restated 2012 Purchase Plan for the six months ended June 30, 2024 and 2023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gridSpan w:val="4"/>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5"/>
                <w:szCs w:val="15"/>
                <w:color w:val="auto"/>
              </w:rPr>
            </w:pPr>
          </w:p>
        </w:tc>
      </w:tr>
      <w:tr>
        <w:trPr>
          <w:trHeight w:val="190"/>
        </w:trPr>
        <w:tc>
          <w:tcPr>
            <w:tcW w:w="5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20" w:type="dxa"/>
            <w:vAlign w:val="bottom"/>
            <w:gridSpan w:val="4"/>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6"/>
                <w:szCs w:val="16"/>
                <w:color w:val="auto"/>
              </w:rPr>
            </w:pPr>
          </w:p>
        </w:tc>
      </w:tr>
      <w:tr>
        <w:trPr>
          <w:trHeight w:val="37"/>
        </w:trPr>
        <w:tc>
          <w:tcPr>
            <w:tcW w:w="54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0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4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 under the plan</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compensation expense</w:t>
            </w: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and included in the Condensed Consolidated Statements of Operations and Comprehensive Loss was allocated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400" w:type="dxa"/>
            <w:vAlign w:val="bottom"/>
            <w:gridSpan w:val="5"/>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55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testing revenue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8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304"/>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there was $92.6 million of total unrecognized stock-based compensation expense related to RSUs that is expected to be recognized over a weighted-average period of 2.3 years. The Company recognizes forfeitures as they occur. In the event that a PSU is determined to be improbable of vesting, the Company records an adjustment to reverse all previously recognized expense associated with the equity award in the current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determine the Company’s quarterly provision for income taxes, the Company used an estimated annual effective tax rate that is based on expected annual income and statutory tax rates in the various jurisdictions in which the Company operates. Certain significant or unusual items are separately recognized in the quarter during which they occur and can be a source of variability in the effective tax rate from quarter to quarter.</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June 30, 2024, there was $0.5 million in income tax benefit, or approximately 1.3% of pre-tax loss, compared to no income tax expense (benefit) in the prior period, or approximately 0.0% of pre-tax loss, for the three months ended June 30, 2023. Income tax benefit for the six months ended June 30, 2024 was $0.4 million, or approximately 0.6% of pre-tax loss, compared to an income tax expense of $2.1 million, or approximately 1.2% of pre-tax loss, for the six months ended June 30, 2023. For the three and six months ended June 30, 2024 and 2023, the Company’s effective tax rate differs from the U.S. federal statutory rate primarily due to the recognition of valuation allowances and uncertain tax positions. Due to the Company's cumulative loss and the exhaustion of future taxable income from the reversal of taxable temporary differences, the Company's estimated annual effective tax rate for the current year includes a valuation allowance against the majority of the current year increase in deferred tax assets.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involved from time to time in various disputes, claims and legal actions, including class actions and other litigation, including the matters described below, arising in the ordinary course of business. Such actions may include allegations of negligence, product or professional liability or other legal claims, and could involve claims for substantial compensatory and punitive damages or claims for indeterminate amounts of damages. The Company is also involved, from time to time, in investigations by governmental agencies regarding its business which may result in adverse judgments, settlements, fines, penalties, injunctions or other relief. In addition, certain federal and state statutes, including the qui tam provisions of the federal False Claims Act, allow private individuals to bring lawsuits against healthcare companies on behalf of the government or private payors. The Company has received subpoenas from time to time related to billing or other practices based on the False Claims Act or other federal and state statutes, regulations or other laws.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defend its current litigation matters, but cannot provide any assurance as to the ultimate outcome or that an adverse resolution would not have a material adverse effect on its financial condition, results of operations or cash flows.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legal contingencies to determine the degree of probability and range of possible loss for potential accrual in its financial statements. When evaluating legal contingencies, the Company may be unable to provide a meaningful estimate due to a number of factors, including the proceedings may be in early stages, there may be uncertainty as to the outcome of pending appeals or motions, there may be significant factual issues to be resolved, and there may be complex or novel legal theories to be presented. In addition, damages may not be specified or the damage amounts claimed may be unsupported, exaggerated or unrelated to possible outcomes, and therefore, such amounts are not a reliable indicator of potential liability.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June 30, 2024, except as noted below, the Company has not recorded any material accrual for loss contingencies associated with legal proceedings or other matters or determined that an unfavorable outcome is probable and reasonably estimable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However, it is possible that the ultimate resolution of legal proceedings or other matters, if unfavorable, may be material to the Company's results of operations, financial condition or cash flows. Further, in the event that damages from an unfavorable resolution of one or more of these proceedings exceed the aggregate amount of the coverage limits of the Company’s insurance, or if the Company’s insurance carriers disclaim coverage, the amounts payable by the Company could also have a material adverse impact on the Company’s results of operations, financial condition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Derivative Actions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9, 2021, a stockholder derivative complaint was filed in the Delaware Court of Chancery against the Company's former President and Chief Executive Officer, Mark C. Capone, its former Chief Financial Officer, R. Bryan Riggsbee, its former Executive Vice President of Clinical Development, Bryan M. Dechairo, and certain of the Company's current and former directors, Lawrence C. Best, Walter Gilbert, John T. Henderson, Heiner Dreismann, Dennis Langer, Lee N. Newcomer, S. Louise Phanstiel, and Colleen F. Reitan (collectively, the "Individual Defendants"), and the Company, as nominal defendant. The complaint is premised upon similar allegations that were set forth in the securities class action lawsuit that was settled and then dismissed by the U.S. District Court for the District of Utah in December 2023 (the "Securities Class Action"), including that the Individual Defendants made false and misleading statements regarding the Company's business and operations. The plaintiff, Donna Hickock, asserts breach of fiduciary duty and unjust enrichment claims against the Individual Defendants and seeks, on behalf of the Company, damages allegedly sustained by the Company as a result of the alleged breaches, or disgorgement or restitution, from each of the Individual Defendants, plus interest. Plaintiff Hickock also seeks legal and other costs and fees relating to this action. On November 19, 2021, this action was stayed by the Delaware Court of Chancery pending the resolution of the Securities Class Action.</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18, 2022, a stockholder derivative complaint was filed in the Delaware Court of Chancery against the Individual Defendants, and the Company, as nominal defendant. The action is premised upon similar allegations as set forth in the Securities Class Action and the Hickock stockholder derivative action. The plaintiff, Esther Kogus, asserts that the Individual Defendants breached their fiduciary duties and also asserts unjust enrichment and aiding and abetting breaches of fiduciary duty claims against the Individual Defendants. Plaintiff Kogus seeks, on behalf of the Company, damages allegedly sustained by the Company as a result of the alleged breaches and claims, and restitution from the Individual Defendants. On behalf of herself, plaintiff Kogus seeks legal and other costs and fees relating to this action.</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 2022, the Delaware Court of Chancery consolidated the Hickock and Kogus derivative actions and stayed the consolidated action. On April 19, 2024, the Court of Chancery ordered that Leo Shumacher be substituted for Ms. Kogus as a plaintiff in this consolidated action.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17, 2021, a stockholder derivative complaint was filed in the U.S. District Court in the District of Delaware against the Individual Defendants, and the Company, as nominal defendant. The action is premised upon similar allegations as set forth in the Securities Class Action and Hickock stockholder derivative action. The plaintiff, Karen Marcey, asserts that the Individual Defendants violated U.S. securities laws and breached their fiduciary duties, and also asserts unjust enrichment, waste of corporate assets and insider trading claims against all or some of the Individual Defendants. Plaintiff Marcey seeks, on behalf of the Company, damages allegedly sustained by the Company as a result of the alleged violations and restitution from the Individual Defendants, plus interest and, on behalf of herself, legal and other costs and fees relating to this action. On January 4, 2022, this action was stayed by the U.S. District Court for the District of Delaware pending the resolution of the Securities Class Action.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30, 2024, the parties across all of the foregoing stockholder derivative actions entered into a global stipulation of settlement to resolve the actions (the "Settlement"). On May 3, 2024, the parties submitted the Settlement to the Delaware Court of Chancery for approval. As part of the Settlement, (i) the Company agreed to adopt or implement certain corporate governance reforms; and (ii) the parties agreed that plaintiffs' counsel will apply to the court for an award of attorneys' fees and expenses not to exceed $0.95 million to be paid by the Company, and that the Individual Defendants and the Company will not oppose or object to the requested fee award. The Settlement contains no admission of liability, wrongdoing or responsibility by any of the parties.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6, 2024, the Delaware Court of Chancery held a hearing to consider the Settlement. The parties expect a ruling shortly.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accrued $0.95 million for the settlement of the stockholder derivative actions, which is included in Accrued liabilities in the Company’s Condensed Consolidated Balance Sheet as of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receives recoupment requests from third-party payors for alleged overpayments. The Company disagrees with the contentions of the pending requests or has recorded an estimated reserve for the alleged overpayments.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SUPPLEMENTAL CASH FLOW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supplemental cash flow information for the six months ended June 30, 2024 and 2023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3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3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7"/>
              </w:rPr>
              <w:t>1.3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spacing w:after="0"/>
              <w:rPr>
                <w:sz w:val="21"/>
                <w:szCs w:val="21"/>
                <w:color w:val="auto"/>
              </w:rPr>
            </w:pPr>
          </w:p>
        </w:tc>
        <w:tc>
          <w:tcPr>
            <w:tcW w:w="100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7"/>
              </w:rPr>
              <w:t>0.7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operating lease right-of-use assets and lease liabilities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0"/>
        </w:trPr>
        <w:tc>
          <w:tcPr>
            <w:tcW w:w="8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3"/>
                <w:szCs w:val="23"/>
                <w:color w:val="auto"/>
              </w:rPr>
            </w:pPr>
          </w:p>
        </w:tc>
        <w:tc>
          <w:tcPr>
            <w:tcW w:w="100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5"/>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 and capitalization of internal-use software in accounts payable and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7"/>
              </w:rPr>
              <w:t>1.7</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8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Condensed Consolidated Balance Sheets that agrees to the amounts included in the Condensed Consolidated Statements of Cash Flows.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500" w:type="dxa"/>
            <w:vAlign w:val="bottom"/>
            <w:tcBorders>
              <w:bottom w:val="single" w:sz="8" w:color="CCEEFF"/>
            </w:tcBorders>
            <w:vMerge w:val="continue"/>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8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257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50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certain office spaces and research and development laboratory facilities, vehicles, and office equipment with remaining lease terms ranging from approximately one to fifteen years. Operating leases are included in Operating lease right-of-use assets, Noncurrent operating lease liabilities, and Current maturities of operating lease liabilities in the Condensed Consolidated Balance Sheets. Finance leases are included in Other assets, Accrued liabilities, and Other long-term liabilities in the Condensed Consolidated Balance Sheets.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the increase in remote and hybrid work and the Company's need to ensure its facilities are designed to handle future growth, the Company has been executing on a multi-year strategy to reset its real estate footprint. As part of that strategy, during the three months ended June 30, 2023, the Company took full possession of the remaining phases of the west Salt Lake City, Utah facility and recognized an additional $5.9 million right-of-use asset and corresponding lease liability, net of tenant improvement allowance not yet received. Also during the three months ended June 30, 2023, the Company decided to cease the use of its corporate headquarters in Salt Lake City and transition corporate support operations to its new facility in west Salt Lake City, and as of December 31, 2023, the Company had formally assigned the lease for its previous corporate headquarters in Salt Lake City to a third party.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terminated the lease for one of its Salt Lake City, Utah facilities. As a result of the termination, the short-term lease liability of $3.1 million associated with the lease was removed from the Company's Condensed Consolidated Balance Sheets. The total net gain recognized associated with the termination of the lease was $1.2 million, which is included in Selling, general, and administrative expense in the Condensed Consolidated Statements of Operations.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amended the lease for its west Salt Lake City, Utah headquarters to include approximately 63,000 additional square feet in anticipation of future operating needs. The lease has a term of 12 years, which is expected to commence in fiscal year 2026. Total future rent payments for the additional space are approximately $18.2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except as noted above, the Company expects to continue to occupy its existing facilities until the expiration of the leases.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LOSS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international subsidiaries is the local currency. For those subsidiaries, expenses denominated in the functional currency are translated into U.S. dollars using average exchange rates in effect during the period and assets and liabilities are translated using period-end exchange rates. The foreign currency translation adjustments are included in Accumulated other comprehensive loss as a separate component of Stockholders’ equity.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cumulative translation adjustments included in Accumulated other comprehensive loss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December 31, 2023</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translation adjustments</w:t>
            </w:r>
          </w:p>
        </w:tc>
        <w:tc>
          <w:tcPr>
            <w:tcW w:w="740" w:type="dxa"/>
            <w:vAlign w:val="bottom"/>
          </w:tcPr>
          <w:p>
            <w:pPr>
              <w:spacing w:after="0"/>
              <w:rPr>
                <w:sz w:val="19"/>
                <w:szCs w:val="19"/>
                <w:color w:val="auto"/>
              </w:rPr>
            </w:pPr>
          </w:p>
        </w:tc>
        <w:tc>
          <w:tcPr>
            <w:tcW w:w="10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cumulative translation adjustment to income upon liquidation of an investment in a foreign entity</w:t>
            </w:r>
          </w:p>
        </w:tc>
        <w:tc>
          <w:tcPr>
            <w:tcW w:w="7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0.7</w:t>
            </w: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June 30, 2024</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ACQUISITION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 2024, the Company acquired from Intermountain Health select assets from its Intermountain Precision Genomics ("IPG") laboratory business, including the Precise Tumor Test, the Precise Liquid Test, and IPG's CLIA-certified laboratory in St. George, Utah for an immaterial amount (the "Precise acquisition"). In connection with the Precise acquisition, the Company recognized a gain of $2.2 million, which is included in Other income in the Company's Condensed Consolidated Statements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ASSETS AND LIABILITIES HELD FOR SALE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7, 2024, the Company signed a definitive agreement to sell its EndoPredict business to Eurobio Scientific ("Eurobio") for $10.0 million, subject to customary closing adjustments, plus contingent consideration subject to certain earn-out conditions. As part of the transaction, the Company will license the rights to continue to produce and sell EndoPredict as a laboratory developed test outside of the European Union and will license to Eurobio the right to sell Prolaris in vitro diagnostic kits outside the U.S. The sale of the EndoPredict business closed on August 1, 2024.</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measured the Endopredict business at the lower of its carrying value less costs to sell and recognized an impairment on held for sale assets of $10.2 million during the quarter ended June 30, 2024. The impairment expense is recorded in Goodwill and long-lived asset impairment charges in the Condensed Consolidated Statements of Operations.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results of the EndoPredict business do not qualify for reporting as discontinued operations. The operations of the EndoPredict business are included in the Company's testing revenue. The following table presents information related to the assets and liabilities classified as held for sale at June 30,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5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5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0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5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5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5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6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55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55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shd w:val="clear" w:color="auto" w:fill="CCEEFF"/>
          </w:tcPr>
          <w:p>
            <w:pPr>
              <w:spacing w:after="0"/>
              <w:rPr>
                <w:sz w:val="20"/>
                <w:szCs w:val="20"/>
                <w:color w:val="auto"/>
              </w:rPr>
            </w:pPr>
          </w:p>
        </w:tc>
        <w:tc>
          <w:tcPr>
            <w:tcW w:w="55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5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558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shd w:val="clear" w:color="auto" w:fill="CCEEFF"/>
          </w:tcPr>
          <w:p>
            <w:pPr>
              <w:spacing w:after="0"/>
              <w:rPr>
                <w:sz w:val="23"/>
                <w:szCs w:val="23"/>
                <w:color w:val="auto"/>
              </w:rPr>
            </w:pPr>
          </w:p>
        </w:tc>
        <w:tc>
          <w:tcPr>
            <w:tcW w:w="55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assets held for sale</w:t>
            </w:r>
          </w:p>
        </w:tc>
        <w:tc>
          <w:tcPr>
            <w:tcW w:w="6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580" w:type="dxa"/>
            <w:vAlign w:val="bottom"/>
            <w:vMerge w:val="restart"/>
          </w:tcPr>
          <w:p>
            <w:pPr>
              <w:jc w:val="right"/>
              <w:ind w:right="357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80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55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and shares in millions, except per share data</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should be read in conjunction with the unaudited Condensed Consolidated Financial Statements and the related notes thereto included in this Quarterly Report on Form 10-Q and the audited Consolidated Financial Statements and notes thereto and Management’s Discussion and Analysis of Financial Condition and Results of Operations for the year ended December 31, 2023 included in our Annual Report on Form 10-K filed with the SEC on February 28, 2024.</w:t>
      </w:r>
    </w:p>
    <w:p>
      <w:pPr>
        <w:spacing w:after="0" w:line="31"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“We,” “us,” “our,” “Myriad” and the “Company” as used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refer to Myriad Genetics, Inc., a Delaware corporation, and its subsidiaries.</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Myriad, the Myriad logo, BRACAnalysis, BRACAnalysis CDx, Colaris, ColarisAP,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GeneSight, and EndoPredict are registered trademarks or trademarks of Myriad. Solely for convenience, trademarks, trade names and service marks referred to in this Quarterly Report on Form 10-Q may appear without the ®, ™ or SM symbols, but such references are not intended to indicate, in any way, that we will not assert, to the fullest extent under applicable law, our rights or the right of the applicable licensor to these trademarks, trade names and service marks.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ind w:right="20"/>
        <w:spacing w:after="0" w:line="222" w:lineRule="exact"/>
        <w:rPr>
          <w:sz w:val="20"/>
          <w:szCs w:val="20"/>
          <w:color w:val="auto"/>
        </w:rPr>
      </w:pPr>
      <w:r>
        <w:rPr>
          <w:rFonts w:ascii="Times New Roman" w:cs="Times New Roman" w:eastAsia="Times New Roman" w:hAnsi="Times New Roman"/>
          <w:sz w:val="18"/>
          <w:szCs w:val="18"/>
          <w:color w:val="auto"/>
        </w:rPr>
        <w:t>The SEC encourages companies to disclose forward-looking information so that investors can better understand a company’s future prospects and make informed investment decisions.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such “forward-looking statements” within the meaning of the Private Securities Litigation Reform Act of 1995.</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Words such as “may,” “anticipate,” “estimate,” “expects,” “projects,” “intends,” “plans,” “believes,” “seek,” “could,” “continue,” “likely,” “will,” “strategy” and “goal” and words and terms of similar substance used in connection with any discussion of future operating or financial performance identify forward-looking statements. All forward-looking statements are management’s present expectations of future events and are subject to a number of known and unknown risks and uncertainties that could cause actual results, conditions, and events to differ materially and adversely from those anticipated. These risks include, but are not limited to:</w:t>
      </w:r>
    </w:p>
    <w:p>
      <w:pPr>
        <w:spacing w:after="0" w:line="21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sales and profit margins of our existing tests may decline;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operate our business on a profitable basis;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achieve certain revenue growth targets and generate sufficient revenue from our existing product portfolio or in launching and commercializing new tests to be profitable;</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governmental or private insurers’ coverage and reimbursement levels for our tests or our ability to obtain reimbursement for our new tests at comparable levels to our existing tests;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increased competition and the development of new competing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develop or achieve commercial success for additional tests in a timely manner,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successfully develop new markets or channels for our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licenses to the technology underlying our tests and any future tests are terminated or cannot be maintained on satisfactory terms;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delays or other problems with operating our laboratory testing facilities and the transition of such facilities to our new laboratory testing facilities;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public concern over genetic testing in general or our tests in particular;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regulatory requirements or enforcement in the United States and foreign countries and changes in the structure of the healthcare system or healthcare payment systems;</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obtain new corporate collaborations or licenses and acquire or develop new technologies or businesses on satisfactory terms, if at all;</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successfully integrate and derive benefits from any technologies or businesses that we license, acquire, or develop;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are not able to secure additional financing to fund our business, if needed, in a timely manner or on favorable terms, if it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projections or estimates about the potential market opportunity for our current and future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or our licensors may be unable to protect or that third parties will infringe the proprietary technologies underlying our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patent-infringement claims or challenges to the validity of our patents;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intellectual property laws covering our tests, or patents or enforcement, in the United States and foreign countries;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security breaches, loss of data and other disruptions, including from cyberattacks;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new, changing and competitive technologies in the United States and internationally, and that we may not be able to keep pace with the rapid technology changes in our industry, or properly leverage new technologies to achieve or sustain competitive advantages in our products;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comply with financial or operating covenants under our credit or lending agreements;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maintain effective disclosure controls and procedures and internal control over financial reporting;</w:t>
      </w:r>
    </w:p>
    <w:p>
      <w:pPr>
        <w:ind w:left="660" w:hanging="328"/>
        <w:spacing w:after="0" w:line="24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current and future investigations, claims or lawsuits, including derivative claims, product or professional liability claims, and risks related to the amount of our insurance coverage limits and scope of insurance coverage with respect thereto;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the heading "Risk Factors" contained in Item 1A of our Annual Report on Form 10-K filed with the SEC on February 28, 2024, our Quarterly Report on Form 10-Q filed with the SEC on May 8, 2024, and this Quarterly Report on Form 10-Q.</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Quarterly Report on Form 10-Q, or in any document incorporated by reference might not occur. Stockholders are cautioned not to place undue reliance on the forward-looking statements, which speak only as of the date of this Quarterly Report on Form 10-Q. We are not under any obligation, and we expressly disclaim any obligation, to update or alter any forward-looking statements, whether as a result of new information, future events or otherwise except as required by law. All forward-looking statements in this Quarterly Report on Form 10-Q attributable to us or to any person acting on our behalf are expressly qualified in their entirety by the cautionary statements contained or referred to in this section.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leading genetic testing and precision medicine company dedicated to advancing health and well-being for all. We develop and offer tests that help assess the risk of developing disease or disease progression and guide treatment decisions across medical specialties where genetic insights can significantly improve patient care and lower health care costs. Our genetic tests provide insights that help people take control of their health and enable healthcare providers to better detect, treat, and prevent disease.</w:t>
      </w:r>
    </w:p>
    <w:p>
      <w:pPr>
        <w:spacing w:after="0" w:line="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Personalized genetic data and digital and virtual consumer trends are converging to change traditional models of care. We believe significant growth opportunities exist to help patient populations with pressing health care needs through innovative genetic and precision medicine solutions and services. Our focus is on innovation and growth in three key areas where we have specialized products, capabilities, and expertise: Oncology, Women's Health, and Pharmacogenomics. The pillars of our long-term growth strategy are founded on investments in science and innovation, technology-enabled operations, an elevated customer experience, strong commercial execution, and scalable operations. We believe our path to continued growth is driven by articulating our clinical differentiation, raising awareness with patients who we believe would benefit from our testing products, and innovation that improves clinical outcomes, ease of use, and access. By investing in technology-enabled commercial tools, new laboratory facilities, advanced automation, and standardized processes and technology, we believe we will be able to reduce complexity and cost while enhancing our ability to scale and grow. In June 2024, we launched the Universal Plus Panel to our Foresight</w:t>
      </w:r>
      <w:r>
        <w:rPr>
          <w:rFonts w:ascii="Arial" w:cs="Arial" w:eastAsia="Arial" w:hAnsi="Arial"/>
          <w:sz w:val="25"/>
          <w:szCs w:val="25"/>
          <w:b w:val="1"/>
          <w:bCs w:val="1"/>
          <w:color w:val="58595B"/>
          <w:vertAlign w:val="superscript"/>
        </w:rPr>
        <w:t>®</w:t>
      </w:r>
      <w:r>
        <w:rPr>
          <w:rFonts w:ascii="Times New Roman" w:cs="Times New Roman" w:eastAsia="Times New Roman" w:hAnsi="Times New Roman"/>
          <w:sz w:val="18"/>
          <w:szCs w:val="18"/>
          <w:color w:val="auto"/>
        </w:rPr>
        <w:t xml:space="preserve"> Carrier Screen (the "Foresight Universal Plus Test") which is an expanded carrier screening test. We also plan to launch new products, such as FirstGene, Precise Liquid, and Precise minimal residual disease, which we expect will help accelerate our growth. We intend to develop and enhance our products and services to support growth, improve patient and provider experience, and reach more patients of all backgrounds. We are committed to disciplined management of a key set of initiatives to fulfill our mission and drive long-term growth and profitability.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recent significant business updates and financial highlights include the following:</w:t>
      </w:r>
    </w:p>
    <w:p>
      <w:pPr>
        <w:spacing w:after="0" w:line="171" w:lineRule="exact"/>
        <w:rPr>
          <w:sz w:val="20"/>
          <w:szCs w:val="20"/>
          <w:color w:val="auto"/>
        </w:rPr>
      </w:pPr>
    </w:p>
    <w:p>
      <w:pPr>
        <w:jc w:val="both"/>
        <w:ind w:left="660" w:right="20" w:hanging="328"/>
        <w:spacing w:after="0" w:line="258"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Second quarter 2024 testing volumes grew 9% year-over-year, driven by 12% growth year-over-year in Prenatal test volumes, 10% growth year-over-year in Pharmagenomics test volumes, and 3% growth year-over-year in Hereditary Cancer test volumes, partially offset by a 13% decrease year-over-year in Tumor Profiling test volumes.</w:t>
      </w:r>
    </w:p>
    <w:p>
      <w:pPr>
        <w:spacing w:after="0" w:line="115"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15% year-over-year for the quarter ended June 30, 2024.</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announced entering into an agreement with Personalis, Inc. to cross-license patent estates covering tumor-informed approaches to detect minimal residual disease (MRD).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the Great Place to Work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Certification for 2024.</w:t>
      </w:r>
    </w:p>
    <w:p>
      <w:pPr>
        <w:spacing w:after="0" w:line="1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In June 2024, we announced the launch of our Foresight Universal Plus Test.</w:t>
      </w:r>
    </w:p>
    <w:p>
      <w:pPr>
        <w:spacing w:after="0" w:line="157" w:lineRule="exact"/>
        <w:rPr>
          <w:rFonts w:ascii="Arial" w:cs="Arial" w:eastAsia="Arial" w:hAnsi="Arial"/>
          <w:sz w:val="22"/>
          <w:szCs w:val="22"/>
          <w:color w:val="auto"/>
        </w:rPr>
      </w:pPr>
    </w:p>
    <w:p>
      <w:pPr>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we announced a collaboration with QIAGEN N.V. to develop distributable homologous recombination deficiency test for global research and companion diagnostics.</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Shield of California, a major commercial and managed Medicaid plan, added GeneSight to its medical policy, effective July 2024. In addition, a managed Medicaid plan in the Southeast indicated that it plans to incorporate GeneSight into its coverage.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June 30,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for the three months ended June 30, 2024 and 2023 are discussed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year-over-year revenue changes in our core product categories: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2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0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Testing revenues:</w:t>
            </w: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Prenatal</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183.5</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4"/>
                <w:szCs w:val="24"/>
                <w:color w:val="auto"/>
              </w:rPr>
            </w:pP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testing volume changes in our core product categories: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94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580" w:type="dxa"/>
            <w:vAlign w:val="bottom"/>
            <w:vMerge w:val="continue"/>
          </w:tcPr>
          <w:p>
            <w:pPr>
              <w:spacing w:after="0"/>
              <w:rPr>
                <w:sz w:val="18"/>
                <w:szCs w:val="18"/>
                <w:color w:val="auto"/>
              </w:rPr>
            </w:pPr>
          </w:p>
        </w:tc>
        <w:tc>
          <w:tcPr>
            <w:tcW w:w="45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volumes:</w:t>
            </w:r>
          </w:p>
        </w:tc>
        <w:tc>
          <w:tcPr>
            <w:tcW w:w="3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4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Prenatal</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3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5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2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850"/>
        </w:trPr>
        <w:tc>
          <w:tcPr>
            <w:tcW w:w="3580" w:type="dxa"/>
            <w:vAlign w:val="bottom"/>
          </w:tcPr>
          <w:p>
            <w:pPr>
              <w:spacing w:after="0"/>
              <w:rPr>
                <w:sz w:val="24"/>
                <w:szCs w:val="24"/>
                <w:color w:val="auto"/>
              </w:rPr>
            </w:pPr>
          </w:p>
        </w:tc>
        <w:tc>
          <w:tcPr>
            <w:tcW w:w="322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27</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Test revenues increased $28.0 million for the three months ended June 30, 2024 compared to the same period in the prior year primarily due to an increase in the average revenue per test across the majority of our products, due in part to changes in contracted price and operational improvements, as well as an increase in test volumes. Hereditary Cancer revenues increased $14.8 million for the three months ended June 30, 2024 compared to the same period in the prior year due to a 16% increase in average revenue per test and a 3% increase in testing volume. Prenatal revenues increased $8.8 million for the three months ended June 30, 2024 compared to the same period in the prior year due to an 11% increase in average revenue per test and a 12% increase in testing volume. Pharmacogenomics revenues increased $7.8 million for the three months ended June 30, 2024 compared to the same period in the prior year due to an 11% increase in the average revenue per test and due to a 10% increase in testing volume. Tumor Profiling revenues decreased $3.4 million for the three months ended June 30, 2024 compared to the same period in the prior year due primarily to a decrease in volume for MyChoice CDx, which was largely driven by MyChoice CDx studies in the prior year.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580" w:type="dxa"/>
            <w:vAlign w:val="bottom"/>
            <w:gridSpan w:val="5"/>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6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testing revenue</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testing revenue as a % of total revenue</w:t>
            </w:r>
          </w:p>
        </w:tc>
        <w:tc>
          <w:tcPr>
            <w:tcW w:w="92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30.4 %</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31.5 %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testing revenue for the three months ended June 30, 2024 increased $6.6 million compared to the same period in the prior year primarily due to an increase in volumes in Pharmacogenomics, Hereditary Cancer, and Prenatal tests.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2560" w:type="dxa"/>
            <w:vAlign w:val="bottom"/>
            <w:gridSpan w:val="5"/>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8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80" w:type="dxa"/>
            <w:vAlign w:val="bottom"/>
            <w:tcBorders>
              <w:bottom w:val="single" w:sz="8" w:color="CFF0FC"/>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 as a % of total revenue</w:t>
            </w:r>
          </w:p>
        </w:tc>
        <w:tc>
          <w:tcPr>
            <w:tcW w:w="90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12.8 %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11.6 %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June 30, 2024 increased by $5.9 million compared to the same period in the prior year primarily due to a $3.5 million increase in compensation expense. Compensation expense increased in part due to an estimated higher attainment of short-term incentive pay for the current period compared to the prior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 as a % of total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increased by $4.2 million for the three months ended June 30, 2024 compared to the same period in the prior year primarily due to a $2.6 million increase in compensation costs. Compensation expense increased in part due to an estimated higher attainment of short-term incentive pay and stock-based compensation expense for the current period compared to the prior period, partially offset by a decrease in commissions and other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settlements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2560" w:type="dxa"/>
            <w:vAlign w:val="bottom"/>
            <w:gridSpan w:val="5"/>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80" w:type="dxa"/>
            <w:vAlign w:val="bottom"/>
            <w:vMerge w:val="continue"/>
          </w:tcPr>
          <w:p>
            <w:pPr>
              <w:spacing w:after="0"/>
              <w:rPr>
                <w:sz w:val="16"/>
                <w:szCs w:val="16"/>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80" w:type="dxa"/>
            <w:vAlign w:val="bottom"/>
            <w:tcBorders>
              <w:bottom w:val="single" w:sz="8" w:color="CFF0FC"/>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settlements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righ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 as a % of total revenue</w:t>
            </w:r>
          </w:p>
        </w:tc>
        <w:tc>
          <w:tcPr>
            <w:tcW w:w="960" w:type="dxa"/>
            <w:vAlign w:val="bottom"/>
          </w:tcPr>
          <w:p>
            <w:pPr>
              <w:spacing w:after="0"/>
              <w:rPr>
                <w:sz w:val="21"/>
                <w:szCs w:val="21"/>
                <w:color w:val="auto"/>
              </w:rPr>
            </w:pPr>
          </w:p>
        </w:tc>
        <w:tc>
          <w:tcPr>
            <w:tcW w:w="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42.2 %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legal settlements in the three months ended June 30, 2024. The three months ended June 30, 2023 included $77.5 million of accruals related to the securities class action settlement.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Long-lived Asset Impairment Charges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2640" w:type="dxa"/>
            <w:vAlign w:val="bottom"/>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68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80" w:type="dxa"/>
            <w:vAlign w:val="bottom"/>
            <w:tcBorders>
              <w:top w:val="single" w:sz="8" w:color="CFF0FC"/>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00" w:type="dxa"/>
            <w:vAlign w:val="bottom"/>
            <w:tcBorders>
              <w:top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long-lived asset impairment charges as a % of total revenue</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three months ended June 30, 2024 included $10.2 million of impairment expense as the result of the definitive agreement entered into by us in May 2024 to sell the EndoPredict business to Eurobio Scientific. There were no corresponding impairment charges in the prior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8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6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6860" w:type="dxa"/>
            <w:vAlign w:val="bottom"/>
            <w:shd w:val="clear" w:color="auto" w:fill="CFF0FC"/>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decreased for the three months ended June 30, 2024 as compared to the same period in the prior year due primarily to the prior period loss on the sale of investments.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660" w:type="dxa"/>
            <w:vAlign w:val="bottom"/>
            <w:gridSpan w:val="5"/>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6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60" w:type="dxa"/>
            <w:vAlign w:val="bottom"/>
            <w:tcBorders>
              <w:bottom w:val="single" w:sz="8" w:color="CFF0FC"/>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tax rate is the product of a U.S. federal effective rate of 21.0% and a blended state income tax rate of approximately 3.3%. Certain significant or unusual items are separately recognized during the period in which they occur and can be a source of variability in the effective tax rates from period to period.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there was $0.5 million income tax benefit and our effective tax rate was 1.3%. For the three months ended June 30, 2023, there was no income tax expense or benefit and our effective tax rate was 0%. For the three months ended June 30, 2024 and 2023, our effective tax rate differs from the U.S. federal statutory rate primarily due to the recognition of valuation allowances and uncertain tax positions. Due to our cumulative loss and the exhaustion of future taxable income from the reversal of taxable temporary differences, our estimated annual effective tax rate for the current year includes a valuation allowance against the majority of the current year increase in deferred tax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for the six months ended June 30, 2024 and 2023 are discussed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year-over-year revenue changes in our core product categories: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42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40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Testing revenues: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Borders>
              <w:right w:val="single" w:sz="8" w:color="auto"/>
            </w:tcBorders>
          </w:tcPr>
          <w:p>
            <w:pPr>
              <w:spacing w:after="0"/>
              <w:rPr>
                <w:sz w:val="21"/>
                <w:szCs w:val="21"/>
                <w:color w:val="auto"/>
              </w:rPr>
            </w:pPr>
          </w:p>
        </w:tc>
        <w:tc>
          <w:tcPr>
            <w:tcW w:w="4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27.2</w:t>
            </w:r>
          </w:p>
        </w:tc>
        <w:tc>
          <w:tcPr>
            <w:tcW w:w="1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(9.8)</w:t>
            </w:r>
          </w:p>
        </w:tc>
        <w:tc>
          <w:tcPr>
            <w:tcW w:w="14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Prenatal</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16.9</w:t>
            </w:r>
          </w:p>
        </w:tc>
        <w:tc>
          <w:tcPr>
            <w:tcW w:w="1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14.7</w:t>
            </w:r>
          </w:p>
        </w:tc>
        <w:tc>
          <w:tcPr>
            <w:tcW w:w="14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49.0</w:t>
            </w:r>
          </w:p>
        </w:tc>
        <w:tc>
          <w:tcPr>
            <w:tcW w:w="1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858"/>
        </w:trPr>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testing volume changes in our core product categories: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25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800" w:type="dxa"/>
            <w:vAlign w:val="bottom"/>
            <w:vMerge w:val="continue"/>
          </w:tcPr>
          <w:p>
            <w:pPr>
              <w:spacing w:after="0"/>
              <w:rPr>
                <w:sz w:val="18"/>
                <w:szCs w:val="18"/>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68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volumes:</w:t>
            </w: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Prenatal</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Pharmacogenomics</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5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Test revenues increased $49.0 million for the six months ended June 30, 2024 compared to the same period in the prior year primarily due to an increase in the average revenue per test across the majority of our products, due in part to changes in contracted price and operational improvements, as well as an increase in test volumes. Hereditary Cancer revenues increased $27.2 million for the six months ended June 30, 2024 compared to the same period in the prior year due to an 11% increase in average revenue per test and a 6% increase in testing volume. Prenatal revenues increased $16.9 million for the six months ended June 30, 2024 compared to the same period in the prior year due to a 12% increase in average revenue per test and a 11% increase in testing volume. Pharmacogenomics revenues increased $14.7 million for the six months ended June 30, 2024 compared to the same period in the prior year due primarily to an 11% increase in testing volume and a 9% increase in the average revenue per test. Tumor Profiling revenues decreased $9.8 million for the six months ended June 30, 2024 compared to the same period in the prior year due primarily to a decrease in volume for MyChoice CDx, which was largely driven by MyChoice CDx studies in the prior year.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testing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testing revenue as a % of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testing revenue for the six months ended June 30, 2024 increased $11.9 million compared to the same period in the prior year primarily due to an increase in volumes in Pharmacogenomics, Hereditary Cancer, and Prenatal tests.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2560" w:type="dxa"/>
            <w:vAlign w:val="bottom"/>
            <w:gridSpan w:val="5"/>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8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80" w:type="dxa"/>
            <w:vAlign w:val="bottom"/>
            <w:tcBorders>
              <w:bottom w:val="single" w:sz="8" w:color="CFF0FC"/>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 as a % of total revenue</w:t>
            </w:r>
          </w:p>
        </w:tc>
        <w:tc>
          <w:tcPr>
            <w:tcW w:w="90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12.7 %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12.0 %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for the six months ended June 30, 2024 increased by $9.0 million compared to the same period in the prior year primarily due to a $6.0 million increase in compensation costs. Compensation expense increased in part due to estimated higher attainment of short-term incentive pay and an increase in the average cost per employee for the current period compared to the prior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 as a % of total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decreased $7.5 million for the six months ended June 30, 2024 compared to the same period in the prior year primarily due to decreases in expense associated with our real estate optimization strategy, including a decrease in rent expense of $2.2 million, a decrease in depreciation expense of $1.8 million due to the prior year including $5.7 million of accelerated depreciation in connection with our decision to cease use of our former corporate headquarters, and a $1.2 million gain in the current period associated with a lease termination. The current period also includes a $2.5 million decrease in sales and marketing expenses. These decreases were partially offset by a $2.1 million increase in compensation cost in the current period.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settlements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580" w:type="dxa"/>
            <w:vAlign w:val="bottom"/>
            <w:gridSpan w:val="5"/>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60" w:type="dxa"/>
            <w:vAlign w:val="bottom"/>
            <w:vMerge w:val="continue"/>
          </w:tcPr>
          <w:p>
            <w:pPr>
              <w:spacing w:after="0"/>
              <w:rPr>
                <w:sz w:val="16"/>
                <w:szCs w:val="16"/>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6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settlements</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righ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 as a % of total revenue</w:t>
            </w:r>
          </w:p>
        </w:tc>
        <w:tc>
          <w:tcPr>
            <w:tcW w:w="980" w:type="dxa"/>
            <w:vAlign w:val="bottom"/>
          </w:tcPr>
          <w:p>
            <w:pPr>
              <w:spacing w:after="0"/>
              <w:rPr>
                <w:sz w:val="21"/>
                <w:szCs w:val="21"/>
                <w:color w:val="auto"/>
              </w:rPr>
            </w:pPr>
          </w:p>
        </w:tc>
        <w:tc>
          <w:tcPr>
            <w:tcW w:w="6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21.3 %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legal settlements in the six months ended June 30, 2024. The six months ended June 30, 2023 included $77.5 million of accruals related to the securities class action settlement.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Long-lived Asset Impairment Charges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2640" w:type="dxa"/>
            <w:vAlign w:val="bottom"/>
            <w:gridSpan w:val="5"/>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68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80" w:type="dxa"/>
            <w:vAlign w:val="bottom"/>
            <w:tcBorders>
              <w:top w:val="single" w:sz="8" w:color="CFF0FC"/>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900" w:type="dxa"/>
            <w:vAlign w:val="bottom"/>
            <w:tcBorders>
              <w:top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long-lived asset impairment charges as a % of total revenue</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six months ended June 30, 2024 included $10.2 million of impairment expense as the result of the definitive agreement entered into by us in May 2024 to sell the EndoPredict business to Eurobio Scientific. There were no corresponding impairment charges in the prior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460" w:type="dxa"/>
            <w:vAlign w:val="bottom"/>
            <w:gridSpan w:val="5"/>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860" w:type="dxa"/>
            <w:vAlign w:val="bottom"/>
            <w:vMerge w:val="continue"/>
          </w:tcPr>
          <w:p>
            <w:pPr>
              <w:spacing w:after="0"/>
              <w:rPr>
                <w:sz w:val="16"/>
                <w:szCs w:val="16"/>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60" w:type="dxa"/>
            <w:vAlign w:val="bottom"/>
            <w:tcBorders>
              <w:bottom w:val="single" w:sz="8" w:color="CFF0FC"/>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6860" w:type="dxa"/>
            <w:vAlign w:val="bottom"/>
            <w:shd w:val="clear" w:color="auto" w:fill="CFF0FC"/>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increased for the six months ended June 30, 2024 compared to the same period in the prior year due primarily to the $2.2 million gain recognized on the February 2024 Precise acquisition in the current period, an additional $1.1 million loss due to foreign currency fluctuations in the current period and the prior period including an additional $1.4 million in expense from the sale of investments.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600" w:type="dxa"/>
            <w:vAlign w:val="bottom"/>
            <w:gridSpan w:val="5"/>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6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60" w:type="dxa"/>
            <w:vAlign w:val="bottom"/>
            <w:tcBorders>
              <w:bottom w:val="single" w:sz="8" w:color="CFF0FC"/>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rate is the product of a blended U.S. federal effective rate of 21.0% and a blended state income tax rate of approximately 3.3%. Certain significant or unusual items are separately recognized during the period in which they occur and can be a source of variability in the effective tax rates from period to period.</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Income tax benefit for the six months ended June 30, 2024 was $0.4 million and our effective tax rate was 0.6%. For the six months ended June 30, 2024 and 2023, our recognized effective tax rate differs from the U.S. federal statutory rate primarily due to valuation allowances and uncertain tax positions. Income tax expense for the six months ended June 30, 2023 was $2.1 million and our effective tax rate was (1.2)%.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our cash, cash equivalents and marketable investment securities, our expected cash flows from operations, and, in certain circumstances as discussed below, amounts available for borrowing under our asset-based revolving credit facility with JPMorgan Chase Bank, N.A., as administrative agent and issuing bank, and the other lender parties thereto (the "ABL Facility"). As of June 30, 2024, we had cash, cash equivalents and marketable investment securities of $97.3 million and availability under the ABL Facility was $41.5 million, subject to the minimum availability requirement under the ABL Facility. Our capital deployment strategy focuses on use of resources in the key areas of research and development, technology and acquisitions. We believe that investing organically through research and development and new product development or acquisitively to support our business strategy provides the best return on invested capital.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ABL Facility has a total maximum principal commitment of $115.0 million. The ABL Facility requires that we and our subsidiaries guaranteeing the indebtedness, on a consolidated basis, maintain minimum liquidity of $60.0 million and minimum availability of $25.0 million at all times before achieving a fixed charge coverage ratio of 1.0 to 1.0 and, thereafter, to maintain a fixed charge coverage ratio of 1.0 to 1.0 until achieving availability under the ABL Facility of greater of (a) $10.6 million and (b) 12.5% of the lesser of the maximum commitment amount and the borrowing base for a period of 30 consecutive days. As of June 30, 2024, we had $40.0 million outstanding under the ABL Facility and availability under the ABL Facility was $41.5 million, subject to the minimum availability requirement under the ABL Facility.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existing capital resources will be sufficient to meet our projected operating requirements for at least the next 12 months. Our available capital resources, however, may be consumed more rapidly than currently expected, or may be insufficient for our business needs for many reasons, including as a result of our operational cash needs, capital expenditures, and litigation related costs not covered by, or above the limits set forth in, our insurance. In addition, we are subject to covenants under our ABL Facility which could limit our ability to incur additional indebtedness or impact our ability to pursue other financing. If we do not generate sufficient cash from operations, if our capital resources are consumed more rapidly than expected, or if we no longer have access to additional funds under our ABL Facility and we are unable to secure additional funds on acceptable terms, or at all, we may be forced to delay, scale back or eliminate some of our sales and marketing efforts, research and development activities, or other operations; or delay development of our tests in an effort to provide sufficient funds to continue our operations. If any of these events occurs, our ability to achieve our development and commercialization goals could be adversely affected.</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purchase commitments or other agreements that may materially impact our liquidity position in future periods. In April 2024, we entered into an amendment of our lease in west Salt Lake City, Utah to include approximately 63,000 additional square feet. The lease has a term of 12 years, which is expected to commence in the second half of 2026. Total future rent payments for the additional space are approximately $18.2 million.</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the technical nature of our business and our focus on science, research, and development, we are highly dependent upon our ability to attract and retain highly qualified and experienced management, scientific, and technical personnel. Loss of the services of or failure to recruit additional key management, scientific, and technical personnel and other qualified personnel who are necessary to operate our business would adversely affect our business, and it may have a material adverse effect on our business as a whole. Additionally, disruptions to our supply chain could cause shortages of critical materials required to conduct our business, which may have a material adverse effect on our business as a whole. In addition, as discussed below, inflation has had, and may continue to have, an impact on the costs we incur to attract and retain qualified personnel, costs to generate sales and produce testing results, and costs of laboratory supplies.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balances of cash, cash equivalents and marketable investment securities as of the dates set forth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820" w:type="dxa"/>
            <w:vAlign w:val="bottom"/>
            <w:tcBorders>
              <w:bottom w:val="single" w:sz="8" w:color="CFF0FC"/>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4"/>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investment securities</w:t>
            </w: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68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investment securities</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cash, cash equivalents and marketable investment securities as of June 30, 2024 as compared to December 31, 2023 was primarily driven by $16.0 million in cash used by operations, $11.9 million in cash used for capital expenditures, $5.6 million in cash used for the capitalization of internal-use software, and $6.2 million in cash used for the payment of withholding tax for the issuance of common stock, net of proceeds from the issuance of common stock.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Condensed Consolidated Cash Flow Statement: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classified as held for sale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6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used less cash for operating activities for the six months ended June 30, 2024 compared to the same period in the prior year, primarily due to an improvement in core operations driven by a 13% increase in revenues and a 9% decrease in expenses as a percentage of revenue, excluding non-cash expenses for goodwill and long-lived asset impairment charges and accrued legal settlements. This increase in cash flows was partially offset by the receipt of $16.3 million in tenant improvement allowance reimbursements in the prior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cash flows used in investing activities for the six months ended June 30, 2024 compared to the same period in the prior year was primarily due to the $84.7 million decrease in cash flows from marketable investment securities, partially offset by a $30.4 million decrease in capital expenditures in connection with the build-out of new facilities in the prior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cash flows used in financing activities for the six months ended June 30, 2024 compared to the same period in the prior year was primarily due to proceeds of $40.0 million under the ABL Facility in the prior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Inflation has had, and may continue to have, an impact on the labor costs we incur to attract and retain qualified personnel, costs to generate sales and produce testing results, and costs of laboratory supplies. Inflationary costs have impacted our profitability and may continue to adversely affect our business, financial condition and results of operations. In addition, increased inflation has had, and may continue to have, an effect on interest rates. Increased interest rates may adversely affect our borrowing rate and our ability to obtain, or the terms under which we can obtain, additional funding.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Critical accounting estimates are those policies which are both important to the presentation of a company’s financial condition and results and require management’s most difficult, subjective or complex judgments, often as a result of the need to make estimates about the effect of matters that are inherently uncertain. For a further discussion of our critical accounting estimates, see our Annual Report on Form 10-K filed with the SEC on February 28, 2024. Other than the policy on held for sale assets and liabilities described in Note 1, “Basis of Presentation” in the Notes to Condensed Consolidated Financial Statements included herein, no significant changes to our accounting policies took place during the three months ended June 30, 2024.</w:t>
      </w:r>
    </w:p>
    <w:p>
      <w:pPr>
        <w:spacing w:after="0" w:line="28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and foreign currency exchange risks.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primarily through borrowings under our ABL Facility. Our ABL Facility has a variable interest rate based on the Prime Rate, the NYFRB Rate, or the Secured Overnight Financing Rate ("SOFR"). An incremental change in the borrowing rate of 100 basis points would increase or decrease our annual interest expense by $0.4 million based on our $40.0 million debt outstanding on our ABL Facility as of June 30,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been and may continue to be exposed to fluctuations in foreign currencies with regard to certain agreements with service providers. While our expenses are predominantly denominated in U.S. dollars, approximately 8% of our revenues for the six months ended June 30, 2024 are denominated in other currencies, primarily in Japanese yen. A hypothetical 10% change in the value of the Japanese yen relative to the U.S. dollar would result in a 1% change in our revenues. Although we also have certain operations denominated in euros, Swiss francs, and British pounds, among other currencies, those operations are subject to less overall market risk due to the revenues and expenses being denominated in the same currency. We do not currently utilize hedging strategies to mitigate foreign currency risk.</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an investment portfolio in accordance with our written investment policy. Our investment policy specifies credit quality standards for our investments and limits the amount of credit exposure to any single issue, issuer or type of investment. Our investments consist of debt securities of various types and maturities of one year or less and are classified as available-for-sale.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investment policy guidelines are intended to ensure the preservation of principal, market conditions can result in high levels of uncertainty. Our ability to trade or redeem the securities in which we invest, including certain corporate bonds, may become difficult. Valuation and pricing of these securities can also become variable and subject to uncertainty. As of June 30, 2024, the unrealized losses in our investment portfolio were determined to be immaterial. We do not utilize derivative financial instruments to manage our interest rate risks.</w:t>
      </w:r>
    </w:p>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(“Disclosure Controls”) within the meaning of Rules 13a-15(e) and 15d-15(e) of the Securities Exchange Act of 1934, as amended (the "Exchange Act"). Our Disclosure Controls are designed to ensure that information required to be disclosed by us in the reports we file or submit under the Exchange Act, such as this Quarterly Report on Form 10-Q, is recorded, processed, summarized, and reported within the time periods specified in the SEC’s rules and forms. 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management recognized that any controls and procedures, no matter how well designed and operated, can provide only reasonable assurance of achieving the desired control objectives, and management necessarily applied its judgment in evaluating and implementing possible controls and procedures.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evaluated the effectiveness of the design and operation of our Disclosure Controls, which was done under the supervision and with the participation of our management, including our Chief Executive Officer and Chief Financial Officer. Based on the evaluation of our Disclosure Controls, our Chief Executive Officer and Chief Financial Officer have concluded that, as of June 30, 2024, our Disclosure Controls were effective to provide reasonable assurance that information required to be disclosed by us in the reports we file or submit under the Exchange Act is recorded, processed, summarized and reported within the time period specified in the SEC's rules and forms and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certain current legal proceedings, see Note 13, "Commitments and Contingencies" in Notes to Condensed Consolidated Financial Statements, which are included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and other cautionary statements described under the heading “Item 1A. Risk Factors” included in our Annual Report on Form 10-K filed with the SEC on February 28, 2024, our Quarterly Report on Form 10-Q filed with the SEC on May 8, 2024, and this Quarterly Report on Form 10-Q,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our Annual Report on Form 10-K filed with the SEC on February 28, 2024 and our Quarterly Report on Form 10-Q filed with the SEC on May 8, 2024. We may disclose changes to risk factors or additional risk factors from time to time in our future filings with the SEC.</w:t>
      </w:r>
    </w:p>
    <w:p>
      <w:pPr>
        <w:spacing w:after="0" w:line="29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20, 2024, Rashmi Kumar, a member of our Board of Directors, adopted a trading plan intended to satisfy the affirmative defense conditions of Rule 10b5-1(c) under the Exchange Act. The plan provides for the sale of up to 15,000 shares of our common stock. The plan expires on the earlier of (i) the date all of the shares under the plan have been sold and (ii) December 18, 2024.</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3, 2024, Colleen Reitan, a member of our Board of Directors, adopted a trading plan intended to satisfy the affirmative defense conditions of Rule 10b5-1(c) under the Exchange Act. The plan provides for the sale of up to 46,012 shares of our common stock. The plan expires on the earlier of (i) the date all of the shares under the plan have been sold and (ii) January 6,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11, 2024, Paul Diaz, our President and Chief Executive Officer, and a member of our Board of Directors, adopted a trading plan intended to satisfy the affirmative defense conditions of Rule 10b5-1(c) under the Exchange Act. The plan provides for the sale of up to 180,000 shares of our common stock. The plan expires on the earlier of (i) the date all of the shares under the plan have been sold and (ii) September 12, 2025.</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Except as disclosed above,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 of Regulation S-K).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59"/>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302(a) of the Sarbanes-Oxley Act of 2002.</w:t>
            </w:r>
          </w:p>
        </w:tc>
      </w:tr>
      <w:tr>
        <w:trPr>
          <w:trHeight w:val="31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tcPr>
          <w:p>
            <w:pPr>
              <w:spacing w:after="0"/>
              <w:rPr>
                <w:sz w:val="24"/>
                <w:szCs w:val="24"/>
                <w:color w:val="auto"/>
              </w:rPr>
            </w:pPr>
          </w:p>
        </w:tc>
        <w:tc>
          <w:tcPr>
            <w:tcW w:w="73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302(a) of the Sarbanes-Oxley Act of 2002.</w:t>
            </w:r>
          </w:p>
        </w:tc>
        <w:tc>
          <w:tcPr>
            <w:tcW w:w="40" w:type="dxa"/>
            <w:vAlign w:val="bottom"/>
            <w:tcBorders>
              <w:top w:val="single" w:sz="8" w:color="0000FF"/>
            </w:tcBorders>
          </w:tcPr>
          <w:p>
            <w:pPr>
              <w:spacing w:after="0"/>
              <w:rPr>
                <w:sz w:val="24"/>
                <w:szCs w:val="24"/>
                <w:color w:val="auto"/>
              </w:rPr>
            </w:pPr>
          </w:p>
        </w:tc>
        <w:tc>
          <w:tcPr>
            <w:tcW w:w="1820" w:type="dxa"/>
            <w:vAlign w:val="bottom"/>
          </w:tcPr>
          <w:p>
            <w:pPr>
              <w:spacing w:after="0"/>
              <w:rPr>
                <w:sz w:val="24"/>
                <w:szCs w:val="24"/>
                <w:color w:val="auto"/>
              </w:rPr>
            </w:pPr>
          </w:p>
        </w:tc>
      </w:tr>
      <w:tr>
        <w:trPr>
          <w:trHeight w:val="35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(Furnished).</w:t>
            </w: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140" w:type="dxa"/>
            <w:vAlign w:val="bottom"/>
            <w:shd w:val="clear" w:color="auto" w:fill="0000FF"/>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34"/>
        </w:trPr>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46"/>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3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3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62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03" w:lineRule="exact"/>
        <w:rPr>
          <w:sz w:val="20"/>
          <w:szCs w:val="20"/>
          <w:color w:val="auto"/>
        </w:rPr>
      </w:pPr>
    </w:p>
    <w:p>
      <w:pPr>
        <w:ind w:left="1340" w:hanging="1314"/>
        <w:spacing w:after="0" w:line="237"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June 30, 2024 has been formatted in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3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MYRIAD GENETICS, INC.</w:t>
            </w:r>
          </w:p>
        </w:tc>
      </w:tr>
      <w:tr>
        <w:trPr>
          <w:trHeight w:val="52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73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Paul J. Diaz</w:t>
            </w:r>
          </w:p>
        </w:tc>
      </w:tr>
      <w:tr>
        <w:trPr>
          <w:trHeight w:val="27"/>
        </w:trPr>
        <w:tc>
          <w:tcPr>
            <w:tcW w:w="38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J. Diaz</w:t>
            </w:r>
          </w:p>
        </w:tc>
      </w:tr>
      <w:tr>
        <w:trPr>
          <w:trHeight w:val="270"/>
        </w:trPr>
        <w:tc>
          <w:tcPr>
            <w:tcW w:w="386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86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73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Scott J. Leffler</w:t>
            </w:r>
          </w:p>
        </w:tc>
      </w:tr>
      <w:tr>
        <w:trPr>
          <w:trHeight w:val="27"/>
        </w:trPr>
        <w:tc>
          <w:tcPr>
            <w:tcW w:w="38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J. Leffler</w:t>
            </w:r>
          </w:p>
        </w:tc>
      </w:tr>
      <w:tr>
        <w:trPr>
          <w:trHeight w:val="270"/>
        </w:trPr>
        <w:tc>
          <w:tcPr>
            <w:tcW w:w="386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86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73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Natalie Munk</w:t>
            </w:r>
          </w:p>
        </w:tc>
      </w:tr>
      <w:tr>
        <w:trPr>
          <w:trHeight w:val="27"/>
        </w:trPr>
        <w:tc>
          <w:tcPr>
            <w:tcW w:w="38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6"/>
        </w:trPr>
        <w:tc>
          <w:tcPr>
            <w:tcW w:w="38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Natalie Munk</w:t>
            </w:r>
          </w:p>
        </w:tc>
      </w:tr>
      <w:tr>
        <w:trPr>
          <w:trHeight w:val="270"/>
        </w:trPr>
        <w:tc>
          <w:tcPr>
            <w:tcW w:w="386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70"/>
        </w:trPr>
        <w:tc>
          <w:tcPr>
            <w:tcW w:w="386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302(a)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Diaz, certify that:</w:t>
      </w:r>
    </w:p>
    <w:p>
      <w:pPr>
        <w:spacing w:after="0" w:line="225" w:lineRule="exact"/>
        <w:rPr>
          <w:sz w:val="20"/>
          <w:szCs w:val="20"/>
          <w:color w:val="auto"/>
        </w:rPr>
      </w:pPr>
    </w:p>
    <w:p>
      <w:pPr>
        <w:ind w:left="820" w:hanging="812"/>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Myriad Genetics, Inc.;</w:t>
      </w:r>
    </w:p>
    <w:p>
      <w:pPr>
        <w:spacing w:after="0" w:line="225"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20" w:right="140" w:hanging="812"/>
        <w:spacing w:after="0" w:line="276" w:lineRule="auto"/>
        <w:tabs>
          <w:tab w:leader="none" w:pos="8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620" w:right="140" w:hanging="802"/>
        <w:spacing w:after="0" w:line="266" w:lineRule="auto"/>
        <w:tabs>
          <w:tab w:leader="none" w:pos="16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620" w:right="220" w:hanging="802"/>
        <w:spacing w:after="0" w:line="266" w:lineRule="auto"/>
        <w:tabs>
          <w:tab w:leader="none" w:pos="161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620" w:right="360" w:hanging="802"/>
        <w:spacing w:after="0" w:line="266" w:lineRule="auto"/>
        <w:tabs>
          <w:tab w:leader="none" w:pos="16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20" w:right="100" w:hanging="812"/>
        <w:spacing w:after="0" w:line="312" w:lineRule="auto"/>
        <w:tabs>
          <w:tab w:leader="none" w:pos="8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620" w:right="180" w:hanging="802"/>
        <w:spacing w:after="0" w:line="282" w:lineRule="auto"/>
        <w:tabs>
          <w:tab w:leader="none" w:pos="161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right="480" w:hanging="802"/>
        <w:spacing w:after="0" w:line="282" w:lineRule="auto"/>
        <w:tabs>
          <w:tab w:leader="none" w:pos="16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320"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Paul J. Diaz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2425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Paul J. Diaz</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302(a)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J. Leffler, certify that:</w:t>
      </w:r>
    </w:p>
    <w:p>
      <w:pPr>
        <w:spacing w:after="0" w:line="225" w:lineRule="exact"/>
        <w:rPr>
          <w:sz w:val="20"/>
          <w:szCs w:val="20"/>
          <w:color w:val="auto"/>
        </w:rPr>
      </w:pPr>
    </w:p>
    <w:p>
      <w:pPr>
        <w:ind w:left="820" w:hanging="812"/>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Myriad Genetics, Inc.;</w:t>
      </w:r>
    </w:p>
    <w:p>
      <w:pPr>
        <w:spacing w:after="0" w:line="225"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20" w:right="140" w:hanging="812"/>
        <w:spacing w:after="0" w:line="276" w:lineRule="auto"/>
        <w:tabs>
          <w:tab w:leader="none" w:pos="8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620" w:right="140" w:hanging="802"/>
        <w:spacing w:after="0" w:line="266" w:lineRule="auto"/>
        <w:tabs>
          <w:tab w:leader="none" w:pos="160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620" w:right="220" w:hanging="802"/>
        <w:spacing w:after="0" w:line="266" w:lineRule="auto"/>
        <w:tabs>
          <w:tab w:leader="none" w:pos="161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620" w:right="360" w:hanging="802"/>
        <w:spacing w:after="0" w:line="266" w:lineRule="auto"/>
        <w:tabs>
          <w:tab w:leader="none" w:pos="160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20" w:right="100" w:hanging="812"/>
        <w:spacing w:after="0" w:line="312" w:lineRule="auto"/>
        <w:tabs>
          <w:tab w:leader="none" w:pos="8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620" w:right="180" w:hanging="802"/>
        <w:spacing w:after="0" w:line="282" w:lineRule="auto"/>
        <w:tabs>
          <w:tab w:leader="none" w:pos="161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right="480" w:hanging="802"/>
        <w:spacing w:after="0" w:line="282" w:lineRule="auto"/>
        <w:tabs>
          <w:tab w:leader="none" w:pos="160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320"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wp:posOffset>
            </wp:positionV>
            <wp:extent cx="29057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Scott J. Leffler</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0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Myriad Genetics, Inc., a Delaware corporation (the “Company”), does hereby certify, to such officer’s knowledge, that: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June 30,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Date: August 7, 2024</w:t>
            </w:r>
          </w:p>
        </w:tc>
        <w:tc>
          <w:tcPr>
            <w:tcW w:w="0" w:type="dxa"/>
            <w:vAlign w:val="bottom"/>
          </w:tcPr>
          <w:p>
            <w:pPr>
              <w:spacing w:after="0"/>
              <w:rPr>
                <w:sz w:val="1"/>
                <w:szCs w:val="1"/>
                <w:color w:val="auto"/>
              </w:rPr>
            </w:pPr>
          </w:p>
        </w:tc>
      </w:tr>
      <w:tr>
        <w:trPr>
          <w:trHeight w:val="297"/>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Paul J. Diaz</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  /s/ Scott J. Leffler</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Scott</w:t>
            </w:r>
          </w:p>
        </w:tc>
        <w:tc>
          <w:tcPr>
            <w:tcW w:w="5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Paul J. Diaz</w:t>
            </w:r>
          </w:p>
        </w:tc>
        <w:tc>
          <w:tcPr>
            <w:tcW w:w="580" w:type="dxa"/>
            <w:vAlign w:val="bottom"/>
            <w:vMerge w:val="continue"/>
          </w:tcPr>
          <w:p>
            <w:pPr>
              <w:spacing w:after="0"/>
              <w:rPr>
                <w:sz w:val="17"/>
                <w:szCs w:val="17"/>
                <w:color w:val="auto"/>
              </w:rPr>
            </w:pPr>
          </w:p>
        </w:tc>
        <w:tc>
          <w:tcPr>
            <w:tcW w:w="5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 Leffler</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8"/>
    </w:lvl>
  </w:abstractNum>
  <w:abstractNum w:abstractNumId="9">
    <w:nsid w:val="3352255A"/>
    <w:multiLevelType w:val="hybridMultilevel"/>
    <w:lvl w:ilvl="0">
      <w:lvlJc w:val="left"/>
      <w:lvlText w:val="(%1)"/>
      <w:numFmt w:val="lowerLetter"/>
      <w:start w:val="2"/>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0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2024-08-07T07:26:20Z</dcterms:created>
  <dcterms:modified xsi:type="dcterms:W3CDTF">2024-08-07T07:26:20Z</dcterms:modified>
</cp:coreProperties>
</file>