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109.xml.htm"/>
      <w:bookmarkStart w:id="1" w:name="kswkform4_17806911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Phanstiel S. Louise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59,701</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341,652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granted pursuant to the Issuer's 2026 Employee, Director and Consultant Equity Incentive Plan, as amended. Each restricted stock unit represents a contingent right to receive one share of the Issuer's common stock and vests upon the earlier of (a) the first anniversary of the date of grant or (b) the date of the next annual meeting of stockholders following such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S. Louise Phanstiel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1518"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3389</Characters>
  <CharactersWithSpaces>3960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