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ind w:left="0" w:right="0" w:firstLine="4680"/>
        <w:jc w:val="center"/>
        <w:rPr>
          <w:color w:val="000000"/>
        </w:rPr>
      </w:pPr>
      <w:r>
        <w:rPr>
          <w:color w:val="000000"/>
        </w:rPr>
        <w:t> </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ind w:left="0" w:right="0" w:firstLine="4680"/>
        <w:jc w:val="center"/>
        <w:rPr>
          <w:color w:val="000000"/>
        </w:rPr>
      </w:pPr>
      <w:r>
        <w:rPr>
          <w:color w:val="000000"/>
        </w:rPr>
        <w:t> </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20" w:after="283"/>
        <w:jc w:val="center"/>
        <w:rPr/>
      </w:pPr>
      <w:r>
        <w:rPr>
          <w:rFonts w:ascii="Times New Roman;serif" w:hAnsi="Times New Roman;serif"/>
          <w:b/>
          <w:color w:val="000000"/>
          <w:sz w:val="24"/>
        </w:rPr>
        <w:t>Date of Report (Date of earliest event reported):</w:t>
      </w:r>
      <w:r>
        <w:rPr>
          <w:color w:val="000000"/>
        </w:rPr>
        <w:t>  </w:t>
      </w:r>
      <w:r>
        <w:rPr>
          <w:rFonts w:ascii="Times New Roman;serif" w:hAnsi="Times New Roman;serif"/>
          <w:b/>
          <w:color w:val="000000"/>
          <w:sz w:val="24"/>
        </w:rPr>
        <w:t>September 15, 2026</w:t>
      </w:r>
    </w:p>
    <w:p>
      <w:pPr>
        <w:pStyle w:val="TextBody"/>
        <w:bidi w:val="0"/>
        <w:spacing w:lineRule="auto" w:line="288" w:before="0" w:after="0"/>
        <w:ind w:left="0" w:right="0" w:firstLine="4680"/>
        <w:jc w:val="center"/>
        <w:rPr>
          <w:color w:val="000000"/>
        </w:rPr>
      </w:pPr>
      <w:r>
        <w:rPr>
          <w:color w:val="000000"/>
        </w:rPr>
        <w:t> </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MYRIAD GENETICS,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ind w:left="0" w:right="0" w:firstLine="4680"/>
        <w:jc w:val="center"/>
        <w:rPr>
          <w:color w:val="000000"/>
        </w:rPr>
      </w:pPr>
      <w:r>
        <w:rPr>
          <w:color w:val="000000"/>
        </w:rPr>
        <w:t> </w:t>
      </w:r>
    </w:p>
    <w:p>
      <w:pPr>
        <w:pStyle w:val="TextBody"/>
        <w:bidi w:val="0"/>
        <w:spacing w:lineRule="auto" w:line="288" w:before="0" w:after="0"/>
        <w:jc w:val="left"/>
        <w:rPr>
          <w:color w:val="000000"/>
        </w:rPr>
      </w:pPr>
      <w:r>
        <w:rPr>
          <w:color w:val="000000"/>
        </w:rPr>
        <w:t> </w:t>
      </w:r>
    </w:p>
    <w:tbl>
      <w:tblPr>
        <w:tblW w:w="5467" w:type="dxa"/>
        <w:jc w:val="left"/>
        <w:tblInd w:w="0" w:type="dxa"/>
        <w:tblLayout w:type="fixed"/>
        <w:tblCellMar>
          <w:top w:w="28" w:type="dxa"/>
          <w:left w:w="28" w:type="dxa"/>
          <w:bottom w:w="28" w:type="dxa"/>
          <w:right w:w="28" w:type="dxa"/>
        </w:tblCellMar>
      </w:tblPr>
      <w:tblGrid>
        <w:gridCol w:w="819"/>
        <w:gridCol w:w="718"/>
        <w:gridCol w:w="728"/>
        <w:gridCol w:w="109"/>
        <w:gridCol w:w="109"/>
        <w:gridCol w:w="109"/>
        <w:gridCol w:w="353"/>
        <w:gridCol w:w="353"/>
        <w:gridCol w:w="358"/>
        <w:gridCol w:w="109"/>
        <w:gridCol w:w="109"/>
        <w:gridCol w:w="109"/>
        <w:gridCol w:w="433"/>
        <w:gridCol w:w="433"/>
        <w:gridCol w:w="618"/>
      </w:tblGrid>
      <w:tr>
        <w:trPr/>
        <w:tc>
          <w:tcPr>
            <w:tcW w:w="8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0-26642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87-0494517</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322 North 2200 West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Salt Lake City, Utah 84116</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(801) 584-3600</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ind w:left="0" w:right="0" w:firstLine="4680"/>
        <w:jc w:val="center"/>
        <w:rPr>
          <w:color w:val="000000"/>
        </w:rPr>
      </w:pPr>
      <w:r>
        <w:rPr>
          <w:color w:val="000000"/>
        </w:rPr>
        <w: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lineRule="auto" w:line="288" w:before="0" w:after="0"/>
        <w:jc w:val="left"/>
        <w:rPr>
          <w:color w:val="000000"/>
        </w:rPr>
      </w:pPr>
      <w:r>
        <w:rPr>
          <w:color w:val="000000"/>
        </w:rPr>
        <w:t> </w:t>
      </w:r>
    </w:p>
    <w:tbl>
      <w:tblPr>
        <w:tblW w:w="6742" w:type="dxa"/>
        <w:jc w:val="left"/>
        <w:tblInd w:w="0" w:type="dxa"/>
        <w:tblLayout w:type="fixed"/>
        <w:tblCellMar>
          <w:top w:w="28" w:type="dxa"/>
          <w:left w:w="28" w:type="dxa"/>
          <w:bottom w:w="28" w:type="dxa"/>
          <w:right w:w="28" w:type="dxa"/>
        </w:tblCellMar>
      </w:tblPr>
      <w:tblGrid>
        <w:gridCol w:w="705"/>
        <w:gridCol w:w="618"/>
        <w:gridCol w:w="627"/>
        <w:gridCol w:w="109"/>
        <w:gridCol w:w="109"/>
        <w:gridCol w:w="109"/>
        <w:gridCol w:w="274"/>
        <w:gridCol w:w="274"/>
        <w:gridCol w:w="276"/>
        <w:gridCol w:w="109"/>
        <w:gridCol w:w="109"/>
        <w:gridCol w:w="109"/>
        <w:gridCol w:w="970"/>
        <w:gridCol w:w="970"/>
        <w:gridCol w:w="1374"/>
      </w:tblGrid>
      <w:tr>
        <w:trPr/>
        <w:tc>
          <w:tcPr>
            <w:tcW w:w="70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MYGN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Nasdaq Global Select Market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September 16, 2026, Myriad Genetics, Inc. (the “Company”) announced that, effective September 16, 2026, Brian Donnelly no longer serves as Chief Commercial Officer of the Company. Mr. Donnelly is expected to remain as a non-executive employee of the Company through September 21, 2026 to assist in the transition of his responsibilities.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September 15, 2026, the Company’s Board of Directors (the “Board”) appointed Vishal Sikri, currently serving as the Company’s Senior Vice President, Product, as the Company’s Executive Vice President, Commercial, effective September 16, 2026. Mr. Sikri’s appointment as Executive Vice President, Commercial, was announced by the Company via press release on September 16, 2026.</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7.01 Regulation FD Disclosure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copy of the press release announcing Mr. Donnelly’s departure and Mr. Sikri’s appointment as Executive Vice President, Commercial, is furnished as Exhibit 99.1 to this Current Report on Form 8-K.</w:t>
      </w:r>
    </w:p>
    <w:p>
      <w:pPr>
        <w:pStyle w:val="TextBody"/>
        <w:bidi w:val="0"/>
        <w:spacing w:before="0" w:after="0"/>
        <w:ind w:left="0" w:right="0" w:firstLine="3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tbl>
      <w:tblPr>
        <w:tblW w:w="7678"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935"/>
        <w:gridCol w:w="1935"/>
        <w:gridCol w:w="2775"/>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991pressreleasedatedsept.htm">
              <w:r>
                <w:rPr>
                  <w:rStyle w:val="InternetLink"/>
                  <w:rFonts w:ascii="Times New Roman;serif" w:hAnsi="Times New Roman;serif"/>
                  <w:b w:val="false"/>
                  <w:color w:val="0E32E1"/>
                  <w:sz w:val="20"/>
                  <w:u w:val="single"/>
                </w:rPr>
                <w:t>Press Release dated September 16, 2026.</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u w:val="single"/>
        </w:rPr>
        <w:t>Limitation on Incorporation by Reference</w:t>
      </w:r>
      <w:r>
        <w:rPr>
          <w:rFonts w:ascii="Times New Roman;serif" w:hAnsi="Times New Roman;serif"/>
          <w:b w:val="false"/>
          <w:color w:val="000000"/>
          <w:sz w:val="20"/>
        </w:rPr>
        <w:t>. In accordance with General Instruction B.2 of Form 8-K, the information set forth in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5505" w:type="dxa"/>
        <w:jc w:val="left"/>
        <w:tblInd w:w="0" w:type="dxa"/>
        <w:tblLayout w:type="fixed"/>
        <w:tblCellMar>
          <w:top w:w="28" w:type="dxa"/>
          <w:left w:w="28" w:type="dxa"/>
          <w:bottom w:w="28" w:type="dxa"/>
          <w:right w:w="28" w:type="dxa"/>
        </w:tblCellMar>
      </w:tblPr>
      <w:tblGrid>
        <w:gridCol w:w="802"/>
        <w:gridCol w:w="707"/>
        <w:gridCol w:w="711"/>
        <w:gridCol w:w="385"/>
        <w:gridCol w:w="385"/>
        <w:gridCol w:w="385"/>
        <w:gridCol w:w="622"/>
        <w:gridCol w:w="622"/>
        <w:gridCol w:w="886"/>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MYRIAD GENETICS,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16, 2026</w:t>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Benjamin R. Wheeler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R. Wheeler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24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420" w:before="0" w:after="160"/>
        <w:jc w:val="right"/>
        <w:rPr>
          <w:rFonts w:ascii="ITC Franklin Gothic LT Pro Bk;sans-serif" w:hAnsi="ITC Franklin Gothic LT Pro Bk;sans-serif"/>
          <w:b/>
          <w:color w:val="000000"/>
          <w:sz w:val="24"/>
          <w:shd w:fill="FFFFFF" w:val="clear"/>
        </w:rPr>
      </w:pPr>
      <w:r>
        <w:rPr>
          <w:rFonts w:ascii="ITC Franklin Gothic LT Pro Bk;sans-serif" w:hAnsi="ITC Franklin Gothic LT Pro Bk;sans-serif"/>
          <w:b/>
          <w:color w:val="000000"/>
          <w:sz w:val="24"/>
          <w:shd w:fill="FFFFFF" w:val="clear"/>
        </w:rPr>
        <w:t>Exhibit 99.1</w:t>
      </w:r>
    </w:p>
    <w:p>
      <w:pPr>
        <w:pStyle w:val="TextBody"/>
        <w:bidi w:val="0"/>
        <w:spacing w:before="0" w:after="160"/>
        <w:jc w:val="center"/>
        <w:rPr/>
      </w:pPr>
      <w:r>
        <w:rPr/>
        <w:drawing>
          <wp:inline distT="0" distB="0" distL="0" distR="0">
            <wp:extent cx="6515100" cy="10668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6515100" cy="1066800"/>
                    </a:xfrm>
                    <a:prstGeom prst="rect">
                      <a:avLst/>
                    </a:prstGeom>
                  </pic:spPr>
                </pic:pic>
              </a:graphicData>
            </a:graphic>
          </wp:inline>
        </w:drawing>
      </w:r>
    </w:p>
    <w:p>
      <w:pPr>
        <w:pStyle w:val="TextBody"/>
        <w:bidi w:val="0"/>
        <w:spacing w:before="0" w:after="160"/>
        <w:jc w:val="center"/>
        <w:rPr/>
      </w:pPr>
      <w:r>
        <w:rPr/>
      </w:r>
    </w:p>
    <w:p>
      <w:pPr>
        <w:pStyle w:val="TextBody"/>
        <w:bidi w:val="0"/>
        <w:spacing w:lineRule="auto" w:line="300" w:before="0" w:after="160"/>
        <w:jc w:val="center"/>
        <w:rPr/>
      </w:pPr>
      <w:r>
        <w:rPr>
          <w:rFonts w:ascii="ITC Franklin Gothic LT Pro Bk;sans-serif" w:hAnsi="ITC Franklin Gothic LT Pro Bk;sans-serif"/>
          <w:b/>
          <w:color w:val="112E76"/>
          <w:sz w:val="28"/>
        </w:rPr>
        <w:t>Myriad Genetics Appoints Vishal Sikri</w:t>
      </w:r>
      <w:r>
        <w:rPr>
          <w:color w:val="112E76"/>
        </w:rPr>
        <w:t xml:space="preserve"> </w:t>
      </w:r>
      <w:r>
        <w:rPr>
          <w:rFonts w:ascii="ITC Franklin Gothic LT Pro Bk;sans-serif" w:hAnsi="ITC Franklin Gothic LT Pro Bk;sans-serif"/>
          <w:b/>
          <w:color w:val="112E76"/>
          <w:sz w:val="28"/>
        </w:rPr>
        <w:t>Executive Vice President - Commercial</w:t>
      </w:r>
      <w:r>
        <w:rPr>
          <w:color w:val="112E76"/>
        </w:rPr>
        <w:t xml:space="preserve"> </w:t>
      </w:r>
    </w:p>
    <w:p>
      <w:pPr>
        <w:pStyle w:val="TextBody"/>
        <w:bidi w:val="0"/>
        <w:spacing w:lineRule="atLeast" w:line="320" w:before="0" w:after="0"/>
        <w:jc w:val="left"/>
        <w:rPr/>
      </w:pPr>
      <w:r>
        <w:rPr>
          <w:rFonts w:ascii="ITC Franklin Gothic LT Pro Bk;sans-serif" w:hAnsi="ITC Franklin Gothic LT Pro Bk;sans-serif"/>
          <w:b/>
          <w:color w:val="3B3838"/>
          <w:sz w:val="24"/>
        </w:rPr>
        <w:t>SALT LAKE CITY</w:t>
      </w:r>
      <w:r>
        <w:rPr>
          <w:rFonts w:ascii="ITC Franklin Gothic LT Pro Bk;sans-serif" w:hAnsi="ITC Franklin Gothic LT Pro Bk;sans-serif"/>
          <w:b w:val="false"/>
          <w:color w:val="3B3838"/>
          <w:sz w:val="24"/>
        </w:rPr>
        <w:t xml:space="preserve">, September 16, 2026 </w:t>
      </w:r>
      <w:r>
        <w:rPr>
          <w:color w:val="3B3838"/>
        </w:rPr>
        <w:t xml:space="preserve">– </w:t>
      </w:r>
      <w:r>
        <w:rPr>
          <w:rFonts w:ascii="ITC Franklin Gothic LT Pro Bk;sans-serif" w:hAnsi="ITC Franklin Gothic LT Pro Bk;sans-serif"/>
          <w:b w:val="false"/>
          <w:color w:val="3B3838"/>
          <w:sz w:val="24"/>
          <w:u w:val="single"/>
          <w:shd w:fill="FFFFFF" w:val="clear"/>
        </w:rPr>
        <w:t>Myriad Genetics, Inc.</w:t>
      </w:r>
      <w:r>
        <w:rPr>
          <w:rFonts w:ascii="ITC Franklin Gothic LT Pro Bk;sans-serif" w:hAnsi="ITC Franklin Gothic LT Pro Bk;sans-serif"/>
          <w:b w:val="false"/>
          <w:color w:val="3B3838"/>
          <w:sz w:val="24"/>
          <w:shd w:fill="FFFFFF" w:val="clear"/>
        </w:rPr>
        <w:t>, (NASDAQ: MYGN), a leader in molecular diagnostic testing and precision medicine, today announced that Vishal Sikri has been promoted to Executive Vice President - Commercial, effective September 16, 2026.</w:t>
      </w:r>
    </w:p>
    <w:p>
      <w:pPr>
        <w:pStyle w:val="TextBody"/>
        <w:bidi w:val="0"/>
        <w:spacing w:before="0" w:after="0"/>
        <w:jc w:val="left"/>
        <w:rPr/>
      </w:pPr>
      <w:r>
        <w:rPr/>
      </w:r>
    </w:p>
    <w:p>
      <w:pPr>
        <w:pStyle w:val="TextBody"/>
        <w:bidi w:val="0"/>
        <w:spacing w:lineRule="atLeast" w:line="320" w:before="0" w:after="0"/>
        <w:jc w:val="left"/>
        <w:rPr/>
      </w:pPr>
      <w:r>
        <w:rPr>
          <w:rFonts w:ascii="ITC Franklin Gothic LT Pro Bk;sans-serif" w:hAnsi="ITC Franklin Gothic LT Pro Bk;sans-serif"/>
          <w:b w:val="false"/>
          <w:color w:val="3B3838"/>
          <w:sz w:val="24"/>
          <w:shd w:fill="FFFFFF" w:val="clear"/>
        </w:rPr>
        <w:t>Vishal has served as the SVP of Product at Myriad for the past year</w:t>
      </w:r>
      <w:r>
        <w:rPr>
          <w:rFonts w:ascii="ITC Franklin Gothic LT Pro Bk;sans-serif" w:hAnsi="ITC Franklin Gothic LT Pro Bk;sans-serif"/>
          <w:b w:val="false"/>
          <w:color w:val="3B3838"/>
          <w:sz w:val="24"/>
        </w:rPr>
        <w:t xml:space="preserve">. He </w:t>
      </w:r>
      <w:r>
        <w:rPr>
          <w:rFonts w:ascii="ITC Franklin Gothic LT Pro Bk;sans-serif" w:hAnsi="ITC Franklin Gothic LT Pro Bk;sans-serif"/>
          <w:b w:val="false"/>
          <w:color w:val="3B3838"/>
          <w:sz w:val="24"/>
          <w:shd w:fill="FFFFFF" w:val="clear"/>
        </w:rPr>
        <w:t>has deep</w:t>
      </w:r>
      <w:r>
        <w:rPr>
          <w:color w:val="3B3838"/>
        </w:rPr>
        <w:t xml:space="preserve"> </w:t>
      </w:r>
      <w:r>
        <w:rPr>
          <w:rFonts w:ascii="ITC Franklin Gothic LT Pro Bk;sans-serif" w:hAnsi="ITC Franklin Gothic LT Pro Bk;sans-serif"/>
          <w:b w:val="false"/>
          <w:color w:val="3B3838"/>
          <w:sz w:val="24"/>
          <w:shd w:fill="FFFFFF" w:val="clear"/>
        </w:rPr>
        <w:t xml:space="preserve">understanding of molecular diagnostics and oncology as well as extensive business and commercial leadership experience from his prior roles </w:t>
      </w:r>
      <w:r>
        <w:rPr>
          <w:rFonts w:ascii="ITC Franklin Gothic LT Pro Bk;sans-serif" w:hAnsi="ITC Franklin Gothic LT Pro Bk;sans-serif"/>
          <w:b w:val="false"/>
          <w:color w:val="3B3838"/>
          <w:sz w:val="24"/>
        </w:rPr>
        <w:t>at other notable companies.</w:t>
      </w:r>
    </w:p>
    <w:p>
      <w:pPr>
        <w:pStyle w:val="TextBody"/>
        <w:bidi w:val="0"/>
        <w:spacing w:before="0" w:after="0"/>
        <w:jc w:val="left"/>
        <w:rPr/>
      </w:pPr>
      <w:r>
        <w:rPr/>
      </w:r>
    </w:p>
    <w:p>
      <w:pPr>
        <w:pStyle w:val="TextBody"/>
        <w:bidi w:val="0"/>
        <w:spacing w:lineRule="atLeast" w:line="320" w:before="0" w:after="0"/>
        <w:jc w:val="left"/>
        <w:rPr/>
      </w:pPr>
      <w:r>
        <w:rPr>
          <w:rFonts w:ascii="ITC Franklin Gothic LT Pro Bk;sans-serif" w:hAnsi="ITC Franklin Gothic LT Pro Bk;sans-serif"/>
          <w:b w:val="false"/>
          <w:color w:val="3B3838"/>
          <w:sz w:val="24"/>
          <w:shd w:fill="FFFFFF" w:val="clear"/>
        </w:rPr>
        <w:t>Brian Donnelly, who has served as Chief Commercial Officer since May of 2025, will be departing</w:t>
      </w:r>
      <w:r>
        <w:rPr>
          <w:color w:val="3B3838"/>
        </w:rPr>
        <w:t xml:space="preserve"> </w:t>
      </w:r>
      <w:r>
        <w:rPr>
          <w:rFonts w:ascii="ITC Franklin Gothic LT Pro Bk;sans-serif" w:hAnsi="ITC Franklin Gothic LT Pro Bk;sans-serif"/>
          <w:b w:val="false"/>
          <w:color w:val="3B3838"/>
          <w:sz w:val="24"/>
        </w:rPr>
        <w:t>Myr</w:t>
      </w:r>
      <w:r>
        <w:rPr>
          <w:rFonts w:ascii="ITC Franklin Gothic LT Pro Bk;sans-serif" w:hAnsi="ITC Franklin Gothic LT Pro Bk;sans-serif"/>
          <w:b w:val="false"/>
          <w:color w:val="3B3838"/>
          <w:sz w:val="24"/>
          <w:shd w:fill="FFFFFF" w:val="clear"/>
        </w:rPr>
        <w:t>iad</w:t>
      </w:r>
      <w:r>
        <w:rPr>
          <w:color w:val="3B3838"/>
        </w:rPr>
        <w:t xml:space="preserve"> </w:t>
      </w:r>
      <w:r>
        <w:rPr>
          <w:rFonts w:ascii="ITC Franklin Gothic LT Pro Bk;sans-serif" w:hAnsi="ITC Franklin Gothic LT Pro Bk;sans-serif"/>
          <w:b w:val="false"/>
          <w:color w:val="3B3838"/>
          <w:sz w:val="24"/>
        </w:rPr>
        <w:t xml:space="preserve">on September 21, 2026. </w:t>
      </w:r>
    </w:p>
    <w:p>
      <w:pPr>
        <w:pStyle w:val="TextBody"/>
        <w:bidi w:val="0"/>
        <w:spacing w:before="0" w:after="0"/>
        <w:jc w:val="left"/>
        <w:rPr/>
      </w:pPr>
      <w:r>
        <w:rPr/>
      </w:r>
    </w:p>
    <w:p>
      <w:pPr>
        <w:pStyle w:val="TextBody"/>
        <w:bidi w:val="0"/>
        <w:spacing w:lineRule="atLeast" w:line="320" w:before="0" w:after="0"/>
        <w:jc w:val="left"/>
        <w:rPr>
          <w:color w:val="3B3838"/>
          <w:shd w:fill="FFFFFF" w:val="clear"/>
        </w:rPr>
      </w:pPr>
      <w:r>
        <w:rPr>
          <w:color w:val="3B3838"/>
          <w:shd w:fill="FFFFFF" w:val="clear"/>
        </w:rPr>
        <w:t>“</w:t>
      </w:r>
      <w:r>
        <w:rPr>
          <w:rFonts w:ascii="ITC Franklin Gothic LT Pro Bk;sans-serif" w:hAnsi="ITC Franklin Gothic LT Pro Bk;sans-serif"/>
          <w:b w:val="false"/>
          <w:color w:val="3B3838"/>
          <w:sz w:val="24"/>
          <w:shd w:fill="FFFFFF" w:val="clear"/>
        </w:rPr>
        <w:t xml:space="preserve">I want to thank Brian for his contributions to Myriad,” said Sam Raha, President and CEO of Myriad Genetics. “We are excited to have Vishal lead our commercial organization. His deep domain knowledge along with strong track record of driving growth and operational excellence will be instrumental in enabling the execution of our cancer care continuum focus and profitable growth strategy going forward.” </w:t>
      </w:r>
    </w:p>
    <w:p>
      <w:pPr>
        <w:pStyle w:val="TextBody"/>
        <w:bidi w:val="0"/>
        <w:spacing w:before="0" w:after="0"/>
        <w:jc w:val="left"/>
        <w:rPr/>
      </w:pPr>
      <w:r>
        <w:rPr/>
      </w:r>
    </w:p>
    <w:p>
      <w:pPr>
        <w:pStyle w:val="TextBody"/>
        <w:bidi w:val="0"/>
        <w:spacing w:lineRule="atLeast" w:line="320" w:before="0" w:after="0"/>
        <w:jc w:val="left"/>
        <w:rPr>
          <w:color w:val="3B3838"/>
        </w:rPr>
      </w:pPr>
      <w:r>
        <w:rPr>
          <w:color w:val="3B3838"/>
        </w:rPr>
        <w:t>“</w:t>
      </w:r>
      <w:r>
        <w:rPr>
          <w:rFonts w:ascii="ITC Franklin Gothic LT Pro Bk;sans-serif" w:hAnsi="ITC Franklin Gothic LT Pro Bk;sans-serif"/>
          <w:b w:val="false"/>
          <w:color w:val="3B3838"/>
          <w:sz w:val="24"/>
        </w:rPr>
        <w:t>I’m energized to lead the commercial organization at this important stage for Myriad,” said Mr. Sikri. “I look forward to partnering with Sam and the executive leadership team to advance Myriad’s mission, serve more patients and healthcare providers, and create increased value for shareholders.”</w:t>
      </w:r>
    </w:p>
    <w:p>
      <w:pPr>
        <w:pStyle w:val="TextBody"/>
        <w:bidi w:val="0"/>
        <w:spacing w:lineRule="auto" w:line="288" w:before="300" w:after="300"/>
        <w:jc w:val="left"/>
        <w:rPr>
          <w:rFonts w:ascii="ITC Franklin Gothic LT Pro Bk;sans-serif" w:hAnsi="ITC Franklin Gothic LT Pro Bk;sans-serif"/>
          <w:b w:val="false"/>
          <w:color w:val="3A3B3C"/>
          <w:sz w:val="24"/>
          <w:shd w:fill="FFFFFF" w:val="clear"/>
        </w:rPr>
      </w:pPr>
      <w:r>
        <w:rPr>
          <w:rFonts w:ascii="ITC Franklin Gothic LT Pro Bk;sans-serif" w:hAnsi="ITC Franklin Gothic LT Pro Bk;sans-serif"/>
          <w:b w:val="false"/>
          <w:color w:val="3A3B3C"/>
          <w:sz w:val="24"/>
          <w:shd w:fill="FFFFFF" w:val="clear"/>
        </w:rPr>
        <w:t>The company is reaffirming its financial guidance for the full-year 2026, as announced during its second quarter 2026 earnings call on July 30, 2026.</w:t>
      </w:r>
    </w:p>
    <w:p>
      <w:pPr>
        <w:pStyle w:val="TextBody"/>
        <w:bidi w:val="0"/>
        <w:spacing w:lineRule="atLeast" w:line="320" w:before="0" w:after="0"/>
        <w:jc w:val="left"/>
        <w:rPr/>
      </w:pPr>
      <w:r>
        <w:rPr>
          <w:rFonts w:ascii="ITC Franklin Gothic LT Pro Bk;sans-serif" w:hAnsi="ITC Franklin Gothic LT Pro Bk;sans-serif"/>
          <w:b/>
          <w:color w:val="112E76"/>
          <w:sz w:val="24"/>
        </w:rPr>
        <w:t>About Myriad Genetics</w:t>
      </w:r>
      <w:r>
        <w:rPr>
          <w:color w:val="112E76"/>
        </w:rPr>
        <w:t> </w:t>
      </w:r>
    </w:p>
    <w:p>
      <w:pPr>
        <w:pStyle w:val="TextBody"/>
        <w:bidi w:val="0"/>
        <w:spacing w:lineRule="atLeast" w:line="320" w:before="0" w:after="0"/>
        <w:jc w:val="left"/>
        <w:rPr>
          <w:rFonts w:ascii="ITC Franklin Gothic LT Pro Bk;sans-serif" w:hAnsi="ITC Franklin Gothic LT Pro Bk;sans-serif"/>
          <w:b w:val="false"/>
          <w:color w:val="58595B"/>
          <w:sz w:val="24"/>
        </w:rPr>
      </w:pPr>
      <w:r>
        <w:rPr>
          <w:rFonts w:ascii="ITC Franklin Gothic LT Pro Bk;sans-serif" w:hAnsi="ITC Franklin Gothic LT Pro Bk;sans-serif"/>
          <w:b w:val="false"/>
          <w:color w:val="58595B"/>
          <w:sz w:val="24"/>
        </w:rPr>
        <w:t>Myriad Genetics is a leading molecular diagnostic testing and precision medicine company dedicated to advancing health and well-being for all. Myriad Genetics develops and offers molecular tests that help assess the risk of developing disease or disease progression and guide treatment decisions across medical specialties where molecular insights can significantly improve patient care and lower healthcare costs. For more information, visit www.myriad.com.</w:t>
      </w:r>
    </w:p>
    <w:p>
      <w:pPr>
        <w:pStyle w:val="TextBody"/>
        <w:bidi w:val="0"/>
        <w:spacing w:before="0" w:after="283"/>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tLeast" w:line="320" w:before="0" w:after="0"/>
        <w:jc w:val="left"/>
        <w:rPr>
          <w:rFonts w:ascii="ITC Franklin Gothic LT Pro Bk;sans-serif" w:hAnsi="ITC Franklin Gothic LT Pro Bk;sans-serif"/>
          <w:b/>
          <w:color w:val="112E76"/>
          <w:sz w:val="24"/>
        </w:rPr>
      </w:pPr>
      <w:r>
        <w:rPr>
          <w:rFonts w:ascii="ITC Franklin Gothic LT Pro Bk;sans-serif" w:hAnsi="ITC Franklin Gothic LT Pro Bk;sans-serif"/>
          <w:b/>
          <w:color w:val="112E76"/>
          <w:sz w:val="24"/>
        </w:rPr>
        <w:t xml:space="preserve">Safe Harbor Statement </w:t>
      </w:r>
    </w:p>
    <w:p>
      <w:pPr>
        <w:pStyle w:val="TextBody"/>
        <w:bidi w:val="0"/>
        <w:spacing w:lineRule="atLeast" w:line="320" w:before="0" w:after="0"/>
        <w:jc w:val="left"/>
        <w:rPr>
          <w:rFonts w:ascii="ITC Franklin Gothic LT Pro Bk;sans-serif" w:hAnsi="ITC Franklin Gothic LT Pro Bk;sans-serif"/>
          <w:b w:val="false"/>
          <w:color w:val="58595B"/>
          <w:sz w:val="24"/>
        </w:rPr>
      </w:pPr>
      <w:r>
        <w:rPr>
          <w:rFonts w:ascii="ITC Franklin Gothic LT Pro Bk;sans-serif" w:hAnsi="ITC Franklin Gothic LT Pro Bk;sans-serif"/>
          <w:b w:val="false"/>
          <w:color w:val="58595B"/>
          <w:sz w:val="24"/>
        </w:rPr>
        <w:t xml:space="preserve">This press release contains “forward-looking statements” within the meaning of the Private Securities Litigation Reform Act of 1995, including that the company is reaffirming its financial guidance for the full-year 2026, as announced during its second quarter 2026 earnings call, and Mr. Sikri’s deep domain knowledge along with strong track record of driving growth and operational excellence will be instrumental in enabling the execution of the company’s Cancer Care Continuum focus and profitable growth strategy going forward. These “forward-looking statements” are management’s expectations of future events as of the date hereof and are subject to known and unknown risks and uncertainties that could cause actual results, conditions, and events to differ materially and adversely from those anticipated. Such factors include those risks described in the company’s filings with the U.S. Securities and Exchange Commission, including the company’s Annual Report on Form 10-K filed on February 24, 2026, as well as any updates to those risk factors filed from time to time in the company’s Quarterly Reports on Form 10-Q or Current Reports on Form 8-K. Myriad is not under any obligation, and it expressly disclaims any obligation, to update or alter any forward-looking statements, whether as a result of new information, future events or otherwise except as required by law. </w:t>
      </w:r>
    </w:p>
    <w:p>
      <w:pPr>
        <w:pStyle w:val="TextBody"/>
        <w:bidi w:val="0"/>
        <w:spacing w:before="100" w:after="100"/>
        <w:jc w:val="left"/>
        <w:rPr/>
      </w:pPr>
      <w:r>
        <w:rPr/>
      </w:r>
    </w:p>
    <w:p>
      <w:pPr>
        <w:pStyle w:val="TextBody"/>
        <w:bidi w:val="0"/>
        <w:spacing w:lineRule="atLeast" w:line="320" w:before="0" w:after="0"/>
        <w:jc w:val="left"/>
        <w:rPr>
          <w:rFonts w:ascii="ITC Franklin Gothic LT Pro Bk;sans-serif" w:hAnsi="ITC Franklin Gothic LT Pro Bk;sans-serif"/>
          <w:b/>
          <w:color w:val="64696F"/>
          <w:sz w:val="24"/>
        </w:rPr>
      </w:pPr>
      <w:r>
        <w:rPr>
          <w:rFonts w:ascii="ITC Franklin Gothic LT Pro Bk;sans-serif" w:hAnsi="ITC Franklin Gothic LT Pro Bk;sans-serif"/>
          <w:b/>
          <w:color w:val="64696F"/>
          <w:sz w:val="24"/>
        </w:rPr>
        <w:t>Investor Contact </w:t>
      </w:r>
    </w:p>
    <w:p>
      <w:pPr>
        <w:pStyle w:val="TextBody"/>
        <w:bidi w:val="0"/>
        <w:spacing w:lineRule="atLeast" w:line="320" w:before="0" w:after="0"/>
        <w:jc w:val="left"/>
        <w:rPr>
          <w:rFonts w:ascii="ITC Franklin Gothic LT Pro Bk;sans-serif" w:hAnsi="ITC Franklin Gothic LT Pro Bk;sans-serif"/>
          <w:b w:val="false"/>
          <w:color w:val="64696F"/>
          <w:sz w:val="24"/>
        </w:rPr>
      </w:pPr>
      <w:r>
        <w:rPr>
          <w:rFonts w:ascii="ITC Franklin Gothic LT Pro Bk;sans-serif" w:hAnsi="ITC Franklin Gothic LT Pro Bk;sans-serif"/>
          <w:b w:val="false"/>
          <w:color w:val="64696F"/>
          <w:sz w:val="24"/>
        </w:rPr>
        <w:t>Matt Scalo </w:t>
      </w:r>
    </w:p>
    <w:p>
      <w:pPr>
        <w:pStyle w:val="TextBody"/>
        <w:bidi w:val="0"/>
        <w:spacing w:lineRule="atLeast" w:line="320" w:before="0" w:after="0"/>
        <w:jc w:val="left"/>
        <w:rPr>
          <w:rFonts w:ascii="ITC Franklin Gothic LT Pro Bk;sans-serif" w:hAnsi="ITC Franklin Gothic LT Pro Bk;sans-serif"/>
          <w:b w:val="false"/>
          <w:color w:val="64696F"/>
          <w:sz w:val="24"/>
        </w:rPr>
      </w:pPr>
      <w:r>
        <w:rPr>
          <w:rFonts w:ascii="ITC Franklin Gothic LT Pro Bk;sans-serif" w:hAnsi="ITC Franklin Gothic LT Pro Bk;sans-serif"/>
          <w:b w:val="false"/>
          <w:color w:val="64696F"/>
          <w:sz w:val="24"/>
        </w:rPr>
        <w:t>(801) 584-3532 </w:t>
      </w:r>
    </w:p>
    <w:p>
      <w:pPr>
        <w:pStyle w:val="TextBody"/>
        <w:bidi w:val="0"/>
        <w:spacing w:lineRule="atLeast" w:line="320" w:before="0" w:after="0"/>
        <w:jc w:val="left"/>
        <w:rPr/>
      </w:pPr>
      <w:r>
        <w:rPr>
          <w:rFonts w:ascii="ITC Franklin Gothic LT Pro Bk;sans-serif" w:hAnsi="ITC Franklin Gothic LT Pro Bk;sans-serif"/>
          <w:b w:val="false"/>
          <w:color w:val="0000FF"/>
          <w:sz w:val="24"/>
          <w:u w:val="single"/>
        </w:rPr>
        <w:t>IR@myriad.com</w:t>
      </w:r>
      <w:r>
        <w:rPr>
          <w:color w:val="58595B"/>
        </w:rPr>
        <w:t> </w:t>
      </w:r>
    </w:p>
    <w:p>
      <w:pPr>
        <w:pStyle w:val="TextBody"/>
        <w:bidi w:val="0"/>
        <w:spacing w:lineRule="atLeast" w:line="320" w:before="0" w:after="0"/>
        <w:jc w:val="left"/>
        <w:rPr>
          <w:color w:val="58595B"/>
        </w:rPr>
      </w:pPr>
      <w:r>
        <w:rPr>
          <w:color w:val="58595B"/>
        </w:rPr>
        <w:t> </w:t>
      </w:r>
    </w:p>
    <w:p>
      <w:pPr>
        <w:pStyle w:val="TextBody"/>
        <w:bidi w:val="0"/>
        <w:spacing w:lineRule="atLeast" w:line="320" w:before="0" w:after="0"/>
        <w:jc w:val="left"/>
        <w:rPr>
          <w:rFonts w:ascii="ITC Franklin Gothic LT Pro Bk;sans-serif" w:hAnsi="ITC Franklin Gothic LT Pro Bk;sans-serif"/>
          <w:b/>
          <w:color w:val="64696F"/>
          <w:sz w:val="24"/>
        </w:rPr>
      </w:pPr>
      <w:r>
        <w:rPr>
          <w:rFonts w:ascii="ITC Franklin Gothic LT Pro Bk;sans-serif" w:hAnsi="ITC Franklin Gothic LT Pro Bk;sans-serif"/>
          <w:b/>
          <w:color w:val="64696F"/>
          <w:sz w:val="24"/>
        </w:rPr>
        <w:t>Media Contact </w:t>
      </w:r>
    </w:p>
    <w:p>
      <w:pPr>
        <w:pStyle w:val="TextBody"/>
        <w:bidi w:val="0"/>
        <w:spacing w:lineRule="atLeast" w:line="320"/>
        <w:jc w:val="left"/>
        <w:rPr/>
      </w:pPr>
      <w:r>
        <w:rPr>
          <w:rFonts w:ascii="ITC Franklin Gothic LT Pro Bk;sans-serif" w:hAnsi="ITC Franklin Gothic LT Pro Bk;sans-serif"/>
          <w:b w:val="false"/>
          <w:color w:val="64696F"/>
          <w:sz w:val="24"/>
        </w:rPr>
        <w:t>Andria Rosell</w:t>
        <w:br/>
        <w:t>(385) 202-3510 </w:t>
        <w:br/>
      </w:r>
      <w:r>
        <w:rPr>
          <w:rFonts w:ascii="ITC Franklin Gothic LT Pro Bk;sans-serif" w:hAnsi="ITC Franklin Gothic LT Pro Bk;sans-serif"/>
          <w:b w:val="false"/>
          <w:color w:val="0000FF"/>
          <w:sz w:val="24"/>
          <w:u w:val="single"/>
        </w:rPr>
        <w:t>PR@myriad.com</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ITC Franklin Gothic LT Pro Bk">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1169</Words>
  <Characters>6578</Characters>
  <CharactersWithSpaces>7696</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