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SC 13G/A 1 sayw24021425_13ga.htm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Myriad Genetics,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62855J104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763"/>
        <w:spacing w:after="0"/>
        <w:tabs>
          <w:tab w:leader="none" w:pos="11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Rule 13d-1(c)</w:t>
      </w:r>
    </w:p>
    <w:p>
      <w:pPr>
        <w:spacing w:after="0" w:line="9" w:lineRule="exact"/>
        <w:rPr>
          <w:rFonts w:ascii="MS PGothic" w:cs="MS PGothic" w:eastAsia="MS PGothic" w:hAnsi="MS PGothic"/>
          <w:sz w:val="18"/>
          <w:szCs w:val="18"/>
          <w:color w:val="auto"/>
        </w:rPr>
      </w:pPr>
    </w:p>
    <w:p>
      <w:pPr>
        <w:ind w:left="1140" w:hanging="763"/>
        <w:spacing w:after="0"/>
        <w:tabs>
          <w:tab w:leader="none" w:pos="11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Times New Roman" w:cs="Times New Roman" w:eastAsia="Times New Roman" w:hAnsi="Times New Roman"/>
                <w:sz w:val="18"/>
                <w:szCs w:val="18"/>
                <w:color w:val="auto"/>
                <w:w w:val="96"/>
              </w:rPr>
              <w:t>Page 2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GLENVIEW CAPITAL MANAGEMENT,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1,261,530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1,261,530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1,261,530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54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Times New Roman" w:cs="Times New Roman" w:eastAsia="Times New Roman" w:hAnsi="Times New Roman"/>
                <w:sz w:val="18"/>
                <w:szCs w:val="18"/>
                <w:color w:val="auto"/>
                <w:w w:val="96"/>
              </w:rPr>
              <w:t>Page 3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LARRY ROBBINS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1,261,530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1,261,530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1,261,530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54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4 of 9 Pages</w:t>
      </w:r>
    </w:p>
    <w:p>
      <w:pPr>
        <w:spacing w:after="0" w:line="192" w:lineRule="exact"/>
        <w:rPr>
          <w:sz w:val="20"/>
          <w:szCs w:val="20"/>
          <w:color w:val="auto"/>
        </w:rPr>
      </w:pPr>
    </w:p>
    <w:p>
      <w:pPr>
        <w:sectPr>
          <w:pgSz w:w="11900" w:h="16838" w:orient="portrait"/>
          <w:cols w:equalWidth="0" w:num="2">
            <w:col w:w="9240" w:space="720"/>
            <w:col w:w="128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Myriad Genetics, Inc. (the “Issuer”)</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322 North 2200 West, Salt Lake City, UT 84116</w:t>
      </w:r>
    </w:p>
    <w:p>
      <w:pPr>
        <w:sectPr>
          <w:pgSz w:w="11900" w:h="16838" w:orient="portrait"/>
          <w:cols w:equalWidth="0" w:num="1">
            <w:col w:w="11240"/>
          </w:cols>
          <w:pgMar w:left="320" w:top="121"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Filing:</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This Statement is filed on behalf of each of the following persons (collectively, the “Reporting Persons”):</w:t>
      </w:r>
    </w:p>
    <w:p>
      <w:pPr>
        <w:sectPr>
          <w:pgSz w:w="11900" w:h="16838" w:orient="portrait"/>
          <w:cols w:equalWidth="0" w:num="1">
            <w:col w:w="11240"/>
          </w:cols>
          <w:pgMar w:left="320" w:top="121" w:right="339" w:bottom="1440" w:gutter="0" w:footer="0" w:header="0"/>
          <w:type w:val="continuous"/>
        </w:sectPr>
      </w:pPr>
    </w:p>
    <w:p>
      <w:pPr>
        <w:spacing w:after="0" w:line="237" w:lineRule="exact"/>
        <w:rPr>
          <w:sz w:val="20"/>
          <w:szCs w:val="20"/>
          <w:color w:val="auto"/>
        </w:rPr>
      </w:pPr>
    </w:p>
    <w:p>
      <w:pPr>
        <w:ind w:left="1460" w:right="3840" w:firstLine="50"/>
        <w:spacing w:after="0" w:line="282" w:lineRule="auto"/>
        <w:rPr>
          <w:sz w:val="20"/>
          <w:szCs w:val="20"/>
          <w:color w:val="auto"/>
        </w:rPr>
      </w:pPr>
      <w:r>
        <w:rPr>
          <w:rFonts w:ascii="Times New Roman" w:cs="Times New Roman" w:eastAsia="Times New Roman" w:hAnsi="Times New Roman"/>
          <w:sz w:val="18"/>
          <w:szCs w:val="18"/>
          <w:color w:val="auto"/>
        </w:rPr>
        <w:t>i) Glenview Capital Management, LLC (“Glenview Capital Management”); and ii) Larry Robbins (“Mr. Robbins”).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for the accounts of Glenview Capital Master Fund, Ltd., a Cayman Islands exempted company (“Glenview Capital Master Fund”), Glenview Offshore Opportunity Master Fund, Ltd., a Cayman Islands exempted company (“Glenview Offshore Opportunity Master Fund”), and Glenview Healthcare Master Fund, L.P., a Cayman Islands limited partnership (“Glenview Healthcare Master Fund” and collectively, the “Glenview Funds”).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Glenview Capital Management serves as investment manager to each of the Glenview Funds. Mr. Robbins is the Chief Executive Officer of Glenview Capital Management.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Glenview Capital Management and Mr. Robbins is 767 Fifth Avenue, 44th Floor, New York, New York 10153.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620" w:hanging="316"/>
        <w:spacing w:after="0"/>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Glenview Capital Management is a Delaware limited liability company;</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Robbins is a citizen of the United States of America.</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$0.01 par value per share (the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62855J104</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62855J104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9 Pages</w:t>
      </w:r>
    </w:p>
    <w:p>
      <w:pPr>
        <w:spacing w:after="0" w:line="192" w:lineRule="exact"/>
        <w:rPr>
          <w:sz w:val="20"/>
          <w:szCs w:val="20"/>
          <w:color w:val="auto"/>
        </w:rPr>
      </w:pPr>
    </w:p>
    <w:p>
      <w:pPr>
        <w:sectPr>
          <w:pgSz w:w="11900" w:h="16838" w:orient="portrait"/>
          <w:cols w:equalWidth="0" w:num="2">
            <w:col w:w="9240" w:space="720"/>
            <w:col w:w="128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Beneficially Owned:</w:t>
      </w:r>
    </w:p>
    <w:p>
      <w:pPr>
        <w:spacing w:after="0" w:line="200" w:lineRule="exact"/>
        <w:rPr>
          <w:sz w:val="20"/>
          <w:szCs w:val="20"/>
          <w:color w:val="auto"/>
        </w:rPr>
      </w:pPr>
    </w:p>
    <w:p>
      <w:pPr>
        <w:sectPr>
          <w:pgSz w:w="11900" w:h="16838" w:orient="portrait"/>
          <w:cols w:equalWidth="0" w:num="2">
            <w:col w:w="760" w:space="540"/>
            <w:col w:w="9940"/>
          </w:cols>
          <w:pgMar w:left="320" w:top="121" w:right="339" w:bottom="1440" w:gutter="0" w:footer="0" w:header="0"/>
          <w:type w:val="continuous"/>
        </w:sectPr>
      </w:pPr>
    </w:p>
    <w:p>
      <w:pPr>
        <w:spacing w:after="0" w:line="29"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As of September 30, 2024, each of Glenview Capital Management and Mr. Robbins may be deemed the beneficial owner of 1,261,530 Shares. This amount consists of: (A) 619,836 Shares held for the account of Glenview Capital Master Fund; (B) 602,738 Shares held for the account of Glenview Offshore Opportunity Master Fund; and (C) 38,956 Shares held for the account of Glenview Healthcare Master Fund.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 of September 30, 2024, each of the Reporting Persons may be deemed the beneficial owner of approximately 1.39% of Shares outstanding. (There were 90,820,354 Shares outstanding as of August 2, 2024, based on the Issuer’s quarterly report on Form 10-Q, filed on August 7,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Glenview Capital Management and Mr. Robbins: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7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1296"/>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72"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disclosure in Item 2 hereof.</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8 is 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6 of 9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62855J104</w:t>
            </w:r>
          </w:p>
        </w:tc>
        <w:tc>
          <w:tcPr>
            <w:tcW w:w="7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 7 of 9 Pages</w:t>
            </w: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8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91"/>
        </w:trPr>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w:t>
            </w:r>
          </w:p>
        </w:tc>
        <w:tc>
          <w:tcPr>
            <w:tcW w:w="3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Page No.</w:t>
            </w:r>
          </w:p>
        </w:tc>
        <w:tc>
          <w:tcPr>
            <w:tcW w:w="0" w:type="dxa"/>
            <w:vAlign w:val="bottom"/>
          </w:tcPr>
          <w:p>
            <w:pPr>
              <w:spacing w:after="0"/>
              <w:rPr>
                <w:sz w:val="1"/>
                <w:szCs w:val="1"/>
                <w:color w:val="auto"/>
              </w:rPr>
            </w:pP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1"/>
              </w:rPr>
            </w:pPr>
            <w:hyperlink r:id="rId17">
              <w:r>
                <w:rPr>
                  <w:rFonts w:ascii="Times New Roman" w:cs="Times New Roman" w:eastAsia="Times New Roman" w:hAnsi="Times New Roman"/>
                  <w:sz w:val="18"/>
                  <w:szCs w:val="18"/>
                  <w:color w:val="0000EE"/>
                  <w:w w:val="91"/>
                </w:rPr>
                <w:t>A</w:t>
              </w:r>
            </w:hyperlink>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Joint Filing Agreement</w:t>
            </w:r>
          </w:p>
        </w:tc>
        <w:tc>
          <w:tcPr>
            <w:tcW w:w="76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gridSpan w:val="4"/>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B</w:t>
              </w:r>
            </w:hyperlink>
          </w:p>
        </w:tc>
        <w:tc>
          <w:tcPr>
            <w:tcW w:w="31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Power of Attorney</w:t>
            </w:r>
          </w:p>
        </w:tc>
        <w:tc>
          <w:tcPr>
            <w:tcW w:w="76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8 of 9 Pages</w:t>
      </w:r>
    </w:p>
    <w:p>
      <w:pPr>
        <w:spacing w:after="0" w:line="18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Myriad Genetics, Inc. dated as of November 14, 2024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62855J104</w:t>
      </w:r>
      <w:r>
        <w:rPr>
          <w:sz w:val="20"/>
          <w:szCs w:val="20"/>
          <w:color w:val="auto"/>
        </w:rPr>
        <w:tab/>
      </w:r>
      <w:r>
        <w:rPr>
          <w:rFonts w:ascii="Times New Roman" w:cs="Times New Roman" w:eastAsia="Times New Roman" w:hAnsi="Times New Roman"/>
          <w:sz w:val="17"/>
          <w:szCs w:val="17"/>
          <w:color w:val="auto"/>
        </w:rPr>
        <w:t>Page 9 of 9 Pages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Power of Attorney revokes the previous Power of Attorney, executed by the undersigned on February 10, 2009, and shall remain in effect until revoked, in writing, by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this 2nd day of February,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7" Type="http://schemas.openxmlformats.org/officeDocument/2006/relationships/hyperlink" Target="https://www.sec.gov/Archives/edgar/data/1138995/000090514824000728/sayw24021425_13ga.htm#EXHIBITA" TargetMode="External"/><Relationship Id="rId18" Type="http://schemas.openxmlformats.org/officeDocument/2006/relationships/hyperlink" Target="https://www.sec.gov/Archives/edgar/data/1138995/000090514824000728/sayw24021425_13ga.htm#EXHIBIT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2024-11-14T15:37:54Z</dcterms:created>
  <dcterms:modified xsi:type="dcterms:W3CDTF">2024-11-14T15:37:54Z</dcterms:modified>
</cp:coreProperties>
</file>