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MYRIAD GENETICS,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62855J104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86250"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3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APRIL 17,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1428115</wp:posOffset>
            </wp:positionH>
            <wp:positionV relativeFrom="paragraph">
              <wp:posOffset>19685</wp:posOffset>
            </wp:positionV>
            <wp:extent cx="42862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198" w:lineRule="exact"/>
        <w:rPr>
          <w:sz w:val="24"/>
          <w:szCs w:val="24"/>
          <w:color w:val="auto"/>
        </w:rPr>
      </w:pPr>
    </w:p>
    <w:p>
      <w:pPr>
        <w:ind w:left="22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13d-1(b)</w:t>
      </w:r>
    </w:p>
    <w:p>
      <w:pPr>
        <w:spacing w:after="0" w:line="185" w:lineRule="exact"/>
        <w:rPr>
          <w:sz w:val="24"/>
          <w:szCs w:val="24"/>
          <w:color w:val="auto"/>
        </w:rPr>
      </w:pPr>
    </w:p>
    <w:p>
      <w:pPr>
        <w:ind w:left="440" w:hanging="213"/>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198" w:lineRule="exact"/>
        <w:rPr>
          <w:sz w:val="24"/>
          <w:szCs w:val="24"/>
          <w:color w:val="auto"/>
        </w:rPr>
      </w:pPr>
    </w:p>
    <w:p>
      <w:pPr>
        <w:ind w:left="220"/>
        <w:spacing w:after="0"/>
        <w:rPr>
          <w:sz w:val="20"/>
          <w:szCs w:val="20"/>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Rule 13d-1(d)</w:t>
      </w:r>
    </w:p>
    <w:p>
      <w:pPr>
        <w:spacing w:after="0" w:line="198" w:lineRule="exact"/>
        <w:rPr>
          <w:sz w:val="24"/>
          <w:szCs w:val="24"/>
          <w:color w:val="auto"/>
        </w:rPr>
      </w:pPr>
    </w:p>
    <w:p>
      <w:pPr>
        <w:spacing w:after="0" w:line="275"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3" w:lineRule="exact"/>
        <w:rPr>
          <w:sz w:val="24"/>
          <w:szCs w:val="24"/>
          <w:color w:val="auto"/>
        </w:rPr>
      </w:pPr>
    </w:p>
    <w:p>
      <w:pPr>
        <w:ind w:right="20"/>
        <w:spacing w:after="0" w:line="339" w:lineRule="auto"/>
        <w:rPr>
          <w:sz w:val="20"/>
          <w:szCs w:val="20"/>
          <w:color w:val="auto"/>
        </w:rPr>
      </w:pPr>
      <w:r>
        <w:rPr>
          <w:rFonts w:ascii="Times New Roman" w:cs="Times New Roman" w:eastAsia="Times New Roman" w:hAnsi="Times New Roman"/>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40"/>
          </w:cols>
          <w:pgMar w:left="320" w:top="23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62855J104</w:t>
            </w:r>
          </w:p>
        </w:tc>
        <w:tc>
          <w:tcPr>
            <w:tcW w:w="4540" w:type="dxa"/>
            <w:vAlign w:val="bottom"/>
          </w:tcPr>
          <w:p>
            <w:pPr>
              <w:ind w:left="214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133350</wp:posOffset>
            </wp:positionV>
            <wp:extent cx="7136130" cy="5104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3" w:lineRule="exact"/>
        <w:rPr>
          <w:sz w:val="20"/>
          <w:szCs w:val="20"/>
          <w:color w:val="auto"/>
        </w:rPr>
      </w:pPr>
    </w:p>
    <w:p>
      <w:pPr>
        <w:ind w:left="680" w:hanging="405"/>
        <w:spacing w:after="0"/>
        <w:tabs>
          <w:tab w:leader="none" w:pos="6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21"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hanging="405"/>
        <w:spacing w:after="0"/>
        <w:tabs>
          <w:tab w:leader="none" w:pos="6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75"/>
        </w:trPr>
        <w:tc>
          <w:tcPr>
            <w:tcW w:w="1960" w:type="dxa"/>
            <w:vAlign w:val="bottom"/>
            <w:tcBorders>
              <w:top w:val="single" w:sz="8" w:color="auto"/>
              <w:bottom w:val="single" w:sz="8" w:color="auto"/>
              <w:right w:val="single" w:sz="8" w:color="auto"/>
            </w:tcBorders>
            <w:shd w:val="clear" w:color="auto" w:fill="000000"/>
          </w:tcPr>
          <w:p>
            <w:pPr>
              <w:spacing w:after="0"/>
              <w:rPr>
                <w:sz w:val="6"/>
                <w:szCs w:val="6"/>
                <w:color w:val="auto"/>
              </w:rPr>
            </w:pPr>
          </w:p>
        </w:tc>
        <w:tc>
          <w:tcPr>
            <w:tcW w:w="760" w:type="dxa"/>
            <w:vAlign w:val="bottom"/>
            <w:tcBorders>
              <w:top w:val="single" w:sz="8" w:color="auto"/>
              <w:bottom w:val="single" w:sz="8" w:color="auto"/>
            </w:tcBorders>
          </w:tcPr>
          <w:p>
            <w:pPr>
              <w:spacing w:after="0"/>
              <w:rPr>
                <w:sz w:val="6"/>
                <w:szCs w:val="6"/>
                <w:color w:val="auto"/>
              </w:rPr>
            </w:pPr>
          </w:p>
        </w:tc>
        <w:tc>
          <w:tcPr>
            <w:tcW w:w="85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8"/>
        </w:trPr>
        <w:tc>
          <w:tcPr>
            <w:tcW w:w="1960" w:type="dxa"/>
            <w:vAlign w:val="bottom"/>
            <w:tcBorders>
              <w:right w:val="single" w:sz="8" w:color="auto"/>
            </w:tcBorders>
          </w:tcPr>
          <w:p>
            <w:pPr>
              <w:spacing w:after="0"/>
              <w:rPr>
                <w:sz w:val="19"/>
                <w:szCs w:val="19"/>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5</w:t>
            </w:r>
          </w:p>
        </w:tc>
        <w:tc>
          <w:tcPr>
            <w:tcW w:w="85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NUMBER OF</w:t>
            </w:r>
          </w:p>
        </w:tc>
        <w:tc>
          <w:tcPr>
            <w:tcW w:w="760" w:type="dxa"/>
            <w:vAlign w:val="bottom"/>
            <w:tcBorders>
              <w:bottom w:val="single" w:sz="8" w:color="auto"/>
              <w:right w:val="single" w:sz="8" w:color="auto"/>
            </w:tcBorders>
          </w:tcPr>
          <w:p>
            <w:pPr>
              <w:spacing w:after="0"/>
              <w:rPr>
                <w:sz w:val="21"/>
                <w:szCs w:val="21"/>
                <w:color w:val="auto"/>
              </w:rPr>
            </w:pPr>
          </w:p>
        </w:tc>
        <w:tc>
          <w:tcPr>
            <w:tcW w:w="85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196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6</w:t>
            </w:r>
          </w:p>
        </w:tc>
        <w:tc>
          <w:tcPr>
            <w:tcW w:w="850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5"/>
        </w:trPr>
        <w:tc>
          <w:tcPr>
            <w:tcW w:w="1960" w:type="dxa"/>
            <w:vAlign w:val="bottom"/>
            <w:tcBorders>
              <w:right w:val="single" w:sz="8" w:color="auto"/>
            </w:tcBorders>
            <w:vMerge w:val="continue"/>
          </w:tcPr>
          <w:p>
            <w:pPr>
              <w:spacing w:after="0"/>
              <w:rPr>
                <w:sz w:val="9"/>
                <w:szCs w:val="9"/>
                <w:color w:val="auto"/>
              </w:rPr>
            </w:pPr>
          </w:p>
        </w:tc>
        <w:tc>
          <w:tcPr>
            <w:tcW w:w="760" w:type="dxa"/>
            <w:vAlign w:val="bottom"/>
            <w:tcBorders>
              <w:right w:val="single" w:sz="8" w:color="auto"/>
            </w:tcBorders>
            <w:vMerge w:val="continue"/>
          </w:tcPr>
          <w:p>
            <w:pPr>
              <w:spacing w:after="0"/>
              <w:rPr>
                <w:sz w:val="9"/>
                <w:szCs w:val="9"/>
                <w:color w:val="auto"/>
              </w:rPr>
            </w:pPr>
          </w:p>
        </w:tc>
        <w:tc>
          <w:tcPr>
            <w:tcW w:w="850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60" w:type="dxa"/>
            <w:vAlign w:val="bottom"/>
            <w:tcBorders>
              <w:right w:val="single" w:sz="8" w:color="auto"/>
            </w:tcBorders>
            <w:vMerge w:val="continue"/>
          </w:tcPr>
          <w:p>
            <w:pPr>
              <w:spacing w:after="0"/>
              <w:rPr>
                <w:sz w:val="8"/>
                <w:szCs w:val="8"/>
                <w:color w:val="auto"/>
              </w:rPr>
            </w:pPr>
          </w:p>
        </w:tc>
        <w:tc>
          <w:tcPr>
            <w:tcW w:w="850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1960" w:type="dxa"/>
            <w:vAlign w:val="bottom"/>
            <w:tcBorders>
              <w:right w:val="single" w:sz="8" w:color="auto"/>
            </w:tcBorders>
            <w:vMerge w:val="continue"/>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4,493,261 (See Item 4(a))</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76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right w:val="single" w:sz="8" w:color="auto"/>
            </w:tcBorders>
            <w:vMerge w:val="continue"/>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7"/>
        </w:trPr>
        <w:tc>
          <w:tcPr>
            <w:tcW w:w="19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tcPr>
          <w:p>
            <w:pPr>
              <w:spacing w:after="0"/>
              <w:rPr>
                <w:sz w:val="6"/>
                <w:szCs w:val="6"/>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7</w:t>
            </w:r>
          </w:p>
        </w:tc>
        <w:tc>
          <w:tcPr>
            <w:tcW w:w="850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7"/>
        </w:trPr>
        <w:tc>
          <w:tcPr>
            <w:tcW w:w="1960" w:type="dxa"/>
            <w:vAlign w:val="bottom"/>
            <w:tcBorders>
              <w:right w:val="single" w:sz="8" w:color="auto"/>
            </w:tcBorders>
            <w:vMerge w:val="continue"/>
          </w:tcPr>
          <w:p>
            <w:pPr>
              <w:spacing w:after="0"/>
              <w:rPr>
                <w:sz w:val="6"/>
                <w:szCs w:val="6"/>
                <w:color w:val="auto"/>
              </w:rPr>
            </w:pPr>
          </w:p>
        </w:tc>
        <w:tc>
          <w:tcPr>
            <w:tcW w:w="760" w:type="dxa"/>
            <w:vAlign w:val="bottom"/>
            <w:tcBorders>
              <w:right w:val="single" w:sz="8" w:color="auto"/>
            </w:tcBorders>
            <w:vMerge w:val="continue"/>
          </w:tcPr>
          <w:p>
            <w:pPr>
              <w:spacing w:after="0"/>
              <w:rPr>
                <w:sz w:val="6"/>
                <w:szCs w:val="6"/>
                <w:color w:val="auto"/>
              </w:rPr>
            </w:pPr>
          </w:p>
        </w:tc>
        <w:tc>
          <w:tcPr>
            <w:tcW w:w="8500" w:type="dxa"/>
            <w:vAlign w:val="bottom"/>
            <w:tcBorders>
              <w:right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5"/>
              </w:rPr>
              <w:t>REPORTING</w:t>
            </w:r>
          </w:p>
        </w:tc>
        <w:tc>
          <w:tcPr>
            <w:tcW w:w="760" w:type="dxa"/>
            <w:vAlign w:val="bottom"/>
            <w:tcBorders>
              <w:right w:val="single" w:sz="8" w:color="auto"/>
            </w:tcBorders>
            <w:vMerge w:val="continue"/>
          </w:tcPr>
          <w:p>
            <w:pPr>
              <w:spacing w:after="0"/>
              <w:rPr>
                <w:sz w:val="10"/>
                <w:szCs w:val="10"/>
                <w:color w:val="auto"/>
              </w:rPr>
            </w:pPr>
          </w:p>
        </w:tc>
        <w:tc>
          <w:tcPr>
            <w:tcW w:w="8500" w:type="dxa"/>
            <w:vAlign w:val="bottom"/>
            <w:tcBorders>
              <w:right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6"/>
        </w:trPr>
        <w:tc>
          <w:tcPr>
            <w:tcW w:w="1960" w:type="dxa"/>
            <w:vAlign w:val="bottom"/>
            <w:tcBorders>
              <w:right w:val="single" w:sz="8" w:color="auto"/>
            </w:tcBorders>
            <w:vMerge w:val="continue"/>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1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PERSON WITH</w:t>
            </w:r>
          </w:p>
        </w:tc>
        <w:tc>
          <w:tcPr>
            <w:tcW w:w="760" w:type="dxa"/>
            <w:vAlign w:val="bottom"/>
            <w:tcBorders>
              <w:bottom w:val="single" w:sz="8" w:color="auto"/>
              <w:right w:val="single" w:sz="8" w:color="auto"/>
            </w:tcBorders>
          </w:tcPr>
          <w:p>
            <w:pPr>
              <w:spacing w:after="0"/>
              <w:rPr>
                <w:sz w:val="12"/>
                <w:szCs w:val="12"/>
                <w:color w:val="auto"/>
              </w:rPr>
            </w:pPr>
          </w:p>
        </w:tc>
        <w:tc>
          <w:tcPr>
            <w:tcW w:w="8500" w:type="dxa"/>
            <w:vAlign w:val="bottom"/>
            <w:tcBorders>
              <w:bottom w:val="single" w:sz="8" w:color="auto"/>
              <w:right w:val="single" w:sz="8" w:color="auto"/>
            </w:tcBorders>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960" w:type="dxa"/>
            <w:vAlign w:val="bottom"/>
            <w:tcBorders>
              <w:right w:val="single" w:sz="8" w:color="auto"/>
            </w:tcBorders>
            <w:vMerge w:val="continue"/>
          </w:tcPr>
          <w:p>
            <w:pPr>
              <w:spacing w:after="0"/>
              <w:rPr>
                <w:sz w:val="5"/>
                <w:szCs w:val="5"/>
                <w:color w:val="auto"/>
              </w:rPr>
            </w:pPr>
          </w:p>
        </w:tc>
        <w:tc>
          <w:tcPr>
            <w:tcW w:w="760" w:type="dxa"/>
            <w:vAlign w:val="bottom"/>
            <w:tcBorders>
              <w:right w:val="single" w:sz="8" w:color="auto"/>
            </w:tcBorders>
            <w:vMerge w:val="restart"/>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8</w:t>
            </w:r>
          </w:p>
        </w:tc>
        <w:tc>
          <w:tcPr>
            <w:tcW w:w="850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6"/>
        </w:trPr>
        <w:tc>
          <w:tcPr>
            <w:tcW w:w="1960" w:type="dxa"/>
            <w:vAlign w:val="bottom"/>
            <w:tcBorders>
              <w:right w:val="single" w:sz="8" w:color="auto"/>
            </w:tcBorders>
          </w:tcPr>
          <w:p>
            <w:pPr>
              <w:spacing w:after="0"/>
              <w:rPr>
                <w:sz w:val="14"/>
                <w:szCs w:val="14"/>
                <w:color w:val="auto"/>
              </w:rPr>
            </w:pPr>
          </w:p>
        </w:tc>
        <w:tc>
          <w:tcPr>
            <w:tcW w:w="760" w:type="dxa"/>
            <w:vAlign w:val="bottom"/>
            <w:tcBorders>
              <w:right w:val="single" w:sz="8" w:color="auto"/>
            </w:tcBorders>
            <w:vMerge w:val="continue"/>
          </w:tcPr>
          <w:p>
            <w:pPr>
              <w:spacing w:after="0"/>
              <w:rPr>
                <w:sz w:val="14"/>
                <w:szCs w:val="14"/>
                <w:color w:val="auto"/>
              </w:rPr>
            </w:pPr>
          </w:p>
        </w:tc>
        <w:tc>
          <w:tcPr>
            <w:tcW w:w="8500" w:type="dxa"/>
            <w:vAlign w:val="bottom"/>
            <w:tcBorders>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960" w:type="dxa"/>
            <w:vAlign w:val="bottom"/>
            <w:tcBorders>
              <w:right w:val="single" w:sz="8" w:color="auto"/>
            </w:tcBorders>
          </w:tcPr>
          <w:p>
            <w:pPr>
              <w:spacing w:after="0"/>
              <w:rPr>
                <w:sz w:val="17"/>
                <w:szCs w:val="17"/>
                <w:color w:val="auto"/>
              </w:rPr>
            </w:pPr>
          </w:p>
        </w:tc>
        <w:tc>
          <w:tcPr>
            <w:tcW w:w="760" w:type="dxa"/>
            <w:vAlign w:val="bottom"/>
            <w:tcBorders>
              <w:right w:val="single" w:sz="8" w:color="auto"/>
            </w:tcBorders>
            <w:vMerge w:val="continue"/>
          </w:tcPr>
          <w:p>
            <w:pPr>
              <w:spacing w:after="0"/>
              <w:rPr>
                <w:sz w:val="17"/>
                <w:szCs w:val="17"/>
                <w:color w:val="auto"/>
              </w:rPr>
            </w:pPr>
          </w:p>
        </w:tc>
        <w:tc>
          <w:tcPr>
            <w:tcW w:w="850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1960" w:type="dxa"/>
            <w:vAlign w:val="bottom"/>
            <w:tcBorders>
              <w:bottom w:val="single" w:sz="8" w:color="auto"/>
              <w:right w:val="single" w:sz="8" w:color="auto"/>
            </w:tcBorders>
          </w:tcPr>
          <w:p>
            <w:pPr>
              <w:spacing w:after="0"/>
              <w:rPr>
                <w:sz w:val="22"/>
                <w:szCs w:val="22"/>
                <w:color w:val="auto"/>
              </w:rPr>
            </w:pPr>
          </w:p>
        </w:tc>
        <w:tc>
          <w:tcPr>
            <w:tcW w:w="760" w:type="dxa"/>
            <w:vAlign w:val="bottom"/>
            <w:tcBorders>
              <w:bottom w:val="single" w:sz="8" w:color="auto"/>
              <w:right w:val="single" w:sz="8" w:color="auto"/>
            </w:tcBorders>
          </w:tcPr>
          <w:p>
            <w:pPr>
              <w:spacing w:after="0"/>
              <w:rPr>
                <w:sz w:val="22"/>
                <w:szCs w:val="22"/>
                <w:color w:val="auto"/>
              </w:rPr>
            </w:pPr>
          </w:p>
        </w:tc>
        <w:tc>
          <w:tcPr>
            <w:tcW w:w="850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4,493,261 (See Item 4(a))</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4,493,261 (See Item 4(a))</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4.97%</w:t>
      </w:r>
    </w:p>
    <w:p>
      <w:pPr>
        <w:spacing w:after="0" w:line="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4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62855J104</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3</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0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4"/>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45" w:lineRule="exact"/>
        <w:rPr>
          <w:sz w:val="20"/>
          <w:szCs w:val="20"/>
          <w:color w:val="auto"/>
        </w:rPr>
      </w:pPr>
    </w:p>
    <w:p>
      <w:pPr>
        <w:ind w:left="680" w:hanging="405"/>
        <w:spacing w:after="0"/>
        <w:tabs>
          <w:tab w:leader="none" w:pos="6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4,493,261 (See Item 4(a))</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4,493,261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4,493,261 (See Item 4(a))</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4.97%</w:t>
      </w:r>
    </w:p>
    <w:p>
      <w:pPr>
        <w:spacing w:after="0" w:line="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4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62855J104</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4</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0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5104765"/>
                    </a:xfrm>
                    <a:prstGeom prst="rect">
                      <a:avLst/>
                    </a:prstGeom>
                    <a:noFill/>
                  </pic:spPr>
                </pic:pic>
              </a:graphicData>
            </a:graphic>
          </wp:anchor>
        </w:drawing>
      </w:r>
    </w:p>
    <w:p>
      <w:pPr>
        <w:spacing w:after="0" w:line="2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6"/>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45" w:lineRule="exact"/>
        <w:rPr>
          <w:sz w:val="20"/>
          <w:szCs w:val="20"/>
          <w:color w:val="auto"/>
        </w:rPr>
      </w:pPr>
    </w:p>
    <w:p>
      <w:pPr>
        <w:ind w:left="680" w:hanging="405"/>
        <w:spacing w:after="0"/>
        <w:tabs>
          <w:tab w:leader="none" w:pos="6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Delaware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4,493,261 (See Item 4(a))</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4,493,261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4,493,261 (See Item 4(a))</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3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4.97%</w:t>
      </w:r>
    </w:p>
    <w:p>
      <w:pPr>
        <w:spacing w:after="0" w:line="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OO</w:t>
      </w:r>
    </w:p>
    <w:p>
      <w:pPr>
        <w:sectPr>
          <w:pgSz w:w="11900" w:h="16838" w:orient="portrait"/>
          <w:cols w:equalWidth="0" w:num="1">
            <w:col w:w="11240"/>
          </w:cols>
          <w:pgMar w:left="320" w:top="54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62855J104</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5</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141605</wp:posOffset>
            </wp:positionV>
            <wp:extent cx="7136130" cy="512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5121910"/>
                    </a:xfrm>
                    <a:prstGeom prst="rect">
                      <a:avLst/>
                    </a:prstGeom>
                    <a:noFill/>
                  </pic:spPr>
                </pic:pic>
              </a:graphicData>
            </a:graphic>
          </wp:anchor>
        </w:drawing>
      </w:r>
    </w:p>
    <w:p>
      <w:pPr>
        <w:spacing w:after="0" w:line="2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NAMES OF REPORTING PERSONS</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p>
      <w:pPr>
        <w:spacing w:after="0" w:line="21" w:lineRule="exact"/>
        <w:rPr>
          <w:sz w:val="20"/>
          <w:szCs w:val="20"/>
          <w:color w:val="auto"/>
        </w:rPr>
      </w:pPr>
    </w:p>
    <w:p>
      <w:pPr>
        <w:ind w:left="680" w:hanging="405"/>
        <w:spacing w:after="0"/>
        <w:tabs>
          <w:tab w:leader="none" w:pos="6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w:t>
      </w:r>
      <w:r>
        <w:rPr>
          <w:rFonts w:ascii="Wingdings" w:cs="Wingdings" w:eastAsia="Wingdings" w:hAnsi="Wingdings"/>
          <w:sz w:val="18"/>
          <w:szCs w:val="18"/>
          <w:b w:val="1"/>
          <w:bCs w:val="1"/>
          <w:color w:val="auto"/>
        </w:rPr>
        <w:t>o</w:t>
      </w:r>
    </w:p>
    <w:p>
      <w:pPr>
        <w:spacing w:after="0" w:line="9" w:lineRule="exact"/>
        <w:rPr>
          <w:rFonts w:ascii="Times New Roman" w:cs="Times New Roman" w:eastAsia="Times New Roman" w:hAnsi="Times New Roman"/>
          <w:sz w:val="18"/>
          <w:szCs w:val="18"/>
          <w:b w:val="1"/>
          <w:bCs w:val="1"/>
          <w:color w:val="auto"/>
        </w:rPr>
      </w:pPr>
    </w:p>
    <w:p>
      <w:pPr>
        <w:ind w:left="1000" w:hanging="327"/>
        <w:spacing w:after="0" w:line="231" w:lineRule="auto"/>
        <w:tabs>
          <w:tab w:leader="none" w:pos="1000" w:val="left"/>
        </w:tabs>
        <w:numPr>
          <w:ilvl w:val="1"/>
          <w:numId w:val="8"/>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o</w:t>
      </w:r>
    </w:p>
    <w:p>
      <w:pPr>
        <w:spacing w:after="0" w:line="45" w:lineRule="exact"/>
        <w:rPr>
          <w:sz w:val="20"/>
          <w:szCs w:val="20"/>
          <w:color w:val="auto"/>
        </w:rPr>
      </w:pPr>
    </w:p>
    <w:p>
      <w:pPr>
        <w:ind w:left="680" w:hanging="405"/>
        <w:spacing w:after="0"/>
        <w:tabs>
          <w:tab w:leader="none" w:pos="6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 USE ONLY</w:t>
      </w:r>
    </w:p>
    <w:p>
      <w:pPr>
        <w:spacing w:after="0" w:line="3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CITIZENSHIP OR PLACE OF ORGANIZATION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4</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United States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2680" w:type="dxa"/>
            <w:vAlign w:val="bottom"/>
            <w:tcBorders>
              <w:top w:val="single" w:sz="8" w:color="auto"/>
              <w:bottom w:val="single" w:sz="8" w:color="auto"/>
              <w:right w:val="single" w:sz="8" w:color="auto"/>
            </w:tcBorders>
            <w:shd w:val="clear" w:color="auto" w:fill="000000"/>
          </w:tcPr>
          <w:p>
            <w:pPr>
              <w:spacing w:after="0"/>
              <w:rPr>
                <w:sz w:val="7"/>
                <w:szCs w:val="7"/>
                <w:color w:val="auto"/>
              </w:rPr>
            </w:pPr>
          </w:p>
        </w:tc>
        <w:tc>
          <w:tcPr>
            <w:tcW w:w="700" w:type="dxa"/>
            <w:vAlign w:val="bottom"/>
            <w:tcBorders>
              <w:top w:val="single" w:sz="8" w:color="auto"/>
              <w:bottom w:val="single" w:sz="8" w:color="auto"/>
            </w:tcBorders>
          </w:tcPr>
          <w:p>
            <w:pPr>
              <w:spacing w:after="0"/>
              <w:rPr>
                <w:sz w:val="7"/>
                <w:szCs w:val="7"/>
                <w:color w:val="auto"/>
              </w:rPr>
            </w:pPr>
          </w:p>
        </w:tc>
        <w:tc>
          <w:tcPr>
            <w:tcW w:w="7840" w:type="dxa"/>
            <w:vAlign w:val="bottom"/>
            <w:tcBorders>
              <w:top w:val="single" w:sz="8" w:color="auto"/>
              <w:bottom w:val="single" w:sz="8" w:color="auto"/>
            </w:tcBorders>
          </w:tcPr>
          <w:p>
            <w:pPr>
              <w:spacing w:after="0"/>
              <w:rPr>
                <w:sz w:val="7"/>
                <w:szCs w:val="7"/>
                <w:color w:val="auto"/>
              </w:rPr>
            </w:pPr>
          </w:p>
        </w:tc>
        <w:tc>
          <w:tcPr>
            <w:tcW w:w="20" w:type="dxa"/>
            <w:vAlign w:val="bottom"/>
            <w:tcBorders>
              <w:top w:val="single" w:sz="8" w:color="auto"/>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5</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SOLE VOTING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NUMBER OF</w:t>
            </w:r>
          </w:p>
        </w:tc>
        <w:tc>
          <w:tcPr>
            <w:tcW w:w="700" w:type="dxa"/>
            <w:vAlign w:val="bottom"/>
            <w:tcBorders>
              <w:bottom w:val="single" w:sz="8" w:color="auto"/>
              <w:right w:val="single" w:sz="8" w:color="auto"/>
            </w:tcBorders>
          </w:tcPr>
          <w:p>
            <w:pPr>
              <w:spacing w:after="0"/>
              <w:rPr>
                <w:sz w:val="21"/>
                <w:szCs w:val="21"/>
                <w:color w:val="auto"/>
              </w:rPr>
            </w:pPr>
          </w:p>
        </w:tc>
        <w:tc>
          <w:tcPr>
            <w:tcW w:w="7840" w:type="dxa"/>
            <w:vAlign w:val="bottom"/>
            <w:tcBorders>
              <w:bottom w:val="single" w:sz="8" w:color="auto"/>
              <w:right w:val="single" w:sz="8" w:color="auto"/>
            </w:tcBorders>
            <w:vMerge w:val="continue"/>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SHARED VOTING POWER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6</w:t>
            </w:r>
          </w:p>
        </w:tc>
        <w:tc>
          <w:tcPr>
            <w:tcW w:w="7840" w:type="dxa"/>
            <w:vAlign w:val="bottom"/>
            <w:tcBorders>
              <w:right w:val="single" w:sz="8" w:color="auto"/>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vMerge w:val="continue"/>
          </w:tcPr>
          <w:p>
            <w:pPr>
              <w:spacing w:after="0"/>
              <w:rPr>
                <w:sz w:val="7"/>
                <w:szCs w:val="7"/>
                <w:color w:val="auto"/>
              </w:rPr>
            </w:pPr>
          </w:p>
        </w:tc>
        <w:tc>
          <w:tcPr>
            <w:tcW w:w="7840" w:type="dxa"/>
            <w:vAlign w:val="bottom"/>
            <w:tcBorders>
              <w:right w:val="single" w:sz="8" w:color="auto"/>
            </w:tcBorders>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BENEFICIALLY</w:t>
            </w:r>
          </w:p>
        </w:tc>
        <w:tc>
          <w:tcPr>
            <w:tcW w:w="700" w:type="dxa"/>
            <w:vAlign w:val="bottom"/>
            <w:tcBorders>
              <w:right w:val="single" w:sz="8" w:color="auto"/>
            </w:tcBorders>
            <w:vMerge w:val="continue"/>
          </w:tcPr>
          <w:p>
            <w:pPr>
              <w:spacing w:after="0"/>
              <w:rPr>
                <w:sz w:val="9"/>
                <w:szCs w:val="9"/>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4,493,261 (See Item 4(a))</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680" w:type="dxa"/>
            <w:vAlign w:val="bottom"/>
            <w:tcBorders>
              <w:right w:val="single" w:sz="8" w:color="auto"/>
            </w:tcBorders>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7840" w:type="dxa"/>
            <w:vAlign w:val="bottom"/>
            <w:tcBorders>
              <w:right w:val="single" w:sz="8" w:color="auto"/>
            </w:tcBorders>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OWNED BY</w:t>
            </w:r>
          </w:p>
        </w:tc>
        <w:tc>
          <w:tcPr>
            <w:tcW w:w="700" w:type="dxa"/>
            <w:vAlign w:val="bottom"/>
            <w:tcBorders>
              <w:bottom w:val="single" w:sz="8" w:color="auto"/>
              <w:right w:val="single" w:sz="8" w:color="auto"/>
            </w:tcBorders>
          </w:tcPr>
          <w:p>
            <w:pPr>
              <w:spacing w:after="0"/>
              <w:rPr>
                <w:sz w:val="11"/>
                <w:szCs w:val="11"/>
                <w:color w:val="auto"/>
              </w:rPr>
            </w:pPr>
          </w:p>
        </w:tc>
        <w:tc>
          <w:tcPr>
            <w:tcW w:w="7840" w:type="dxa"/>
            <w:vAlign w:val="bottom"/>
            <w:tcBorders>
              <w:bottom w:val="single" w:sz="8" w:color="auto"/>
              <w:right w:val="single" w:sz="8" w:color="auto"/>
            </w:tcBorders>
            <w:vMerge w:val="continue"/>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680" w:type="dxa"/>
            <w:vAlign w:val="bottom"/>
            <w:tcBorders>
              <w:right w:val="single" w:sz="8" w:color="auto"/>
            </w:tcBorders>
            <w:vMerge w:val="continue"/>
          </w:tcPr>
          <w:p>
            <w:pPr>
              <w:spacing w:after="0"/>
              <w:rPr>
                <w:sz w:val="6"/>
                <w:szCs w:val="6"/>
                <w:color w:val="auto"/>
              </w:rPr>
            </w:pPr>
          </w:p>
        </w:tc>
        <w:tc>
          <w:tcPr>
            <w:tcW w:w="700" w:type="dxa"/>
            <w:vAlign w:val="bottom"/>
            <w:tcBorders>
              <w:right w:val="single" w:sz="8" w:color="auto"/>
            </w:tcBorders>
          </w:tcPr>
          <w:p>
            <w:pPr>
              <w:spacing w:after="0"/>
              <w:rPr>
                <w:sz w:val="6"/>
                <w:szCs w:val="6"/>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
        </w:trPr>
        <w:tc>
          <w:tcPr>
            <w:tcW w:w="2680" w:type="dxa"/>
            <w:vAlign w:val="bottom"/>
            <w:tcBorders>
              <w:right w:val="single" w:sz="8" w:color="auto"/>
            </w:tcBorders>
            <w:vMerge w:val="continue"/>
          </w:tcPr>
          <w:p>
            <w:pPr>
              <w:spacing w:after="0"/>
              <w:rPr>
                <w:sz w:val="5"/>
                <w:szCs w:val="5"/>
                <w:color w:val="auto"/>
              </w:rPr>
            </w:pPr>
          </w:p>
        </w:tc>
        <w:tc>
          <w:tcPr>
            <w:tcW w:w="700" w:type="dxa"/>
            <w:vAlign w:val="bottom"/>
            <w:tcBorders>
              <w:right w:val="single" w:sz="8" w:color="auto"/>
            </w:tcBorders>
            <w:vMerge w:val="continue"/>
          </w:tcPr>
          <w:p>
            <w:pPr>
              <w:spacing w:after="0"/>
              <w:rPr>
                <w:sz w:val="5"/>
                <w:szCs w:val="5"/>
                <w:color w:val="auto"/>
              </w:rPr>
            </w:pPr>
          </w:p>
        </w:tc>
        <w:tc>
          <w:tcPr>
            <w:tcW w:w="784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4"/>
        </w:trPr>
        <w:tc>
          <w:tcPr>
            <w:tcW w:w="2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REPORTING</w:t>
            </w:r>
          </w:p>
        </w:tc>
        <w:tc>
          <w:tcPr>
            <w:tcW w:w="700" w:type="dxa"/>
            <w:vAlign w:val="bottom"/>
            <w:tcBorders>
              <w:right w:val="single" w:sz="8" w:color="auto"/>
            </w:tcBorders>
            <w:vMerge w:val="continue"/>
          </w:tcPr>
          <w:p>
            <w:pPr>
              <w:spacing w:after="0"/>
              <w:rPr>
                <w:sz w:val="11"/>
                <w:szCs w:val="11"/>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680" w:type="dxa"/>
            <w:vAlign w:val="bottom"/>
            <w:tcBorders>
              <w:right w:val="single" w:sz="8" w:color="auto"/>
            </w:tcBorders>
            <w:vMerge w:val="continue"/>
          </w:tcPr>
          <w:p>
            <w:pPr>
              <w:spacing w:after="0"/>
              <w:rPr>
                <w:sz w:val="7"/>
                <w:szCs w:val="7"/>
                <w:color w:val="auto"/>
              </w:rPr>
            </w:pPr>
          </w:p>
        </w:tc>
        <w:tc>
          <w:tcPr>
            <w:tcW w:w="700" w:type="dxa"/>
            <w:vAlign w:val="bottom"/>
            <w:tcBorders>
              <w:right w:val="single" w:sz="8" w:color="auto"/>
            </w:tcBorders>
          </w:tcPr>
          <w:p>
            <w:pPr>
              <w:spacing w:after="0"/>
              <w:rPr>
                <w:sz w:val="7"/>
                <w:szCs w:val="7"/>
                <w:color w:val="auto"/>
              </w:rPr>
            </w:pPr>
          </w:p>
        </w:tc>
        <w:tc>
          <w:tcPr>
            <w:tcW w:w="784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680" w:type="dxa"/>
            <w:vAlign w:val="bottom"/>
            <w:tcBorders>
              <w:right w:val="single" w:sz="8" w:color="auto"/>
            </w:tcBorders>
          </w:tcPr>
          <w:p>
            <w:pPr>
              <w:jc w:val="center"/>
              <w:spacing w:after="0" w:line="160" w:lineRule="exact"/>
              <w:rPr>
                <w:sz w:val="20"/>
                <w:szCs w:val="20"/>
                <w:color w:val="auto"/>
              </w:rPr>
            </w:pPr>
            <w:r>
              <w:rPr>
                <w:rFonts w:ascii="Times New Roman" w:cs="Times New Roman" w:eastAsia="Times New Roman" w:hAnsi="Times New Roman"/>
                <w:sz w:val="18"/>
                <w:szCs w:val="18"/>
                <w:color w:val="auto"/>
                <w:w w:val="97"/>
              </w:rPr>
              <w:t>PERSON WITH</w:t>
            </w:r>
          </w:p>
        </w:tc>
        <w:tc>
          <w:tcPr>
            <w:tcW w:w="700" w:type="dxa"/>
            <w:vAlign w:val="bottom"/>
            <w:tcBorders>
              <w:bottom w:val="single" w:sz="8" w:color="auto"/>
              <w:right w:val="single" w:sz="8" w:color="auto"/>
            </w:tcBorders>
          </w:tcPr>
          <w:p>
            <w:pPr>
              <w:spacing w:after="0"/>
              <w:rPr>
                <w:sz w:val="13"/>
                <w:szCs w:val="13"/>
                <w:color w:val="auto"/>
              </w:rPr>
            </w:pPr>
          </w:p>
        </w:tc>
        <w:tc>
          <w:tcPr>
            <w:tcW w:w="7840" w:type="dxa"/>
            <w:vAlign w:val="bottom"/>
            <w:tcBorders>
              <w:bottom w:val="single" w:sz="8" w:color="auto"/>
              <w:right w:val="single" w:sz="8" w:color="auto"/>
            </w:tcBorders>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28"/>
        </w:trPr>
        <w:tc>
          <w:tcPr>
            <w:tcW w:w="2680" w:type="dxa"/>
            <w:vAlign w:val="bottom"/>
            <w:tcBorders>
              <w:right w:val="single" w:sz="8" w:color="auto"/>
            </w:tcBorders>
          </w:tcPr>
          <w:p>
            <w:pPr>
              <w:spacing w:after="0"/>
              <w:rPr>
                <w:sz w:val="19"/>
                <w:szCs w:val="19"/>
                <w:color w:val="auto"/>
              </w:rPr>
            </w:pPr>
          </w:p>
        </w:tc>
        <w:tc>
          <w:tcPr>
            <w:tcW w:w="700" w:type="dxa"/>
            <w:vAlign w:val="bottom"/>
            <w:tcBorders>
              <w:right w:val="single" w:sz="8" w:color="auto"/>
            </w:tcBorders>
            <w:vMerge w:val="restart"/>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8</w:t>
            </w:r>
          </w:p>
        </w:tc>
        <w:tc>
          <w:tcPr>
            <w:tcW w:w="78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680" w:type="dxa"/>
            <w:vAlign w:val="bottom"/>
            <w:tcBorders>
              <w:right w:val="single" w:sz="8" w:color="auto"/>
            </w:tcBorders>
          </w:tcPr>
          <w:p>
            <w:pPr>
              <w:spacing w:after="0"/>
              <w:rPr>
                <w:sz w:val="17"/>
                <w:szCs w:val="17"/>
                <w:color w:val="auto"/>
              </w:rPr>
            </w:pPr>
          </w:p>
        </w:tc>
        <w:tc>
          <w:tcPr>
            <w:tcW w:w="700" w:type="dxa"/>
            <w:vAlign w:val="bottom"/>
            <w:tcBorders>
              <w:right w:val="single" w:sz="8" w:color="auto"/>
            </w:tcBorders>
            <w:vMerge w:val="continue"/>
          </w:tcPr>
          <w:p>
            <w:pPr>
              <w:spacing w:after="0"/>
              <w:rPr>
                <w:sz w:val="17"/>
                <w:szCs w:val="17"/>
                <w:color w:val="auto"/>
              </w:rPr>
            </w:pPr>
          </w:p>
        </w:tc>
        <w:tc>
          <w:tcPr>
            <w:tcW w:w="78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4,493,261 (See Item 4(a))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680" w:type="dxa"/>
            <w:vAlign w:val="bottom"/>
            <w:tcBorders>
              <w:bottom w:val="single" w:sz="8" w:color="auto"/>
              <w:right w:val="single" w:sz="8" w:color="auto"/>
            </w:tcBorders>
          </w:tcPr>
          <w:p>
            <w:pPr>
              <w:spacing w:after="0"/>
              <w:rPr>
                <w:sz w:val="22"/>
                <w:szCs w:val="22"/>
                <w:color w:val="auto"/>
              </w:rPr>
            </w:pPr>
          </w:p>
        </w:tc>
        <w:tc>
          <w:tcPr>
            <w:tcW w:w="700" w:type="dxa"/>
            <w:vAlign w:val="bottom"/>
            <w:tcBorders>
              <w:bottom w:val="single" w:sz="8" w:color="auto"/>
              <w:right w:val="single" w:sz="8" w:color="auto"/>
            </w:tcBorders>
          </w:tcPr>
          <w:p>
            <w:pPr>
              <w:spacing w:after="0"/>
              <w:rPr>
                <w:sz w:val="22"/>
                <w:szCs w:val="22"/>
                <w:color w:val="auto"/>
              </w:rPr>
            </w:pPr>
          </w:p>
        </w:tc>
        <w:tc>
          <w:tcPr>
            <w:tcW w:w="7840" w:type="dxa"/>
            <w:vAlign w:val="bottom"/>
            <w:tcBorders>
              <w:bottom w:val="single" w:sz="8" w:color="auto"/>
              <w:right w:val="single" w:sz="8" w:color="auto"/>
            </w:tcBorders>
            <w:vMerge w:val="continue"/>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p>
      <w:pPr>
        <w:spacing w:after="0" w:line="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b w:val="1"/>
          <w:bCs w:val="1"/>
          <w:color w:val="auto"/>
        </w:rPr>
        <w:t>9</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4,493,261 (See Item 4(a))</w:t>
      </w:r>
    </w:p>
    <w:p>
      <w:pPr>
        <w:spacing w:after="0" w:line="37"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10</w:t>
      </w:r>
    </w:p>
    <w:p>
      <w:pPr>
        <w:spacing w:after="0" w:line="9" w:lineRule="exact"/>
        <w:rPr>
          <w:sz w:val="20"/>
          <w:szCs w:val="20"/>
          <w:color w:val="auto"/>
        </w:rPr>
      </w:pPr>
    </w:p>
    <w:p>
      <w:pPr>
        <w:ind w:left="680"/>
        <w:spacing w:after="0"/>
        <w:rPr>
          <w:sz w:val="20"/>
          <w:szCs w:val="20"/>
          <w:color w:val="auto"/>
        </w:rPr>
      </w:pPr>
      <w:r>
        <w:rPr>
          <w:rFonts w:ascii="Wingdings" w:cs="Wingdings" w:eastAsia="Wingdings" w:hAnsi="Wingdings"/>
          <w:sz w:val="18"/>
          <w:szCs w:val="18"/>
          <w:b w:val="1"/>
          <w:bCs w:val="1"/>
          <w:color w:val="auto"/>
        </w:rPr>
        <w:t>o</w:t>
      </w:r>
    </w:p>
    <w:p>
      <w:pPr>
        <w:spacing w:after="0" w:line="4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11</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4.97%</w:t>
      </w:r>
    </w:p>
    <w:p>
      <w:pPr>
        <w:spacing w:after="0" w:line="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TYPE OF REPORTING PERSON</w:t>
      </w:r>
    </w:p>
    <w:p>
      <w:pPr>
        <w:spacing w:after="0" w:line="2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12</w:t>
      </w:r>
    </w:p>
    <w:p>
      <w:pPr>
        <w:spacing w:after="0" w:line="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IN</w:t>
      </w:r>
    </w:p>
    <w:p>
      <w:pPr>
        <w:sectPr>
          <w:pgSz w:w="11900" w:h="16838" w:orient="portrait"/>
          <w:cols w:equalWidth="0" w:num="1">
            <w:col w:w="11240"/>
          </w:cols>
          <w:pgMar w:left="320" w:top="54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62855J104</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w:t>
      </w:r>
    </w:p>
    <w:p>
      <w:pPr>
        <w:spacing w:after="0" w:line="21" w:lineRule="exact"/>
        <w:rPr>
          <w:sz w:val="20"/>
          <w:szCs w:val="20"/>
          <w:color w:val="auto"/>
        </w:rPr>
      </w:pPr>
    </w:p>
    <w:p>
      <w:pPr>
        <w:ind w:left="1580" w:right="8080" w:hanging="465"/>
        <w:spacing w:after="0" w:line="501" w:lineRule="auto"/>
        <w:tabs>
          <w:tab w:leader="none" w:pos="1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Name of Issuer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7"/>
          <w:szCs w:val="17"/>
          <w:color w:val="auto"/>
        </w:rPr>
        <w:t>Myriad Genetics, Inc.</w:t>
      </w:r>
    </w:p>
    <w:p>
      <w:pPr>
        <w:ind w:left="1580" w:hanging="465"/>
        <w:spacing w:after="0"/>
        <w:tabs>
          <w:tab w:leader="none" w:pos="15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Issuer’s Principal Executive Offices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322 North 2200 West</w:t>
      </w:r>
    </w:p>
    <w:p>
      <w:pPr>
        <w:spacing w:after="0" w:line="2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Salt Lake City, Utah 84116</w:t>
      </w:r>
    </w:p>
    <w:p>
      <w:pPr>
        <w:spacing w:after="0" w:line="211" w:lineRule="exact"/>
        <w:rPr>
          <w:sz w:val="20"/>
          <w:szCs w:val="20"/>
          <w:color w:val="auto"/>
        </w:rPr>
      </w:pPr>
    </w:p>
    <w:p>
      <w:pPr>
        <w:spacing w:after="0"/>
        <w:tabs>
          <w:tab w:leader="none" w:pos="1100" w:val="left"/>
          <w:tab w:leader="none" w:pos="1560" w:val="left"/>
        </w:tabs>
        <w:rPr>
          <w:sz w:val="20"/>
          <w:szCs w:val="20"/>
          <w:color w:val="auto"/>
        </w:rPr>
      </w:pPr>
      <w:r>
        <w:rPr>
          <w:rFonts w:ascii="Times New Roman" w:cs="Times New Roman" w:eastAsia="Times New Roman" w:hAnsi="Times New Roman"/>
          <w:sz w:val="18"/>
          <w:szCs w:val="18"/>
          <w:u w:val="single" w:color="auto"/>
          <w:color w:val="auto"/>
        </w:rPr>
        <w:t>Item 2.</w:t>
      </w:r>
      <w:r>
        <w:rPr>
          <w:sz w:val="20"/>
          <w:szCs w:val="20"/>
          <w:color w:val="auto"/>
        </w:rPr>
        <w:tab/>
      </w:r>
      <w:r>
        <w:rPr>
          <w:rFonts w:ascii="Times New Roman" w:cs="Times New Roman" w:eastAsia="Times New Roman" w:hAnsi="Times New Roman"/>
          <w:sz w:val="18"/>
          <w:szCs w:val="18"/>
          <w:color w:val="auto"/>
        </w:rPr>
        <w:t>(a)</w:t>
      </w:r>
      <w:r>
        <w:rPr>
          <w:sz w:val="20"/>
          <w:szCs w:val="20"/>
          <w:color w:val="auto"/>
        </w:rPr>
        <w:tab/>
      </w:r>
      <w:r>
        <w:rPr>
          <w:rFonts w:ascii="Times New Roman" w:cs="Times New Roman" w:eastAsia="Times New Roman" w:hAnsi="Times New Roman"/>
          <w:sz w:val="16"/>
          <w:szCs w:val="16"/>
          <w:u w:val="single" w:color="auto"/>
          <w:color w:val="auto"/>
        </w:rPr>
        <w:t>Name of Person Filing</w:t>
      </w:r>
      <w:r>
        <w:rPr>
          <w:rFonts w:ascii="Times New Roman" w:cs="Times New Roman" w:eastAsia="Times New Roman" w:hAnsi="Times New Roman"/>
          <w:sz w:val="16"/>
          <w:szCs w:val="16"/>
          <w:color w:val="auto"/>
        </w:rPr>
        <w:t>:</w:t>
      </w:r>
    </w:p>
    <w:p>
      <w:pPr>
        <w:spacing w:after="0" w:line="21" w:lineRule="exact"/>
        <w:rPr>
          <w:sz w:val="20"/>
          <w:szCs w:val="20"/>
          <w:color w:val="auto"/>
        </w:rPr>
      </w:pPr>
    </w:p>
    <w:p>
      <w:pPr>
        <w:ind w:left="1580" w:hanging="465"/>
        <w:spacing w:after="0"/>
        <w:tabs>
          <w:tab w:leader="none" w:pos="1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of Principal Business Office</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1580" w:hanging="465"/>
        <w:spacing w:after="0"/>
        <w:tabs>
          <w:tab w:leader="none" w:pos="1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Citizenship</w:t>
      </w:r>
      <w:r>
        <w:rPr>
          <w:rFonts w:ascii="Times New Roman" w:cs="Times New Roman" w:eastAsia="Times New Roman" w:hAnsi="Times New Roman"/>
          <w:sz w:val="18"/>
          <w:szCs w:val="18"/>
          <w:color w:val="auto"/>
        </w:rPr>
        <w:t>:</w:t>
      </w:r>
    </w:p>
    <w:p>
      <w:pPr>
        <w:spacing w:after="0" w:line="212" w:lineRule="exact"/>
        <w:rPr>
          <w:rFonts w:ascii="Times New Roman" w:cs="Times New Roman" w:eastAsia="Times New Roman" w:hAnsi="Times New Roman"/>
          <w:sz w:val="18"/>
          <w:szCs w:val="18"/>
          <w:color w:val="auto"/>
        </w:rPr>
      </w:pPr>
    </w:p>
    <w:p>
      <w:pPr>
        <w:ind w:left="1580" w:right="70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Integrated Core Strategies (US) LLC c/o Millennium Management LLC 399 Park Avenue</w:t>
      </w:r>
    </w:p>
    <w:p>
      <w:pPr>
        <w:ind w:left="1580" w:right="764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Delaware</w:t>
      </w:r>
    </w:p>
    <w:p>
      <w:pPr>
        <w:spacing w:after="0" w:line="140" w:lineRule="exact"/>
        <w:rPr>
          <w:rFonts w:ascii="Times New Roman" w:cs="Times New Roman" w:eastAsia="Times New Roman" w:hAnsi="Times New Roman"/>
          <w:sz w:val="18"/>
          <w:szCs w:val="18"/>
          <w:color w:val="auto"/>
        </w:rPr>
      </w:pPr>
    </w:p>
    <w:p>
      <w:pPr>
        <w:ind w:left="1580" w:right="748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Management LLC 399 Park Avenue</w:t>
      </w:r>
    </w:p>
    <w:p>
      <w:pPr>
        <w:spacing w:after="0" w:line="1" w:lineRule="exact"/>
        <w:rPr>
          <w:rFonts w:ascii="Times New Roman" w:cs="Times New Roman" w:eastAsia="Times New Roman" w:hAnsi="Times New Roman"/>
          <w:sz w:val="18"/>
          <w:szCs w:val="18"/>
          <w:color w:val="auto"/>
        </w:rPr>
      </w:pPr>
    </w:p>
    <w:p>
      <w:pPr>
        <w:ind w:left="1580" w:right="764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Delaware</w:t>
      </w:r>
    </w:p>
    <w:p>
      <w:pPr>
        <w:spacing w:after="0" w:line="140" w:lineRule="exact"/>
        <w:rPr>
          <w:rFonts w:ascii="Times New Roman" w:cs="Times New Roman" w:eastAsia="Times New Roman" w:hAnsi="Times New Roman"/>
          <w:sz w:val="18"/>
          <w:szCs w:val="18"/>
          <w:color w:val="auto"/>
        </w:rPr>
      </w:pPr>
    </w:p>
    <w:p>
      <w:pPr>
        <w:ind w:left="1580" w:right="700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Millennium Group Management LLC 399 Park Avenue</w:t>
      </w:r>
    </w:p>
    <w:p>
      <w:pPr>
        <w:spacing w:after="0" w:line="1" w:lineRule="exact"/>
        <w:rPr>
          <w:rFonts w:ascii="Times New Roman" w:cs="Times New Roman" w:eastAsia="Times New Roman" w:hAnsi="Times New Roman"/>
          <w:sz w:val="18"/>
          <w:szCs w:val="18"/>
          <w:color w:val="auto"/>
        </w:rPr>
      </w:pPr>
    </w:p>
    <w:p>
      <w:pPr>
        <w:ind w:left="1580" w:right="764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Delaware</w:t>
      </w:r>
    </w:p>
    <w:p>
      <w:pPr>
        <w:spacing w:after="0" w:line="140"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Israel A. Englander</w:t>
      </w:r>
    </w:p>
    <w:p>
      <w:pPr>
        <w:spacing w:after="0" w:line="21" w:lineRule="exact"/>
        <w:rPr>
          <w:rFonts w:ascii="Times New Roman" w:cs="Times New Roman" w:eastAsia="Times New Roman" w:hAnsi="Times New Roman"/>
          <w:sz w:val="18"/>
          <w:szCs w:val="18"/>
          <w:color w:val="auto"/>
        </w:rPr>
      </w:pPr>
    </w:p>
    <w:p>
      <w:pPr>
        <w:ind w:left="1580" w:right="722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Millennium Management LLC 399 Park Avenue</w:t>
      </w:r>
    </w:p>
    <w:p>
      <w:pPr>
        <w:ind w:left="1580" w:right="7640"/>
        <w:spacing w:after="0" w:line="32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6"/>
          <w:szCs w:val="16"/>
          <w:color w:val="auto"/>
        </w:rPr>
        <w:t>New York, New York 10022 Citizenship: United States</w:t>
      </w:r>
    </w:p>
    <w:p>
      <w:pPr>
        <w:spacing w:after="0" w:line="140" w:lineRule="exact"/>
        <w:rPr>
          <w:rFonts w:ascii="Times New Roman" w:cs="Times New Roman" w:eastAsia="Times New Roman" w:hAnsi="Times New Roman"/>
          <w:sz w:val="18"/>
          <w:szCs w:val="18"/>
          <w:color w:val="auto"/>
        </w:rPr>
      </w:pPr>
    </w:p>
    <w:p>
      <w:pPr>
        <w:ind w:left="1580" w:hanging="465"/>
        <w:spacing w:after="0"/>
        <w:tabs>
          <w:tab w:leader="none" w:pos="1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Title of Class of Securities</w:t>
      </w:r>
      <w:r>
        <w:rPr>
          <w:rFonts w:ascii="Times New Roman" w:cs="Times New Roman" w:eastAsia="Times New Roman" w:hAnsi="Times New Roman"/>
          <w:sz w:val="18"/>
          <w:szCs w:val="18"/>
          <w:color w:val="auto"/>
        </w:rPr>
        <w:t>:</w:t>
      </w:r>
    </w:p>
    <w:p>
      <w:pPr>
        <w:spacing w:after="0" w:line="238" w:lineRule="exact"/>
        <w:rPr>
          <w:rFonts w:ascii="Times New Roman" w:cs="Times New Roman" w:eastAsia="Times New Roman" w:hAnsi="Times New Roman"/>
          <w:sz w:val="18"/>
          <w:szCs w:val="18"/>
          <w:color w:val="auto"/>
        </w:rPr>
      </w:pPr>
    </w:p>
    <w:p>
      <w:pPr>
        <w:ind w:left="1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par value $0.01 per share ("Common Stock")</w:t>
      </w:r>
    </w:p>
    <w:p>
      <w:pPr>
        <w:spacing w:after="0" w:line="252" w:lineRule="exact"/>
        <w:rPr>
          <w:rFonts w:ascii="Times New Roman" w:cs="Times New Roman" w:eastAsia="Times New Roman" w:hAnsi="Times New Roman"/>
          <w:sz w:val="18"/>
          <w:szCs w:val="18"/>
          <w:color w:val="auto"/>
        </w:rPr>
      </w:pPr>
    </w:p>
    <w:p>
      <w:pPr>
        <w:ind w:left="1580" w:right="8480" w:hanging="465"/>
        <w:spacing w:after="0" w:line="639" w:lineRule="auto"/>
        <w:tabs>
          <w:tab w:leader="none" w:pos="158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 xml:space="preserve">CUSIP Number: </w:t>
      </w:r>
      <w:r>
        <w:rPr>
          <w:rFonts w:ascii="Times New Roman" w:cs="Times New Roman" w:eastAsia="Times New Roman" w:hAnsi="Times New Roman"/>
          <w:sz w:val="16"/>
          <w:szCs w:val="16"/>
          <w:color w:val="auto"/>
        </w:rPr>
        <w:t>62855J104</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3. If this statement is filed pursuant to Rule 13d-1(b), or 13d-2(b), check whether the person filing is a:</w:t>
      </w:r>
    </w:p>
    <w:p>
      <w:pPr>
        <w:spacing w:after="0" w:line="198" w:lineRule="exact"/>
        <w:rPr>
          <w:sz w:val="20"/>
          <w:szCs w:val="20"/>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Broker or dealer registered under section 15 of the Act (15 U.S.C. 78o);</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Bank as defined in section 3(a)(6) of the Act (15 U.S.C. 78c);</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Insurance company as defined in section 3(a)(19) of the Act (15 U.S.C. 78c);</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Investment company registered under section 8 of the Investment Company Act of 1940 (15 U.S.C. 80a-8);</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investment adviser in accordance with §240.13d-1(b)(1)(ii)(E);</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2"/>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An employee benefit plan or endowment fund in accordance with §240.13d-1(b)(1)(ii)(F);</w:t>
      </w:r>
    </w:p>
    <w:p>
      <w:pPr>
        <w:sectPr>
          <w:pgSz w:w="11900" w:h="16838" w:orient="portrait"/>
          <w:cols w:equalWidth="0" w:num="1">
            <w:col w:w="11240"/>
          </w:cols>
          <w:pgMar w:left="320" w:top="332"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62855J104</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8" w:lineRule="exact"/>
        <w:rPr>
          <w:sz w:val="20"/>
          <w:szCs w:val="20"/>
          <w:color w:val="auto"/>
        </w:rPr>
      </w:pPr>
    </w:p>
    <w:p>
      <w:pPr>
        <w:ind w:left="920" w:hanging="453"/>
        <w:spacing w:after="0"/>
        <w:tabs>
          <w:tab w:leader="none" w:pos="92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parent holding company or control person in accordance with §240.13d-1(b)(1)(ii)(G);</w:t>
      </w:r>
    </w:p>
    <w:p>
      <w:pPr>
        <w:spacing w:after="0" w:line="225"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savings association as defined in Section 3(b) of the Federal Deposit Insurance Act (12 U.S.C. 1813);</w:t>
      </w:r>
    </w:p>
    <w:p>
      <w:pPr>
        <w:spacing w:after="0" w:line="225" w:lineRule="exact"/>
        <w:rPr>
          <w:rFonts w:ascii="Times New Roman" w:cs="Times New Roman" w:eastAsia="Times New Roman" w:hAnsi="Times New Roman"/>
          <w:sz w:val="18"/>
          <w:szCs w:val="18"/>
          <w:color w:val="auto"/>
        </w:rPr>
      </w:pPr>
    </w:p>
    <w:p>
      <w:pPr>
        <w:ind w:left="1360" w:right="380" w:hanging="893"/>
        <w:spacing w:after="0" w:line="275" w:lineRule="auto"/>
        <w:tabs>
          <w:tab w:leader="none" w:pos="928"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A church plan that is excluded from the definition of an investment company under section 3(c)(14) of the Investment Company Act of</w:t>
      </w:r>
      <w:r>
        <w:rPr>
          <w:rFonts w:ascii="Wingdings" w:cs="Wingdings" w:eastAsia="Wingdings" w:hAnsi="Wingdings"/>
          <w:sz w:val="18"/>
          <w:szCs w:val="18"/>
          <w:b w:val="1"/>
          <w:bCs w:val="1"/>
          <w:color w:val="auto"/>
        </w:rPr>
        <w:t xml:space="preserve"> </w:t>
      </w:r>
      <w:r>
        <w:rPr>
          <w:rFonts w:ascii="Times New Roman" w:cs="Times New Roman" w:eastAsia="Times New Roman" w:hAnsi="Times New Roman"/>
          <w:sz w:val="18"/>
          <w:szCs w:val="18"/>
          <w:color w:val="auto"/>
        </w:rPr>
        <w:t>1940 (15 U.S.C. 80a-3);</w:t>
      </w:r>
    </w:p>
    <w:p>
      <w:pPr>
        <w:spacing w:after="0" w:line="173" w:lineRule="exact"/>
        <w:rPr>
          <w:rFonts w:ascii="Times New Roman" w:cs="Times New Roman" w:eastAsia="Times New Roman" w:hAnsi="Times New Roman"/>
          <w:sz w:val="18"/>
          <w:szCs w:val="18"/>
          <w:color w:val="auto"/>
        </w:rPr>
      </w:pPr>
    </w:p>
    <w:p>
      <w:pPr>
        <w:ind w:left="920" w:hanging="453"/>
        <w:spacing w:after="0"/>
        <w:tabs>
          <w:tab w:leader="none" w:pos="920" w:val="left"/>
        </w:tabs>
        <w:numPr>
          <w:ilvl w:val="0"/>
          <w:numId w:val="13"/>
        </w:numPr>
        <w:rPr>
          <w:rFonts w:ascii="Times New Roman" w:cs="Times New Roman" w:eastAsia="Times New Roman" w:hAnsi="Times New Roman"/>
          <w:sz w:val="18"/>
          <w:szCs w:val="18"/>
          <w:color w:val="auto"/>
        </w:rPr>
      </w:pPr>
      <w:r>
        <w:rPr>
          <w:rFonts w:ascii="Wingdings" w:cs="Wingdings" w:eastAsia="Wingdings" w:hAnsi="Wingdings"/>
          <w:sz w:val="18"/>
          <w:szCs w:val="18"/>
          <w:b w:val="1"/>
          <w:bCs w:val="1"/>
          <w:color w:val="auto"/>
        </w:rPr>
        <w:t xml:space="preserve">o  </w:t>
      </w:r>
      <w:r>
        <w:rPr>
          <w:rFonts w:ascii="Times New Roman" w:cs="Times New Roman" w:eastAsia="Times New Roman" w:hAnsi="Times New Roman"/>
          <w:sz w:val="18"/>
          <w:szCs w:val="18"/>
          <w:color w:val="auto"/>
        </w:rPr>
        <w:t>Group, in accordance with §240.13d-1(b)(1)(ii)(J).</w:t>
      </w:r>
    </w:p>
    <w:p>
      <w:pPr>
        <w:spacing w:after="0" w:line="200" w:lineRule="exact"/>
        <w:rPr>
          <w:sz w:val="20"/>
          <w:szCs w:val="20"/>
          <w:color w:val="auto"/>
        </w:rPr>
      </w:pPr>
    </w:p>
    <w:p>
      <w:pPr>
        <w:spacing w:after="0" w:line="3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3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See response to Item 9 on each cover page.</w:t>
      </w:r>
    </w:p>
    <w:p>
      <w:pPr>
        <w:spacing w:after="0" w:line="185" w:lineRule="exact"/>
        <w:rPr>
          <w:sz w:val="20"/>
          <w:szCs w:val="20"/>
          <w:color w:val="auto"/>
        </w:rPr>
      </w:pPr>
    </w:p>
    <w:p>
      <w:pPr>
        <w:ind w:firstLine="162"/>
        <w:spacing w:after="0" w:line="275" w:lineRule="auto"/>
        <w:rPr>
          <w:sz w:val="20"/>
          <w:szCs w:val="20"/>
          <w:color w:val="auto"/>
        </w:rPr>
      </w:pPr>
      <w:r>
        <w:rPr>
          <w:rFonts w:ascii="Times New Roman" w:cs="Times New Roman" w:eastAsia="Times New Roman" w:hAnsi="Times New Roman"/>
          <w:sz w:val="18"/>
          <w:szCs w:val="18"/>
          <w:color w:val="auto"/>
        </w:rPr>
        <w:t>After acquiring beneficial ownership of more than 5% of the outstanding Common Stock on April 17, 2024, the reporting persons ceased to be beneficial owners of more than 5% of the outstanding Common Stock by the date of this filing.</w:t>
      </w:r>
    </w:p>
    <w:p>
      <w:pPr>
        <w:spacing w:after="0" w:line="200" w:lineRule="exact"/>
        <w:rPr>
          <w:sz w:val="20"/>
          <w:szCs w:val="20"/>
          <w:color w:val="auto"/>
        </w:rPr>
      </w:pPr>
    </w:p>
    <w:p>
      <w:pPr>
        <w:spacing w:after="0" w:line="33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See response to Item 11 on each cover page.</w:t>
      </w:r>
    </w:p>
    <w:p>
      <w:pPr>
        <w:spacing w:after="0" w:line="185" w:lineRule="exact"/>
        <w:rPr>
          <w:sz w:val="20"/>
          <w:szCs w:val="20"/>
          <w:color w:val="auto"/>
        </w:rPr>
      </w:pPr>
    </w:p>
    <w:p>
      <w:pPr>
        <w:ind w:left="300" w:hanging="248"/>
        <w:spacing w:after="0"/>
        <w:tabs>
          <w:tab w:leader="none" w:pos="300" w:val="left"/>
        </w:tabs>
        <w:numPr>
          <w:ilvl w:val="0"/>
          <w:numId w:val="1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Number of shares as to which such person has:</w:t>
      </w:r>
    </w:p>
    <w:p>
      <w:pPr>
        <w:spacing w:after="0" w:line="184" w:lineRule="exact"/>
        <w:rPr>
          <w:rFonts w:ascii="Times New Roman" w:cs="Times New Roman" w:eastAsia="Times New Roman" w:hAnsi="Times New Roman"/>
          <w:sz w:val="18"/>
          <w:szCs w:val="18"/>
          <w:u w:val="single" w:color="auto"/>
          <w:color w:val="auto"/>
        </w:rPr>
      </w:pPr>
    </w:p>
    <w:p>
      <w:pPr>
        <w:ind w:left="680" w:right="7540" w:hanging="132"/>
        <w:spacing w:after="0" w:line="586" w:lineRule="auto"/>
        <w:tabs>
          <w:tab w:leader="none" w:pos="758" w:val="left"/>
        </w:tabs>
        <w:numPr>
          <w:ilvl w:val="1"/>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Sole power to vote or to direct the vote See response to Item 5 on each cover page.</w:t>
      </w:r>
    </w:p>
    <w:p>
      <w:pPr>
        <w:sectPr>
          <w:pgSz w:w="11900" w:h="16838" w:orient="portrait"/>
          <w:cols w:equalWidth="0" w:num="1">
            <w:col w:w="11240"/>
          </w:cols>
          <w:pgMar w:left="320" w:top="332"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62855J104</w:t>
            </w:r>
          </w:p>
        </w:tc>
        <w:tc>
          <w:tcPr>
            <w:tcW w:w="4580" w:type="dxa"/>
            <w:vAlign w:val="bottom"/>
          </w:tcPr>
          <w:p>
            <w:pPr>
              <w:ind w:left="218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6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8</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58" w:lineRule="exact"/>
        <w:rPr>
          <w:sz w:val="20"/>
          <w:szCs w:val="20"/>
          <w:color w:val="auto"/>
        </w:rPr>
      </w:pPr>
    </w:p>
    <w:p>
      <w:pPr>
        <w:jc w:val="both"/>
        <w:ind w:left="680" w:right="7520" w:hanging="132"/>
        <w:spacing w:after="0" w:line="519" w:lineRule="auto"/>
        <w:tabs>
          <w:tab w:leader="none" w:pos="807"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Shared power to vote or to direct the vote See response to Item 6 on each cover page.</w:t>
      </w:r>
    </w:p>
    <w:p>
      <w:pPr>
        <w:ind w:left="680" w:right="6760" w:hanging="132"/>
        <w:spacing w:after="0" w:line="453" w:lineRule="auto"/>
        <w:tabs>
          <w:tab w:leader="none" w:pos="8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See response to Item 7 on each cover page.</w:t>
      </w:r>
    </w:p>
    <w:p>
      <w:pPr>
        <w:spacing w:after="0" w:line="1" w:lineRule="exact"/>
        <w:rPr>
          <w:rFonts w:ascii="Times New Roman" w:cs="Times New Roman" w:eastAsia="Times New Roman" w:hAnsi="Times New Roman"/>
          <w:sz w:val="18"/>
          <w:szCs w:val="18"/>
          <w:color w:val="auto"/>
        </w:rPr>
      </w:pPr>
    </w:p>
    <w:p>
      <w:pPr>
        <w:ind w:left="680" w:right="6600" w:hanging="132"/>
        <w:spacing w:after="0" w:line="461" w:lineRule="auto"/>
        <w:tabs>
          <w:tab w:leader="none" w:pos="84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See response to Item 8 on each cover page.</w:t>
      </w:r>
    </w:p>
    <w:p>
      <w:pPr>
        <w:spacing w:after="0" w:line="1" w:lineRule="exact"/>
        <w:rPr>
          <w:sz w:val="20"/>
          <w:szCs w:val="20"/>
          <w:color w:val="auto"/>
        </w:rPr>
      </w:pPr>
    </w:p>
    <w:p>
      <w:pPr>
        <w:jc w:val="both"/>
        <w:ind w:firstLine="134"/>
        <w:spacing w:after="0" w:line="260" w:lineRule="auto"/>
        <w:rPr>
          <w:sz w:val="20"/>
          <w:szCs w:val="20"/>
          <w:color w:val="auto"/>
        </w:rPr>
      </w:pPr>
      <w:r>
        <w:rPr>
          <w:rFonts w:ascii="Times New Roman" w:cs="Times New Roman" w:eastAsia="Times New Roman" w:hAnsi="Times New Roman"/>
          <w:sz w:val="18"/>
          <w:szCs w:val="18"/>
          <w:color w:val="auto"/>
        </w:rPr>
        <w:t>The securities disclosed herein as potentially beneficially owned by Millennium Management LLC, Millennium Group Management LLC and Mr. Englander are held by entities subject to voting control and investment discretion by Millennium Management LLC and/or other investment managers that may be controlled by Millennium Group Management LLC (the managing member of Millennium Management LLC) and Mr. Englander (the sole voting trustee of the managing member of Millennium Group Management LLC). The foregoing should not be construed in and of itself as an admission by Millennium Management LLC, Millennium Group Management LLC or Mr. Englander as to beneficial ownership of the securities held by such entities.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5. Ownership of Five Percent or Less of a Class</w:t>
      </w:r>
    </w:p>
    <w:p>
      <w:pPr>
        <w:spacing w:after="0" w:line="185" w:lineRule="exact"/>
        <w:rPr>
          <w:sz w:val="20"/>
          <w:szCs w:val="20"/>
          <w:color w:val="auto"/>
        </w:rPr>
      </w:pPr>
    </w:p>
    <w:p>
      <w:pPr>
        <w:ind w:right="100" w:firstLine="132"/>
        <w:spacing w:after="0" w:line="274" w:lineRule="auto"/>
        <w:rPr>
          <w:sz w:val="20"/>
          <w:szCs w:val="20"/>
          <w:color w:val="auto"/>
        </w:rPr>
      </w:pPr>
      <w:r>
        <w:rPr>
          <w:rFonts w:ascii="Times New Roman" w:cs="Times New Roman" w:eastAsia="Times New Roman" w:hAnsi="Times New Roman"/>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Arial" w:cs="Arial" w:eastAsia="Arial" w:hAnsi="Arial"/>
          <w:sz w:val="18"/>
          <w:szCs w:val="18"/>
          <w:b w:val="1"/>
          <w:bCs w:val="1"/>
          <w:color w:val="auto"/>
        </w:rPr>
        <w:t>þ</w:t>
      </w:r>
      <w:r>
        <w:rPr>
          <w:rFonts w:ascii="Times New Roman" w:cs="Times New Roman" w:eastAsia="Times New Roman" w:hAnsi="Times New Roman"/>
          <w:sz w:val="18"/>
          <w:szCs w:val="18"/>
          <w:color w:val="auto"/>
        </w:rPr>
        <w:t xml:space="preserve"> .</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6. Ownership of More than Five Percent on Behalf of Another Person.</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7. Identification and Classification of the Subsidiary Which Acquired the Security Being Reported on By the Parent Holding Company.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Identification and Classification of Members of the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See Exhibit I.</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 Notice of Dissolution of Group</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Certification</w:t>
      </w:r>
    </w:p>
    <w:p>
      <w:pPr>
        <w:spacing w:after="0" w:line="185" w:lineRule="exact"/>
        <w:rPr>
          <w:sz w:val="20"/>
          <w:szCs w:val="20"/>
          <w:color w:val="auto"/>
        </w:rPr>
      </w:pPr>
    </w:p>
    <w:p>
      <w:pPr>
        <w:jc w:val="both"/>
        <w:ind w:right="20" w:firstLine="140"/>
        <w:spacing w:after="0" w:line="262" w:lineRule="auto"/>
        <w:rPr>
          <w:sz w:val="20"/>
          <w:szCs w:val="20"/>
          <w:color w:val="auto"/>
        </w:rPr>
      </w:pPr>
      <w:r>
        <w:rPr>
          <w:rFonts w:ascii="Times New Roman" w:cs="Times New Roman" w:eastAsia="Times New Roman" w:hAnsi="Times New Roman"/>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33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62855J104</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4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80" w:type="dxa"/>
            <w:vAlign w:val="bottom"/>
            <w:tcBorders>
              <w:top w:val="single" w:sz="8" w:color="auto"/>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of</w:t>
            </w:r>
          </w:p>
        </w:tc>
        <w:tc>
          <w:tcPr>
            <w:tcW w:w="88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Exhibits:</w:t>
      </w:r>
    </w:p>
    <w:p>
      <w:pPr>
        <w:spacing w:after="0" w:line="185" w:lineRule="exact"/>
        <w:rPr>
          <w:sz w:val="20"/>
          <w:szCs w:val="20"/>
          <w:color w:val="auto"/>
        </w:rPr>
      </w:pPr>
    </w:p>
    <w:p>
      <w:pPr>
        <w:ind w:right="40"/>
        <w:spacing w:after="0" w:line="290" w:lineRule="auto"/>
        <w:rPr>
          <w:sz w:val="20"/>
          <w:szCs w:val="20"/>
          <w:color w:val="auto"/>
        </w:rPr>
      </w:pPr>
      <w:r>
        <w:rPr>
          <w:rFonts w:ascii="Times New Roman" w:cs="Times New Roman" w:eastAsia="Times New Roman" w:hAnsi="Times New Roman"/>
          <w:sz w:val="18"/>
          <w:szCs w:val="18"/>
          <w:color w:val="auto"/>
        </w:rPr>
        <w:t>Exhibit I: Joint Filing Agreement, dated as of April 24, 2024, by and among Integrated Core Strategies (US) LLC, Millennium Management LLC, Millennium Group Management LLC and Israel A. Englander.</w:t>
      </w:r>
    </w:p>
    <w:p>
      <w:pPr>
        <w:sectPr>
          <w:pgSz w:w="11900" w:h="16838" w:orient="portrait"/>
          <w:cols w:equalWidth="0" w:num="1">
            <w:col w:w="11240"/>
          </w:cols>
          <w:pgMar w:left="320" w:top="332"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62855J104</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86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9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After reasonable inquiry and to the best of its knowledge and belief, each of the undersigned certifies that the information with respect to it set forth in this statement is true, complete, and correct.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24, 2024</w:t>
      </w:r>
    </w:p>
    <w:p>
      <w:pPr>
        <w:spacing w:after="0" w:line="212"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7"/>
        </w:trPr>
        <w:tc>
          <w:tcPr>
            <w:tcW w:w="9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CUSIP No.</w:t>
            </w:r>
          </w:p>
        </w:tc>
        <w:tc>
          <w:tcPr>
            <w:tcW w:w="2040" w:type="dxa"/>
            <w:vAlign w:val="bottom"/>
            <w:tcBorders>
              <w:top w:val="single" w:sz="8" w:color="auto"/>
              <w:bottom w:val="single" w:sz="8" w:color="auto"/>
              <w:right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62855J104</w:t>
            </w:r>
          </w:p>
        </w:tc>
        <w:tc>
          <w:tcPr>
            <w:tcW w:w="4560" w:type="dxa"/>
            <w:vAlign w:val="bottom"/>
          </w:tcPr>
          <w:p>
            <w:pPr>
              <w:ind w:left="21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1560" w:type="dxa"/>
            <w:vAlign w:val="bottom"/>
            <w:tcBorders>
              <w:right w:val="single" w:sz="8" w:color="auto"/>
            </w:tcBorders>
          </w:tcPr>
          <w:p>
            <w:pPr>
              <w:ind w:left="1080"/>
              <w:spacing w:after="0"/>
              <w:rPr>
                <w:sz w:val="20"/>
                <w:szCs w:val="20"/>
                <w:color w:val="auto"/>
              </w:rPr>
            </w:pPr>
            <w:r>
              <w:rPr>
                <w:rFonts w:ascii="Times New Roman" w:cs="Times New Roman" w:eastAsia="Times New Roman" w:hAnsi="Times New Roman"/>
                <w:sz w:val="18"/>
                <w:szCs w:val="18"/>
                <w:color w:val="auto"/>
              </w:rPr>
              <w:t>Page</w:t>
            </w:r>
          </w:p>
        </w:tc>
        <w:tc>
          <w:tcPr>
            <w:tcW w:w="860" w:type="dxa"/>
            <w:vAlign w:val="bottom"/>
            <w:tcBorders>
              <w:top w:val="single" w:sz="8" w:color="auto"/>
              <w:bottom w:val="single" w:sz="8" w:color="auto"/>
              <w:right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of</w:t>
            </w:r>
          </w:p>
        </w:tc>
        <w:tc>
          <w:tcPr>
            <w:tcW w:w="860" w:type="dxa"/>
            <w:vAlign w:val="bottom"/>
            <w:tcBorders>
              <w:top w:val="single" w:sz="8" w:color="auto"/>
              <w:bottom w:val="single" w:sz="8" w:color="auto"/>
              <w:right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11</w:t>
            </w:r>
          </w:p>
        </w:tc>
      </w:tr>
    </w:tbl>
    <w:p>
      <w:pPr>
        <w:spacing w:after="0" w:line="19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23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will confirm the agreement by and among the undersigned that the Schedule 13G filed with the Securities and Exchange Commission on or about the date hereof with respect to the beneficial ownership by the undersigned of the Common Stock, par value $0.01 per share, of Myriad Genetics, Inc. will be filed on behalf of each of the persons and entities named below in accordance with Rule 13d-1(k) under the Securities Exchange Act of 1934, as amended. This Agreement may be executed in two or more counterparts, each of which shall be deemed an original, but all of which together shall constitute one and the same instrument.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April 24, 2024</w:t>
      </w:r>
    </w:p>
    <w:p>
      <w:pPr>
        <w:spacing w:after="0" w:line="2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INTEGRATED CORE STRATEGIES (US)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Integrated Holding Group LP,</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Managing Member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Millennium Management LLC,</w:t>
      </w:r>
    </w:p>
    <w:p>
      <w:pPr>
        <w:spacing w:after="0" w:line="21"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1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 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MILLENNIUM GROUP MANAGEMENT LLC</w:t>
      </w:r>
    </w:p>
    <w:p>
      <w:pPr>
        <w:spacing w:after="0" w:line="22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By: /s/Gil Raviv</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Name: Gil Raviv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Title: Global General Counsel</w:t>
      </w:r>
    </w:p>
    <w:p>
      <w:pPr>
        <w:spacing w:after="0" w:line="200" w:lineRule="exact"/>
        <w:rPr>
          <w:sz w:val="20"/>
          <w:szCs w:val="20"/>
          <w:color w:val="auto"/>
        </w:rPr>
      </w:pPr>
    </w:p>
    <w:p>
      <w:pPr>
        <w:spacing w:after="0" w:line="256"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/s/ Israel A. Englander</w:t>
      </w:r>
    </w:p>
    <w:p>
      <w:pPr>
        <w:spacing w:after="0" w:line="23"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Israel A. Englander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2122170</wp:posOffset>
            </wp:positionH>
            <wp:positionV relativeFrom="paragraph">
              <wp:posOffset>-130175</wp:posOffset>
            </wp:positionV>
            <wp:extent cx="2143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sectPr>
      <w:pgSz w:w="11900" w:h="16838" w:orient="portrait"/>
      <w:cols w:equalWidth="0" w:num="1">
        <w:col w:w="11240"/>
      </w:cols>
      <w:pgMar w:left="320" w:top="33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2"/>
      <w:numFmt w:val="bullet"/>
      <w:start w:val="1"/>
    </w:lvl>
    <w:lvl w:ilvl="1">
      <w:lvlJc w:val="left"/>
      <w:lvlText w:val="(%2)"/>
      <w:numFmt w:val="lowerLetter"/>
      <w:start w:val="2"/>
    </w:lvl>
  </w:abstractNum>
  <w:abstractNum w:abstractNumId="2">
    <w:nsid w:val="5BD062C2"/>
    <w:multiLevelType w:val="hybridMultilevel"/>
    <w:lvl w:ilvl="0">
      <w:lvlJc w:val="left"/>
      <w:lvlText w:val="3"/>
      <w:numFmt w:val="bullet"/>
      <w:start w:val="1"/>
    </w:lvl>
  </w:abstractNum>
  <w:abstractNum w:abstractNumId="3">
    <w:nsid w:val="12200854"/>
    <w:multiLevelType w:val="hybridMultilevel"/>
    <w:lvl w:ilvl="0">
      <w:lvlJc w:val="left"/>
      <w:lvlText w:val="2"/>
      <w:numFmt w:val="bullet"/>
      <w:start w:val="1"/>
    </w:lvl>
    <w:lvl w:ilvl="1">
      <w:lvlJc w:val="left"/>
      <w:lvlText w:val="(%2)"/>
      <w:numFmt w:val="lowerLetter"/>
      <w:start w:val="2"/>
    </w:lvl>
  </w:abstractNum>
  <w:abstractNum w:abstractNumId="4">
    <w:nsid w:val="4DB127F8"/>
    <w:multiLevelType w:val="hybridMultilevel"/>
    <w:lvl w:ilvl="0">
      <w:lvlJc w:val="left"/>
      <w:lvlText w:val="3"/>
      <w:numFmt w:val="bullet"/>
      <w:start w:val="1"/>
    </w:lvl>
  </w:abstractNum>
  <w:abstractNum w:abstractNumId="5">
    <w:nsid w:val="216231B"/>
    <w:multiLevelType w:val="hybridMultilevel"/>
    <w:lvl w:ilvl="0">
      <w:lvlJc w:val="left"/>
      <w:lvlText w:val="2"/>
      <w:numFmt w:val="bullet"/>
      <w:start w:val="1"/>
    </w:lvl>
    <w:lvl w:ilvl="1">
      <w:lvlJc w:val="left"/>
      <w:lvlText w:val="(%2)"/>
      <w:numFmt w:val="lowerLetter"/>
      <w:start w:val="2"/>
    </w:lvl>
  </w:abstractNum>
  <w:abstractNum w:abstractNumId="6">
    <w:nsid w:val="1F16E9E8"/>
    <w:multiLevelType w:val="hybridMultilevel"/>
    <w:lvl w:ilvl="0">
      <w:lvlJc w:val="left"/>
      <w:lvlText w:val="3"/>
      <w:numFmt w:val="bullet"/>
      <w:start w:val="1"/>
    </w:lvl>
  </w:abstractNum>
  <w:abstractNum w:abstractNumId="7">
    <w:nsid w:val="1190CDE7"/>
    <w:multiLevelType w:val="hybridMultilevel"/>
    <w:lvl w:ilvl="0">
      <w:lvlJc w:val="left"/>
      <w:lvlText w:val="2"/>
      <w:numFmt w:val="bullet"/>
      <w:start w:val="1"/>
    </w:lvl>
    <w:lvl w:ilvl="1">
      <w:lvlJc w:val="left"/>
      <w:lvlText w:val="(%2)"/>
      <w:numFmt w:val="lowerLetter"/>
      <w:start w:val="2"/>
    </w:lvl>
  </w:abstractNum>
  <w:abstractNum w:abstractNumId="8">
    <w:nsid w:val="66EF438D"/>
    <w:multiLevelType w:val="hybridMultilevel"/>
    <w:lvl w:ilvl="0">
      <w:lvlJc w:val="left"/>
      <w:lvlText w:val="3"/>
      <w:numFmt w:val="bullet"/>
      <w:start w:val="1"/>
    </w:lvl>
  </w:abstractNum>
  <w:abstractNum w:abstractNumId="9">
    <w:nsid w:val="140E0F76"/>
    <w:multiLevelType w:val="hybridMultilevel"/>
    <w:lvl w:ilvl="0">
      <w:lvlJc w:val="left"/>
      <w:lvlText w:val="(%1)"/>
      <w:numFmt w:val="lowerLetter"/>
      <w:start w:val="1"/>
    </w:lvl>
  </w:abstractNum>
  <w:abstractNum w:abstractNumId="10">
    <w:nsid w:val="3352255A"/>
    <w:multiLevelType w:val="hybridMultilevel"/>
    <w:lvl w:ilvl="0">
      <w:lvlJc w:val="left"/>
      <w:lvlText w:val="(%1)"/>
      <w:numFmt w:val="lowerLetter"/>
      <w:start w:val="2"/>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lowerLetter"/>
      <w:start w:val="7"/>
    </w:lvl>
  </w:abstractNum>
  <w:abstractNum w:abstractNumId="13">
    <w:nsid w:val="7FDCC233"/>
    <w:multiLevelType w:val="hybridMultilevel"/>
    <w:lvl w:ilvl="0">
      <w:lvlJc w:val="left"/>
      <w:lvlText w:val="(%1)"/>
      <w:numFmt w:val="lowerLetter"/>
      <w:start w:val="3"/>
    </w:lvl>
    <w:lvl w:ilvl="1">
      <w:lvlJc w:val="left"/>
      <w:lvlText w:val="(%2)"/>
      <w:numFmt w:val="lowerLetter"/>
      <w:start w:val="9"/>
    </w:lvl>
  </w:abstractNum>
  <w:abstractNum w:abstractNumId="14">
    <w:nsid w:val="1BEFD79F"/>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2024-04-25T15:47:19Z</dcterms:created>
  <dcterms:modified xsi:type="dcterms:W3CDTF">2024-04-25T15:47:19Z</dcterms:modified>
</cp:coreProperties>
</file>