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1398729.xml.htm"/>
      <w:bookmarkStart w:id="1" w:name="kswkform4_17113987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Wong Pamela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03/22/2024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22,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Effective as of March 22, 2024, the Reporting Person is no longer serving in the role as the Company's Chief Legal Officer, and therefore, is no longer subject to Section 16 reporting.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Pamela Wong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85862" TargetMode="External"/><Relationship Id="rId3" Type="http://schemas.openxmlformats.org/officeDocument/2006/relationships/hyperlink" Target="http://www.sec.gov/cgi-bin/browse-edgar?action=getcompany&amp;CIK=0000899923"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3453</Characters>
  <CharactersWithSpaces>4032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