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31, 2025</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July 31, 2025 (the “Closing Date”), Myriad Genetics, Inc. (the “Company”) entered into a Credit Agreement (the “Credit Agreement”) with the lenders from time to time party thereto (“Lenders”), and OrbiMed Royalty &amp; Credit Opportunities IV, LP, as administrative agent (in such capacity, “Administrative Agent”) and as initial lender, consisting of a $200 million term loan credit facility with an initial term loan (the “Initial Loan”) in a maximum principal amount of $125 million, which amount was funded on the Closing Date, and delayed draw term loans (the “Delayed Draw Loans” and together with the Initial Loan, the “Loans”) at the election of the Company on or prior to June 30, 2027, in a maximum principal amount of $75 million (the “Credit Facility”). The proceeds of the Credit Facility were or will be used for the working capital needs and general corporate purposes of the Company and its subsidiaries, including, without limitation, refinancing existing indebtedness.</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Credit Facility matures on July 31, 2030 (the “Maturity Date”). Loans outstanding under the Credit Facility will bear interest at a rate per annum equal to (x) the greater of the one-month SOFR Rate and 2.50% plus (y) an applicable margin of 6.50%. Commencing on September 30, 2029, and on the last business day of each fiscal quarter thereafter, the Company is required to make a scheduled principal payment equal to 2.50% of the unpaid principal amount of the loans outstanding on the fourth anniversary of the Closing Date, together with any applicable exit fee and repayment premium.</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subject to a repayment premium. The Credit Facility is also subject to customary mandatory prepayments with the proceeds of indebtedness and certain asset sales and casualty events. In addition to the</w:t>
      </w:r>
    </w:p>
    <w:p>
      <w:pPr>
        <w:jc w:val="both"/>
        <w:spacing w:after="0" w:line="226" w:lineRule="auto"/>
        <w:rPr>
          <w:sz w:val="20"/>
          <w:szCs w:val="20"/>
          <w:color w:val="auto"/>
        </w:rPr>
      </w:pPr>
      <w:r>
        <w:rPr>
          <w:rFonts w:ascii="Times New Roman" w:cs="Times New Roman" w:eastAsia="Times New Roman" w:hAnsi="Times New Roman"/>
          <w:sz w:val="18"/>
          <w:szCs w:val="18"/>
          <w:color w:val="auto"/>
        </w:rPr>
        <w:t>repayment premium referenced above, voluntary and mandatory prepayments and all other payments of the Credit Facility must also be accompanied by payment of accrued interest on the principal amount repaid or prepaid. The Credit Facility is also subject to other customary fee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the Company are guaranteed by certain of the Company’s material subsidiaries (the “Guarantors”) pursuant to a Guarantee. The</w:t>
      </w:r>
    </w:p>
    <w:p>
      <w:pPr>
        <w:spacing w:after="0" w:line="1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obligations of the Company and the Guarantors under the Credit Agreement and Guarantee are secured by substantially all of the assets of the Company and the Guarantors under a Pledge and Security Agreement entered into with the Administrative Agent (the “Security Agreement”).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and its subsidiaries, on a consolidated basis, to comply with a minimum trailing twelve-month revenue test as of the end of each month, commencing with the month ending December 31, 2025 at $615 million and increasing quarterly to $974 million beginning on</w:t>
      </w:r>
    </w:p>
    <w:p>
      <w:pPr>
        <w:jc w:val="both"/>
        <w:spacing w:after="0" w:line="258" w:lineRule="auto"/>
        <w:rPr>
          <w:sz w:val="20"/>
          <w:szCs w:val="20"/>
          <w:color w:val="auto"/>
        </w:rPr>
      </w:pPr>
      <w:r>
        <w:rPr>
          <w:rFonts w:ascii="Times New Roman" w:cs="Times New Roman" w:eastAsia="Times New Roman" w:hAnsi="Times New Roman"/>
          <w:sz w:val="18"/>
          <w:szCs w:val="18"/>
          <w:color w:val="auto"/>
        </w:rPr>
        <w:t>December 31, 2029 and thereafter. In addition, the Credit Agreement contains customary representations and warranties and affirmative and negative covenants, including covenants that limit or restrict the Company and its subsidiaries’ ability to incur liens, incur indebtedness, dispose of assets, make</w:t>
      </w: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make certain restricted payments, merge or consolidate and enter into certain speculative hedging arrangements. The Credit Agreement includes a number of customary events of default, including, among other things, nonpayment defaults, covenant defaults, cross-defaults to other material</w:t>
      </w:r>
    </w:p>
    <w:p>
      <w:pPr>
        <w:jc w:val="both"/>
        <w:spacing w:after="0" w:line="242" w:lineRule="auto"/>
        <w:rPr>
          <w:sz w:val="20"/>
          <w:szCs w:val="20"/>
          <w:color w:val="auto"/>
        </w:rPr>
      </w:pPr>
      <w:r>
        <w:rPr>
          <w:rFonts w:ascii="Times New Roman" w:cs="Times New Roman" w:eastAsia="Times New Roman" w:hAnsi="Times New Roman"/>
          <w:sz w:val="18"/>
          <w:szCs w:val="18"/>
          <w:color w:val="auto"/>
        </w:rPr>
        <w:t>indebtedness, bankruptcy and insolvency defaults, material judgment defaults and the occurrence of a change of control. If any event of default occurs (subject, in certain instances, to specified grace periods), the principal, premium, if any, interest and any other monetary obligations on all the then outstanding amounts under the Credit Facility may become due and payable immediately.</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Credit Agreement and the Security Agreement are qualified in its entirety by reference to the complete terms and conditions of the Credit Agreement and the Security Agreement, which are filed as Exhibit 10.1 and 10.2, respectively, to this Current Report on Form 8-K.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with respect to the Credit Agreement is incorporated herein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31, 2025, the Company issued a press release announcing the entry into the Credit Agreement which is filed as Exhibit 99.1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1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0" w:type="dxa"/>
            <w:vAlign w:val="bottom"/>
            <w:tcBorders>
              <w:top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Credit Agreement dated July 31, 2025 among Myriad Genetics, Inc., the lenders from time to time party thereto, and OrbiMed</w:t>
            </w:r>
          </w:p>
        </w:tc>
        <w:tc>
          <w:tcPr>
            <w:tcW w:w="20" w:type="dxa"/>
            <w:vAlign w:val="bottom"/>
          </w:tcPr>
          <w:p>
            <w:pPr>
              <w:spacing w:after="0"/>
              <w:rPr>
                <w:sz w:val="16"/>
                <w:szCs w:val="16"/>
                <w:color w:val="auto"/>
              </w:rPr>
            </w:pPr>
          </w:p>
        </w:tc>
      </w:tr>
      <w:tr>
        <w:trPr>
          <w:trHeight w:val="156"/>
        </w:trPr>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Royalty &amp; Credit Opportunities IV, LP, as the administrative agent and initial lender.</w:t>
            </w:r>
          </w:p>
        </w:tc>
        <w:tc>
          <w:tcPr>
            <w:tcW w:w="52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47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Pledge and Security Agreement dated July 31, 2025, among Myriad Genetics, Inc., each of the other Guarantors and OrbiMed</w:t>
            </w:r>
          </w:p>
        </w:tc>
      </w:tr>
      <w:tr>
        <w:trPr>
          <w:trHeight w:val="156"/>
        </w:trPr>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Royalty &amp; Credit Opportunities IV, LP, as administrative agent for the secured parties.</w:t>
            </w:r>
          </w:p>
        </w:tc>
        <w:tc>
          <w:tcPr>
            <w:tcW w:w="540" w:type="dxa"/>
            <w:vAlign w:val="bottom"/>
            <w:gridSpan w:val="3"/>
          </w:tcPr>
          <w:p>
            <w:pPr>
              <w:spacing w:after="0"/>
              <w:rPr>
                <w:sz w:val="13"/>
                <w:szCs w:val="13"/>
                <w:color w:val="auto"/>
              </w:rPr>
            </w:pPr>
          </w:p>
        </w:tc>
      </w:tr>
      <w:tr>
        <w:trPr>
          <w:trHeight w:val="47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Press Release dated July 31, 2025.</w:t>
            </w:r>
          </w:p>
        </w:tc>
        <w:tc>
          <w:tcPr>
            <w:tcW w:w="3420" w:type="dxa"/>
            <w:vAlign w:val="bottom"/>
            <w:gridSpan w:val="4"/>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7140" w:type="dxa"/>
            <w:vAlign w:val="bottom"/>
            <w:gridSpan w:val="6"/>
          </w:tcPr>
          <w:p>
            <w:pPr>
              <w:spacing w:after="0" w:line="20" w:lineRule="exact"/>
              <w:rPr>
                <w:sz w:val="1"/>
                <w:szCs w:val="1"/>
                <w:color w:val="auto"/>
              </w:rPr>
            </w:pPr>
          </w:p>
        </w:tc>
      </w:tr>
      <w:tr>
        <w:trPr>
          <w:trHeight w:val="507"/>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92"/>
        </w:trPr>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July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320" w:top="887"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July 31, 2025</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by and among</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ORBIMED ROYALTY &amp; CREDIT OPPORTUNITIES IV, LP,</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Initial Lender,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ORBIMED ROYALTY &amp; CREDIT OPPORTUNITIES IV, LP,</w:t>
      </w:r>
    </w:p>
    <w:p>
      <w:pPr>
        <w:spacing w:after="0" w:line="24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as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619760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80" w:type="dxa"/>
            <w:vAlign w:val="bottom"/>
            <w:gridSpan w:val="15"/>
          </w:tcPr>
          <w:p>
            <w:pPr>
              <w:spacing w:after="0"/>
              <w:rPr>
                <w:sz w:val="20"/>
                <w:szCs w:val="20"/>
                <w:color w:val="auto"/>
              </w:rPr>
            </w:pPr>
            <w:r>
              <w:rPr>
                <w:rFonts w:ascii="Times New Roman" w:cs="Times New Roman" w:eastAsia="Times New Roman" w:hAnsi="Times New Roman"/>
                <w:sz w:val="22"/>
                <w:szCs w:val="22"/>
                <w:color w:val="auto"/>
              </w:rPr>
              <w:t>TABLE OF CONTENTS</w:t>
            </w:r>
          </w:p>
        </w:tc>
        <w:tc>
          <w:tcPr>
            <w:tcW w:w="402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453"/>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40" w:type="dxa"/>
            <w:vAlign w:val="bottom"/>
            <w:gridSpan w:val="2"/>
          </w:tcPr>
          <w:p>
            <w:pPr>
              <w:ind w:left="402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53"/>
        </w:trPr>
        <w:tc>
          <w:tcPr>
            <w:tcW w:w="660" w:type="dxa"/>
            <w:vAlign w:val="bottom"/>
          </w:tcPr>
          <w:p>
            <w:pPr>
              <w:spacing w:after="0"/>
              <w:rPr>
                <w:sz w:val="24"/>
                <w:szCs w:val="24"/>
                <w:color w:val="auto"/>
              </w:rPr>
            </w:pPr>
          </w:p>
        </w:tc>
        <w:tc>
          <w:tcPr>
            <w:tcW w:w="3180" w:type="dxa"/>
            <w:vAlign w:val="bottom"/>
            <w:gridSpan w:val="18"/>
          </w:tcPr>
          <w:p>
            <w:pPr>
              <w:spacing w:after="0"/>
              <w:rPr>
                <w:sz w:val="20"/>
                <w:szCs w:val="20"/>
                <w:color w:val="auto"/>
              </w:rPr>
            </w:pPr>
            <w:r>
              <w:rPr>
                <w:rFonts w:ascii="Times New Roman" w:cs="Times New Roman" w:eastAsia="Times New Roman" w:hAnsi="Times New Roman"/>
                <w:sz w:val="22"/>
                <w:szCs w:val="22"/>
                <w:color w:val="0000FF"/>
              </w:rPr>
              <w:t xml:space="preserve">SECTION 1.1   Defined Terms.  </w:t>
            </w:r>
            <w:r>
              <w:rPr>
                <w:rFonts w:ascii="Times New Roman" w:cs="Times New Roman" w:eastAsia="Times New Roman" w:hAnsi="Times New Roman"/>
                <w:sz w:val="22"/>
                <w:szCs w:val="22"/>
                <w:color w:val="000000"/>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280" w:type="dxa"/>
            <w:vAlign w:val="bottom"/>
            <w:tcBorders>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1.2</w:t>
            </w:r>
          </w:p>
        </w:tc>
        <w:tc>
          <w:tcPr>
            <w:tcW w:w="220" w:type="dxa"/>
            <w:vAlign w:val="bottom"/>
          </w:tcPr>
          <w:p>
            <w:pPr>
              <w:spacing w:after="0"/>
              <w:rPr>
                <w:sz w:val="21"/>
                <w:szCs w:val="21"/>
                <w:color w:val="auto"/>
              </w:rPr>
            </w:pPr>
          </w:p>
        </w:tc>
        <w:tc>
          <w:tcPr>
            <w:tcW w:w="1920" w:type="dxa"/>
            <w:vAlign w:val="bottom"/>
            <w:tcBorders>
              <w:bottom w:val="single" w:sz="8" w:color="0000FF"/>
            </w:tcBorders>
            <w:gridSpan w:val="17"/>
          </w:tcPr>
          <w:p>
            <w:pPr>
              <w:spacing w:after="0" w:line="250" w:lineRule="exact"/>
              <w:rPr>
                <w:sz w:val="20"/>
                <w:szCs w:val="20"/>
                <w:color w:val="auto"/>
              </w:rPr>
            </w:pPr>
            <w:r>
              <w:rPr>
                <w:rFonts w:ascii="Times New Roman" w:cs="Times New Roman" w:eastAsia="Times New Roman" w:hAnsi="Times New Roman"/>
                <w:sz w:val="22"/>
                <w:szCs w:val="22"/>
                <w:color w:val="0000FF"/>
                <w:w w:val="96"/>
              </w:rPr>
              <w:t>Use of Defined Terms</w:t>
            </w:r>
          </w:p>
        </w:tc>
        <w:tc>
          <w:tcPr>
            <w:tcW w:w="40" w:type="dxa"/>
            <w:vAlign w:val="bottom"/>
          </w:tcPr>
          <w:p>
            <w:pPr>
              <w:spacing w:after="0"/>
              <w:rPr>
                <w:sz w:val="21"/>
                <w:szCs w:val="21"/>
                <w:color w:val="auto"/>
              </w:rPr>
            </w:pPr>
          </w:p>
        </w:tc>
        <w:tc>
          <w:tcPr>
            <w:tcW w:w="400" w:type="dxa"/>
            <w:vAlign w:val="bottom"/>
            <w:gridSpan w:val="5"/>
          </w:tcPr>
          <w:p>
            <w:pPr>
              <w:jc w:val="right"/>
              <w:ind w:right="20"/>
              <w:spacing w:after="0" w:line="250" w:lineRule="exact"/>
              <w:rPr>
                <w:sz w:val="20"/>
                <w:szCs w:val="20"/>
                <w:color w:val="auto"/>
              </w:rPr>
            </w:pPr>
            <w:r>
              <w:rPr>
                <w:rFonts w:ascii="Times New Roman" w:cs="Times New Roman" w:eastAsia="Times New Roman" w:hAnsi="Times New Roman"/>
                <w:sz w:val="22"/>
                <w:szCs w:val="22"/>
                <w:color w:val="auto"/>
              </w:rPr>
              <w:t>31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6"/>
        </w:trPr>
        <w:tc>
          <w:tcPr>
            <w:tcW w:w="660" w:type="dxa"/>
            <w:vAlign w:val="bottom"/>
          </w:tcPr>
          <w:p>
            <w:pPr>
              <w:spacing w:after="0"/>
              <w:rPr>
                <w:sz w:val="20"/>
                <w:szCs w:val="20"/>
                <w:color w:val="auto"/>
              </w:rPr>
            </w:pPr>
          </w:p>
        </w:tc>
        <w:tc>
          <w:tcPr>
            <w:tcW w:w="12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1.3</w:t>
            </w:r>
          </w:p>
        </w:tc>
        <w:tc>
          <w:tcPr>
            <w:tcW w:w="220" w:type="dxa"/>
            <w:vAlign w:val="bottom"/>
          </w:tcPr>
          <w:p>
            <w:pPr>
              <w:spacing w:after="0"/>
              <w:rPr>
                <w:sz w:val="20"/>
                <w:szCs w:val="20"/>
                <w:color w:val="auto"/>
              </w:rPr>
            </w:pPr>
          </w:p>
        </w:tc>
        <w:tc>
          <w:tcPr>
            <w:tcW w:w="1680" w:type="dxa"/>
            <w:vAlign w:val="bottom"/>
            <w:gridSpan w:val="13"/>
          </w:tcPr>
          <w:p>
            <w:pPr>
              <w:spacing w:after="0" w:line="237" w:lineRule="exact"/>
              <w:rPr>
                <w:sz w:val="20"/>
                <w:szCs w:val="20"/>
                <w:color w:val="auto"/>
              </w:rPr>
            </w:pPr>
            <w:r>
              <w:rPr>
                <w:rFonts w:ascii="Times New Roman" w:cs="Times New Roman" w:eastAsia="Times New Roman" w:hAnsi="Times New Roman"/>
                <w:sz w:val="22"/>
                <w:szCs w:val="22"/>
                <w:color w:val="0000FF"/>
              </w:rPr>
              <w:t>Cross-References</w:t>
            </w:r>
          </w:p>
        </w:tc>
        <w:tc>
          <w:tcPr>
            <w:tcW w:w="28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tcBorders>
              <w:bottom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1.4</w:t>
            </w:r>
          </w:p>
        </w:tc>
        <w:tc>
          <w:tcPr>
            <w:tcW w:w="220" w:type="dxa"/>
            <w:vAlign w:val="bottom"/>
          </w:tcPr>
          <w:p>
            <w:pPr>
              <w:spacing w:after="0"/>
              <w:rPr>
                <w:sz w:val="20"/>
                <w:szCs w:val="20"/>
                <w:color w:val="auto"/>
              </w:rPr>
            </w:pPr>
          </w:p>
        </w:tc>
        <w:tc>
          <w:tcPr>
            <w:tcW w:w="3620" w:type="dxa"/>
            <w:vAlign w:val="bottom"/>
            <w:tcBorders>
              <w:bottom w:val="single" w:sz="8" w:color="0000FF"/>
            </w:tcBorders>
            <w:gridSpan w:val="30"/>
          </w:tcPr>
          <w:p>
            <w:pPr>
              <w:spacing w:after="0" w:line="237" w:lineRule="exact"/>
              <w:rPr>
                <w:sz w:val="20"/>
                <w:szCs w:val="20"/>
                <w:color w:val="auto"/>
              </w:rPr>
            </w:pPr>
            <w:r>
              <w:rPr>
                <w:rFonts w:ascii="Times New Roman" w:cs="Times New Roman" w:eastAsia="Times New Roman" w:hAnsi="Times New Roman"/>
                <w:sz w:val="22"/>
                <w:szCs w:val="22"/>
                <w:color w:val="0000FF"/>
                <w:w w:val="97"/>
              </w:rPr>
              <w:t>Accounting and Financial Determinations</w:t>
            </w:r>
          </w:p>
        </w:tc>
        <w:tc>
          <w:tcPr>
            <w:tcW w:w="60" w:type="dxa"/>
            <w:vAlign w:val="bottom"/>
          </w:tcPr>
          <w:p>
            <w:pPr>
              <w:spacing w:after="0"/>
              <w:rPr>
                <w:sz w:val="20"/>
                <w:szCs w:val="20"/>
                <w:color w:val="auto"/>
              </w:rPr>
            </w:pPr>
          </w:p>
        </w:tc>
        <w:tc>
          <w:tcPr>
            <w:tcW w:w="38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1.5</w:t>
            </w:r>
          </w:p>
        </w:tc>
        <w:tc>
          <w:tcPr>
            <w:tcW w:w="2940" w:type="dxa"/>
            <w:vAlign w:val="bottom"/>
            <w:gridSpan w:val="27"/>
          </w:tcPr>
          <w:p>
            <w:pPr>
              <w:ind w:left="220"/>
              <w:spacing w:after="0" w:line="237" w:lineRule="exact"/>
              <w:rPr>
                <w:sz w:val="20"/>
                <w:szCs w:val="20"/>
                <w:color w:val="auto"/>
              </w:rPr>
            </w:pPr>
            <w:r>
              <w:rPr>
                <w:rFonts w:ascii="Times New Roman" w:cs="Times New Roman" w:eastAsia="Times New Roman" w:hAnsi="Times New Roman"/>
                <w:sz w:val="22"/>
                <w:szCs w:val="22"/>
                <w:color w:val="0000FF"/>
              </w:rPr>
              <w:t>Other Interpretive Provisions</w:t>
            </w:r>
          </w:p>
        </w:tc>
        <w:tc>
          <w:tcPr>
            <w:tcW w:w="2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9"/>
              </w:rPr>
              <w:t>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100" w:type="dxa"/>
            <w:vAlign w:val="bottom"/>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53"/>
        </w:trPr>
        <w:tc>
          <w:tcPr>
            <w:tcW w:w="6220" w:type="dxa"/>
            <w:vAlign w:val="bottom"/>
            <w:gridSpan w:val="40"/>
          </w:tcPr>
          <w:p>
            <w:pPr>
              <w:spacing w:after="0"/>
              <w:rPr>
                <w:sz w:val="20"/>
                <w:szCs w:val="20"/>
                <w:color w:val="auto"/>
              </w:rPr>
            </w:pPr>
            <w:r>
              <w:rPr>
                <w:rFonts w:ascii="Times New Roman" w:cs="Times New Roman" w:eastAsia="Times New Roman" w:hAnsi="Times New Roman"/>
                <w:sz w:val="22"/>
                <w:szCs w:val="22"/>
                <w:color w:val="0000FF"/>
              </w:rPr>
              <w:t>ARTICLE II  COMMITMENT AND BORROWING PROCEDURES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SECTION 2.1</w:t>
            </w:r>
          </w:p>
        </w:tc>
        <w:tc>
          <w:tcPr>
            <w:tcW w:w="220" w:type="dxa"/>
            <w:vAlign w:val="bottom"/>
          </w:tcPr>
          <w:p>
            <w:pPr>
              <w:spacing w:after="0"/>
              <w:rPr>
                <w:sz w:val="24"/>
                <w:szCs w:val="24"/>
                <w:color w:val="auto"/>
              </w:rPr>
            </w:pPr>
          </w:p>
        </w:tc>
        <w:tc>
          <w:tcPr>
            <w:tcW w:w="1320" w:type="dxa"/>
            <w:vAlign w:val="bottom"/>
            <w:gridSpan w:val="9"/>
          </w:tcPr>
          <w:p>
            <w:pPr>
              <w:spacing w:after="0"/>
              <w:rPr>
                <w:sz w:val="20"/>
                <w:szCs w:val="20"/>
                <w:color w:val="auto"/>
              </w:rPr>
            </w:pPr>
            <w:r>
              <w:rPr>
                <w:rFonts w:ascii="Times New Roman" w:cs="Times New Roman" w:eastAsia="Times New Roman" w:hAnsi="Times New Roman"/>
                <w:sz w:val="22"/>
                <w:szCs w:val="22"/>
                <w:color w:val="0000FF"/>
              </w:rPr>
              <w:t>Commitment</w:t>
            </w:r>
          </w:p>
        </w:tc>
        <w:tc>
          <w:tcPr>
            <w:tcW w:w="36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rPr>
              <w:t>32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2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2.2</w:t>
            </w:r>
          </w:p>
        </w:tc>
        <w:tc>
          <w:tcPr>
            <w:tcW w:w="220" w:type="dxa"/>
            <w:vAlign w:val="bottom"/>
          </w:tcPr>
          <w:p>
            <w:pPr>
              <w:spacing w:after="0"/>
              <w:rPr>
                <w:sz w:val="20"/>
                <w:szCs w:val="20"/>
                <w:color w:val="auto"/>
              </w:rPr>
            </w:pPr>
          </w:p>
        </w:tc>
        <w:tc>
          <w:tcPr>
            <w:tcW w:w="1960" w:type="dxa"/>
            <w:vAlign w:val="bottom"/>
            <w:gridSpan w:val="18"/>
          </w:tcPr>
          <w:p>
            <w:pPr>
              <w:spacing w:after="0" w:line="237" w:lineRule="exact"/>
              <w:rPr>
                <w:sz w:val="20"/>
                <w:szCs w:val="20"/>
                <w:color w:val="auto"/>
              </w:rPr>
            </w:pPr>
            <w:r>
              <w:rPr>
                <w:rFonts w:ascii="Times New Roman" w:cs="Times New Roman" w:eastAsia="Times New Roman" w:hAnsi="Times New Roman"/>
                <w:sz w:val="22"/>
                <w:szCs w:val="22"/>
                <w:color w:val="0000FF"/>
              </w:rPr>
              <w:t>Borrowing Procedure</w:t>
            </w:r>
          </w:p>
        </w:tc>
        <w:tc>
          <w:tcPr>
            <w:tcW w:w="360" w:type="dxa"/>
            <w:vAlign w:val="bottom"/>
            <w:gridSpan w:val="4"/>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280" w:type="dxa"/>
            <w:vAlign w:val="bottom"/>
            <w:tcBorders>
              <w:top w:val="single" w:sz="8" w:color="0000FF"/>
              <w:bottom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2.3</w:t>
            </w:r>
          </w:p>
        </w:tc>
        <w:tc>
          <w:tcPr>
            <w:tcW w:w="220" w:type="dxa"/>
            <w:vAlign w:val="bottom"/>
          </w:tcPr>
          <w:p>
            <w:pPr>
              <w:spacing w:after="0"/>
              <w:rPr>
                <w:sz w:val="20"/>
                <w:szCs w:val="20"/>
                <w:color w:val="auto"/>
              </w:rPr>
            </w:pPr>
          </w:p>
        </w:tc>
        <w:tc>
          <w:tcPr>
            <w:tcW w:w="720" w:type="dxa"/>
            <w:vAlign w:val="bottom"/>
            <w:tcBorders>
              <w:top w:val="single" w:sz="8" w:color="0000FF"/>
              <w:bottom w:val="single" w:sz="8" w:color="0000FF"/>
            </w:tcBorders>
            <w:gridSpan w:val="3"/>
          </w:tcPr>
          <w:p>
            <w:pPr>
              <w:spacing w:after="0" w:line="237" w:lineRule="exact"/>
              <w:rPr>
                <w:sz w:val="20"/>
                <w:szCs w:val="20"/>
                <w:color w:val="auto"/>
              </w:rPr>
            </w:pPr>
            <w:r>
              <w:rPr>
                <w:rFonts w:ascii="Times New Roman" w:cs="Times New Roman" w:eastAsia="Times New Roman" w:hAnsi="Times New Roman"/>
                <w:sz w:val="22"/>
                <w:szCs w:val="22"/>
                <w:color w:val="0000FF"/>
                <w:w w:val="95"/>
              </w:rPr>
              <w:t>Funding</w:t>
            </w:r>
          </w:p>
        </w:tc>
        <w:tc>
          <w:tcPr>
            <w:tcW w:w="460" w:type="dxa"/>
            <w:vAlign w:val="bottom"/>
            <w:tcBorders>
              <w:top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2.4</w:t>
            </w:r>
          </w:p>
        </w:tc>
        <w:tc>
          <w:tcPr>
            <w:tcW w:w="220" w:type="dxa"/>
            <w:vAlign w:val="bottom"/>
          </w:tcPr>
          <w:p>
            <w:pPr>
              <w:spacing w:after="0"/>
              <w:rPr>
                <w:sz w:val="20"/>
                <w:szCs w:val="20"/>
                <w:color w:val="auto"/>
              </w:rPr>
            </w:pPr>
          </w:p>
        </w:tc>
        <w:tc>
          <w:tcPr>
            <w:tcW w:w="368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0000FF"/>
              </w:rPr>
              <w:t>Reduction of the Commitment Amounts</w:t>
            </w:r>
          </w:p>
        </w:tc>
        <w:tc>
          <w:tcPr>
            <w:tcW w:w="34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w w:val="99"/>
              </w:rPr>
              <w:t>33</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53"/>
        </w:trPr>
        <w:tc>
          <w:tcPr>
            <w:tcW w:w="6800" w:type="dxa"/>
            <w:vAlign w:val="bottom"/>
            <w:gridSpan w:val="44"/>
          </w:tcPr>
          <w:p>
            <w:pPr>
              <w:spacing w:after="0"/>
              <w:rPr>
                <w:sz w:val="20"/>
                <w:szCs w:val="20"/>
                <w:color w:val="auto"/>
              </w:rPr>
            </w:pPr>
            <w:r>
              <w:rPr>
                <w:rFonts w:ascii="Times New Roman" w:cs="Times New Roman" w:eastAsia="Times New Roman" w:hAnsi="Times New Roman"/>
                <w:sz w:val="22"/>
                <w:szCs w:val="22"/>
                <w:color w:val="0000FF"/>
              </w:rPr>
              <w:t>ARTICLE III  REPAYMENTS, PREPAYMENTS, INTEREST AND FEES</w:t>
            </w:r>
          </w:p>
        </w:tc>
        <w:tc>
          <w:tcPr>
            <w:tcW w:w="4020" w:type="dxa"/>
            <w:vAlign w:val="bottom"/>
          </w:tcPr>
          <w:p>
            <w:pPr>
              <w:jc w:val="right"/>
              <w:ind w:right="3652"/>
              <w:spacing w:after="0"/>
              <w:rPr>
                <w:sz w:val="20"/>
                <w:szCs w:val="20"/>
                <w:color w:val="auto"/>
              </w:rPr>
            </w:pPr>
            <w:r>
              <w:rPr>
                <w:rFonts w:ascii="Times New Roman" w:cs="Times New Roman" w:eastAsia="Times New Roman" w:hAnsi="Times New Roman"/>
                <w:sz w:val="22"/>
                <w:szCs w:val="22"/>
                <w:color w:val="auto"/>
              </w:rPr>
              <w:t>33</w:t>
            </w:r>
          </w:p>
        </w:tc>
        <w:tc>
          <w:tcPr>
            <w:tcW w:w="42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SECTION 3.1</w:t>
            </w:r>
          </w:p>
        </w:tc>
        <w:tc>
          <w:tcPr>
            <w:tcW w:w="220" w:type="dxa"/>
            <w:vAlign w:val="bottom"/>
          </w:tcPr>
          <w:p>
            <w:pPr>
              <w:spacing w:after="0"/>
              <w:rPr>
                <w:sz w:val="24"/>
                <w:szCs w:val="24"/>
                <w:color w:val="auto"/>
              </w:rPr>
            </w:pPr>
          </w:p>
        </w:tc>
        <w:tc>
          <w:tcPr>
            <w:tcW w:w="2720" w:type="dxa"/>
            <w:vAlign w:val="bottom"/>
            <w:gridSpan w:val="26"/>
          </w:tcPr>
          <w:p>
            <w:pPr>
              <w:spacing w:after="0"/>
              <w:rPr>
                <w:sz w:val="20"/>
                <w:szCs w:val="20"/>
                <w:color w:val="auto"/>
              </w:rPr>
            </w:pPr>
            <w:r>
              <w:rPr>
                <w:rFonts w:ascii="Times New Roman" w:cs="Times New Roman" w:eastAsia="Times New Roman" w:hAnsi="Times New Roman"/>
                <w:sz w:val="22"/>
                <w:szCs w:val="22"/>
                <w:color w:val="0000FF"/>
              </w:rPr>
              <w:t>Repayments and Prepayments</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33</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280" w:type="dxa"/>
            <w:vAlign w:val="bottom"/>
            <w:tcBorders>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3.2</w:t>
            </w:r>
          </w:p>
        </w:tc>
        <w:tc>
          <w:tcPr>
            <w:tcW w:w="220" w:type="dxa"/>
            <w:vAlign w:val="bottom"/>
          </w:tcPr>
          <w:p>
            <w:pPr>
              <w:spacing w:after="0"/>
              <w:rPr>
                <w:sz w:val="21"/>
                <w:szCs w:val="21"/>
                <w:color w:val="auto"/>
              </w:rPr>
            </w:pPr>
          </w:p>
        </w:tc>
        <w:tc>
          <w:tcPr>
            <w:tcW w:w="3880" w:type="dxa"/>
            <w:vAlign w:val="bottom"/>
            <w:tcBorders>
              <w:bottom w:val="single" w:sz="8" w:color="0000FF"/>
            </w:tcBorders>
            <w:gridSpan w:val="32"/>
          </w:tcPr>
          <w:p>
            <w:pPr>
              <w:spacing w:after="0" w:line="250" w:lineRule="exact"/>
              <w:rPr>
                <w:sz w:val="20"/>
                <w:szCs w:val="20"/>
                <w:color w:val="auto"/>
              </w:rPr>
            </w:pPr>
            <w:r>
              <w:rPr>
                <w:rFonts w:ascii="Times New Roman" w:cs="Times New Roman" w:eastAsia="Times New Roman" w:hAnsi="Times New Roman"/>
                <w:sz w:val="22"/>
                <w:szCs w:val="22"/>
                <w:color w:val="0000FF"/>
                <w:w w:val="97"/>
              </w:rPr>
              <w:t>Amortization; Repayments and Prepayments</w:t>
            </w:r>
          </w:p>
        </w:tc>
        <w:tc>
          <w:tcPr>
            <w:tcW w:w="180" w:type="dxa"/>
            <w:vAlign w:val="bottom"/>
            <w:gridSpan w:val="2"/>
          </w:tcPr>
          <w:p>
            <w:pPr>
              <w:spacing w:after="0"/>
              <w:rPr>
                <w:sz w:val="21"/>
                <w:szCs w:val="21"/>
                <w:color w:val="auto"/>
              </w:rPr>
            </w:pPr>
          </w:p>
        </w:tc>
        <w:tc>
          <w:tcPr>
            <w:tcW w:w="400" w:type="dxa"/>
            <w:vAlign w:val="bottom"/>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99"/>
              </w:rPr>
              <w:t>33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12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3.3</w:t>
            </w:r>
          </w:p>
        </w:tc>
        <w:tc>
          <w:tcPr>
            <w:tcW w:w="220" w:type="dxa"/>
            <w:vAlign w:val="bottom"/>
          </w:tcPr>
          <w:p>
            <w:pPr>
              <w:spacing w:after="0"/>
              <w:rPr>
                <w:sz w:val="20"/>
                <w:szCs w:val="20"/>
                <w:color w:val="auto"/>
              </w:rPr>
            </w:pPr>
          </w:p>
        </w:tc>
        <w:tc>
          <w:tcPr>
            <w:tcW w:w="114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rPr>
              <w:t>Application</w:t>
            </w:r>
          </w:p>
        </w:tc>
        <w:tc>
          <w:tcPr>
            <w:tcW w:w="32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tcBorders>
              <w:bottom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3.4</w:t>
            </w:r>
          </w:p>
        </w:tc>
        <w:tc>
          <w:tcPr>
            <w:tcW w:w="220" w:type="dxa"/>
            <w:vAlign w:val="bottom"/>
          </w:tcPr>
          <w:p>
            <w:pPr>
              <w:spacing w:after="0"/>
              <w:rPr>
                <w:sz w:val="20"/>
                <w:szCs w:val="20"/>
                <w:color w:val="auto"/>
              </w:rPr>
            </w:pPr>
          </w:p>
        </w:tc>
        <w:tc>
          <w:tcPr>
            <w:tcW w:w="1140" w:type="dxa"/>
            <w:vAlign w:val="bottom"/>
            <w:tcBorders>
              <w:bottom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8"/>
              </w:rPr>
              <w:t>Interest Rate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34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tcBorders>
              <w:bottom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3.5</w:t>
            </w:r>
          </w:p>
        </w:tc>
        <w:tc>
          <w:tcPr>
            <w:tcW w:w="220" w:type="dxa"/>
            <w:vAlign w:val="bottom"/>
          </w:tcPr>
          <w:p>
            <w:pPr>
              <w:spacing w:after="0"/>
              <w:rPr>
                <w:sz w:val="20"/>
                <w:szCs w:val="20"/>
                <w:color w:val="auto"/>
              </w:rPr>
            </w:pPr>
          </w:p>
        </w:tc>
        <w:tc>
          <w:tcPr>
            <w:tcW w:w="1140" w:type="dxa"/>
            <w:vAlign w:val="bottom"/>
            <w:tcBorders>
              <w:bottom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8"/>
              </w:rPr>
              <w:t>Default Rate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34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2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3.6</w:t>
            </w:r>
          </w:p>
        </w:tc>
        <w:tc>
          <w:tcPr>
            <w:tcW w:w="220" w:type="dxa"/>
            <w:vAlign w:val="bottom"/>
          </w:tcPr>
          <w:p>
            <w:pPr>
              <w:spacing w:after="0"/>
              <w:rPr>
                <w:sz w:val="20"/>
                <w:szCs w:val="20"/>
                <w:color w:val="auto"/>
              </w:rPr>
            </w:pPr>
          </w:p>
        </w:tc>
        <w:tc>
          <w:tcPr>
            <w:tcW w:w="1320" w:type="dxa"/>
            <w:vAlign w:val="bottom"/>
            <w:gridSpan w:val="9"/>
          </w:tcPr>
          <w:p>
            <w:pPr>
              <w:spacing w:after="0" w:line="237" w:lineRule="exact"/>
              <w:rPr>
                <w:sz w:val="20"/>
                <w:szCs w:val="20"/>
                <w:color w:val="auto"/>
              </w:rPr>
            </w:pPr>
            <w:r>
              <w:rPr>
                <w:rFonts w:ascii="Times New Roman" w:cs="Times New Roman" w:eastAsia="Times New Roman" w:hAnsi="Times New Roman"/>
                <w:sz w:val="22"/>
                <w:szCs w:val="22"/>
                <w:color w:val="0000FF"/>
                <w:w w:val="98"/>
              </w:rPr>
              <w:t>Payment Dates</w:t>
            </w:r>
          </w:p>
        </w:tc>
        <w:tc>
          <w:tcPr>
            <w:tcW w:w="42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2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3.7</w:t>
            </w:r>
          </w:p>
        </w:tc>
        <w:tc>
          <w:tcPr>
            <w:tcW w:w="220" w:type="dxa"/>
            <w:vAlign w:val="bottom"/>
          </w:tcPr>
          <w:p>
            <w:pPr>
              <w:spacing w:after="0"/>
              <w:rPr>
                <w:sz w:val="21"/>
                <w:szCs w:val="21"/>
                <w:color w:val="auto"/>
              </w:rPr>
            </w:pPr>
          </w:p>
        </w:tc>
        <w:tc>
          <w:tcPr>
            <w:tcW w:w="114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rPr>
              <w:t>Fee Letter</w:t>
            </w:r>
          </w:p>
        </w:tc>
        <w:tc>
          <w:tcPr>
            <w:tcW w:w="1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35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2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3.8</w:t>
            </w:r>
          </w:p>
        </w:tc>
        <w:tc>
          <w:tcPr>
            <w:tcW w:w="220" w:type="dxa"/>
            <w:vAlign w:val="bottom"/>
          </w:tcPr>
          <w:p>
            <w:pPr>
              <w:spacing w:after="0"/>
              <w:rPr>
                <w:sz w:val="20"/>
                <w:szCs w:val="20"/>
                <w:color w:val="auto"/>
              </w:rPr>
            </w:pPr>
          </w:p>
        </w:tc>
        <w:tc>
          <w:tcPr>
            <w:tcW w:w="1960" w:type="dxa"/>
            <w:vAlign w:val="bottom"/>
            <w:gridSpan w:val="18"/>
          </w:tcPr>
          <w:p>
            <w:pPr>
              <w:spacing w:after="0" w:line="237" w:lineRule="exact"/>
              <w:rPr>
                <w:sz w:val="20"/>
                <w:szCs w:val="20"/>
                <w:color w:val="auto"/>
              </w:rPr>
            </w:pPr>
            <w:r>
              <w:rPr>
                <w:rFonts w:ascii="Times New Roman" w:cs="Times New Roman" w:eastAsia="Times New Roman" w:hAnsi="Times New Roman"/>
                <w:sz w:val="22"/>
                <w:szCs w:val="22"/>
                <w:color w:val="0000FF"/>
              </w:rPr>
              <w:t>Payments Generally</w:t>
            </w:r>
          </w:p>
        </w:tc>
        <w:tc>
          <w:tcPr>
            <w:tcW w:w="2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35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280" w:type="dxa"/>
            <w:vAlign w:val="bottom"/>
            <w:tcBorders>
              <w:top w:val="single" w:sz="8" w:color="0000FF"/>
              <w:bottom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3.9</w:t>
            </w:r>
          </w:p>
        </w:tc>
        <w:tc>
          <w:tcPr>
            <w:tcW w:w="220" w:type="dxa"/>
            <w:vAlign w:val="bottom"/>
          </w:tcPr>
          <w:p>
            <w:pPr>
              <w:spacing w:after="0"/>
              <w:rPr>
                <w:sz w:val="20"/>
                <w:szCs w:val="20"/>
                <w:color w:val="auto"/>
              </w:rPr>
            </w:pPr>
          </w:p>
        </w:tc>
        <w:tc>
          <w:tcPr>
            <w:tcW w:w="1180" w:type="dxa"/>
            <w:vAlign w:val="bottom"/>
            <w:tcBorders>
              <w:top w:val="single" w:sz="8" w:color="0000FF"/>
              <w:bottom w:val="single" w:sz="8" w:color="0000FF"/>
            </w:tcBorders>
            <w:gridSpan w:val="7"/>
          </w:tcPr>
          <w:p>
            <w:pPr>
              <w:spacing w:after="0" w:line="237" w:lineRule="exact"/>
              <w:rPr>
                <w:sz w:val="20"/>
                <w:szCs w:val="20"/>
                <w:color w:val="auto"/>
              </w:rPr>
            </w:pPr>
            <w:r>
              <w:rPr>
                <w:rFonts w:ascii="Times New Roman" w:cs="Times New Roman" w:eastAsia="Times New Roman" w:hAnsi="Times New Roman"/>
                <w:sz w:val="22"/>
                <w:szCs w:val="22"/>
                <w:color w:val="0000FF"/>
                <w:w w:val="97"/>
              </w:rPr>
              <w:t>Undrawn Fee</w:t>
            </w:r>
          </w:p>
        </w:tc>
        <w:tc>
          <w:tcPr>
            <w:tcW w:w="140" w:type="dxa"/>
            <w:vAlign w:val="bottom"/>
            <w:tcBorders>
              <w:top w:val="single" w:sz="8" w:color="0000FF"/>
            </w:tcBorders>
            <w:gridSpan w:val="2"/>
          </w:tcPr>
          <w:p>
            <w:pPr>
              <w:spacing w:after="0"/>
              <w:rPr>
                <w:sz w:val="20"/>
                <w:szCs w:val="20"/>
                <w:color w:val="auto"/>
              </w:rPr>
            </w:pPr>
          </w:p>
        </w:tc>
        <w:tc>
          <w:tcPr>
            <w:tcW w:w="360" w:type="dxa"/>
            <w:vAlign w:val="bottom"/>
            <w:tcBorders>
              <w:top w:val="single" w:sz="8" w:color="0000FF"/>
            </w:tcBorders>
            <w:gridSpan w:val="4"/>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35</w:t>
            </w: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53"/>
        </w:trPr>
        <w:tc>
          <w:tcPr>
            <w:tcW w:w="5280" w:type="dxa"/>
            <w:vAlign w:val="bottom"/>
            <w:gridSpan w:val="34"/>
          </w:tcPr>
          <w:p>
            <w:pPr>
              <w:spacing w:after="0"/>
              <w:rPr>
                <w:sz w:val="20"/>
                <w:szCs w:val="20"/>
                <w:color w:val="auto"/>
              </w:rPr>
            </w:pPr>
            <w:r>
              <w:rPr>
                <w:rFonts w:ascii="Times New Roman" w:cs="Times New Roman" w:eastAsia="Times New Roman" w:hAnsi="Times New Roman"/>
                <w:sz w:val="22"/>
                <w:szCs w:val="22"/>
                <w:color w:val="0000FF"/>
              </w:rPr>
              <w:t>ARTICLE IV  SOFR RATE AND OTHER PROVISIONS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rPr>
              <w:t>SECTION 4.1</w:t>
            </w:r>
          </w:p>
        </w:tc>
        <w:tc>
          <w:tcPr>
            <w:tcW w:w="220" w:type="dxa"/>
            <w:vAlign w:val="bottom"/>
          </w:tcPr>
          <w:p>
            <w:pPr>
              <w:spacing w:after="0"/>
              <w:rPr>
                <w:sz w:val="24"/>
                <w:szCs w:val="24"/>
                <w:color w:val="auto"/>
              </w:rPr>
            </w:pPr>
          </w:p>
        </w:tc>
        <w:tc>
          <w:tcPr>
            <w:tcW w:w="17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2"/>
                <w:szCs w:val="22"/>
                <w:color w:val="0000FF"/>
                <w:w w:val="97"/>
              </w:rPr>
              <w:t>Increased Costs, Etc</w:t>
            </w:r>
          </w:p>
        </w:tc>
        <w:tc>
          <w:tcPr>
            <w:tcW w:w="200" w:type="dxa"/>
            <w:vAlign w:val="bottom"/>
            <w:gridSpan w:val="3"/>
          </w:tcPr>
          <w:p>
            <w:pPr>
              <w:spacing w:after="0"/>
              <w:rPr>
                <w:sz w:val="24"/>
                <w:szCs w:val="24"/>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color w:val="auto"/>
                <w:w w:val="99"/>
              </w:rPr>
              <w:t>35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660" w:type="dxa"/>
            <w:vAlign w:val="bottom"/>
          </w:tcPr>
          <w:p>
            <w:pPr>
              <w:spacing w:after="0"/>
              <w:rPr>
                <w:sz w:val="21"/>
                <w:szCs w:val="21"/>
                <w:color w:val="auto"/>
              </w:rPr>
            </w:pPr>
          </w:p>
        </w:tc>
        <w:tc>
          <w:tcPr>
            <w:tcW w:w="12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4.2</w:t>
            </w:r>
          </w:p>
        </w:tc>
        <w:tc>
          <w:tcPr>
            <w:tcW w:w="220" w:type="dxa"/>
            <w:vAlign w:val="bottom"/>
          </w:tcPr>
          <w:p>
            <w:pPr>
              <w:spacing w:after="0"/>
              <w:rPr>
                <w:sz w:val="21"/>
                <w:szCs w:val="21"/>
                <w:color w:val="auto"/>
              </w:rPr>
            </w:pPr>
          </w:p>
        </w:tc>
        <w:tc>
          <w:tcPr>
            <w:tcW w:w="2720" w:type="dxa"/>
            <w:vAlign w:val="bottom"/>
            <w:gridSpan w:val="26"/>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Increased Capital Costs  </w:t>
            </w:r>
            <w:r>
              <w:rPr>
                <w:rFonts w:ascii="Times New Roman" w:cs="Times New Roman" w:eastAsia="Times New Roman" w:hAnsi="Times New Roman"/>
                <w:sz w:val="22"/>
                <w:szCs w:val="22"/>
                <w:color w:val="000000"/>
              </w:rPr>
              <w:t>36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1280" w:type="dxa"/>
            <w:vAlign w:val="bottom"/>
            <w:tcBorders>
              <w:top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4.3</w:t>
            </w:r>
          </w:p>
        </w:tc>
        <w:tc>
          <w:tcPr>
            <w:tcW w:w="220" w:type="dxa"/>
            <w:vAlign w:val="bottom"/>
          </w:tcPr>
          <w:p>
            <w:pPr>
              <w:spacing w:after="0"/>
              <w:rPr>
                <w:sz w:val="20"/>
                <w:szCs w:val="20"/>
                <w:color w:val="auto"/>
              </w:rPr>
            </w:pPr>
          </w:p>
        </w:tc>
        <w:tc>
          <w:tcPr>
            <w:tcW w:w="1140" w:type="dxa"/>
            <w:vAlign w:val="bottom"/>
            <w:tcBorders>
              <w:top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Taxes  </w:t>
            </w:r>
            <w:r>
              <w:rPr>
                <w:rFonts w:ascii="Times New Roman" w:cs="Times New Roman" w:eastAsia="Times New Roman" w:hAnsi="Times New Roman"/>
                <w:sz w:val="22"/>
                <w:szCs w:val="22"/>
                <w:color w:val="000000"/>
              </w:rPr>
              <w:t>36</w:t>
            </w: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tcBorders>
              <w:bottom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4.4</w:t>
            </w:r>
          </w:p>
        </w:tc>
        <w:tc>
          <w:tcPr>
            <w:tcW w:w="220" w:type="dxa"/>
            <w:vAlign w:val="bottom"/>
          </w:tcPr>
          <w:p>
            <w:pPr>
              <w:spacing w:after="0"/>
              <w:rPr>
                <w:sz w:val="20"/>
                <w:szCs w:val="20"/>
                <w:color w:val="auto"/>
              </w:rPr>
            </w:pPr>
          </w:p>
        </w:tc>
        <w:tc>
          <w:tcPr>
            <w:tcW w:w="4600" w:type="dxa"/>
            <w:vAlign w:val="bottom"/>
            <w:tcBorders>
              <w:bottom w:val="single" w:sz="8" w:color="0000FF"/>
            </w:tcBorders>
            <w:gridSpan w:val="37"/>
          </w:tcPr>
          <w:p>
            <w:pPr>
              <w:spacing w:after="0" w:line="237" w:lineRule="exact"/>
              <w:rPr>
                <w:sz w:val="20"/>
                <w:szCs w:val="20"/>
                <w:color w:val="auto"/>
              </w:rPr>
            </w:pPr>
            <w:r>
              <w:rPr>
                <w:rFonts w:ascii="Times New Roman" w:cs="Times New Roman" w:eastAsia="Times New Roman" w:hAnsi="Times New Roman"/>
                <w:sz w:val="22"/>
                <w:szCs w:val="22"/>
                <w:color w:val="0000FF"/>
                <w:w w:val="97"/>
              </w:rPr>
              <w:t>Payments, Computations; Proceeds of Collateral, Etc</w:t>
            </w:r>
          </w:p>
        </w:tc>
        <w:tc>
          <w:tcPr>
            <w:tcW w:w="40" w:type="dxa"/>
            <w:vAlign w:val="bottom"/>
          </w:tcPr>
          <w:p>
            <w:pPr>
              <w:spacing w:after="0"/>
              <w:rPr>
                <w:sz w:val="20"/>
                <w:szCs w:val="20"/>
                <w:color w:val="auto"/>
              </w:rPr>
            </w:pPr>
          </w:p>
        </w:tc>
        <w:tc>
          <w:tcPr>
            <w:tcW w:w="4020" w:type="dxa"/>
            <w:vAlign w:val="bottom"/>
          </w:tcPr>
          <w:p>
            <w:pPr>
              <w:jc w:val="right"/>
              <w:ind w:right="3532"/>
              <w:spacing w:after="0" w:line="237" w:lineRule="exact"/>
              <w:rPr>
                <w:sz w:val="20"/>
                <w:szCs w:val="20"/>
                <w:color w:val="auto"/>
              </w:rPr>
            </w:pPr>
            <w:r>
              <w:rPr>
                <w:rFonts w:ascii="Times New Roman" w:cs="Times New Roman" w:eastAsia="Times New Roman" w:hAnsi="Times New Roman"/>
                <w:sz w:val="22"/>
                <w:szCs w:val="22"/>
                <w:color w:val="auto"/>
              </w:rPr>
              <w:t>40</w:t>
            </w: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4.5</w:t>
            </w:r>
          </w:p>
        </w:tc>
        <w:tc>
          <w:tcPr>
            <w:tcW w:w="220" w:type="dxa"/>
            <w:vAlign w:val="bottom"/>
          </w:tcPr>
          <w:p>
            <w:pPr>
              <w:spacing w:after="0"/>
              <w:rPr>
                <w:sz w:val="20"/>
                <w:szCs w:val="20"/>
                <w:color w:val="auto"/>
              </w:rPr>
            </w:pPr>
          </w:p>
        </w:tc>
        <w:tc>
          <w:tcPr>
            <w:tcW w:w="72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0000FF"/>
              </w:rPr>
              <w:t>Setoff</w:t>
            </w:r>
          </w:p>
        </w:tc>
        <w:tc>
          <w:tcPr>
            <w:tcW w:w="30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w w:val="99"/>
              </w:rPr>
              <w:t>41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tcBorders>
              <w:bottom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4.6</w:t>
            </w:r>
          </w:p>
        </w:tc>
        <w:tc>
          <w:tcPr>
            <w:tcW w:w="220" w:type="dxa"/>
            <w:vAlign w:val="bottom"/>
          </w:tcPr>
          <w:p>
            <w:pPr>
              <w:spacing w:after="0"/>
              <w:rPr>
                <w:sz w:val="20"/>
                <w:szCs w:val="20"/>
                <w:color w:val="auto"/>
              </w:rPr>
            </w:pPr>
          </w:p>
        </w:tc>
        <w:tc>
          <w:tcPr>
            <w:tcW w:w="2600" w:type="dxa"/>
            <w:vAlign w:val="bottom"/>
            <w:tcBorders>
              <w:bottom w:val="single" w:sz="8" w:color="0000FF"/>
            </w:tcBorders>
            <w:gridSpan w:val="25"/>
          </w:tcPr>
          <w:p>
            <w:pPr>
              <w:spacing w:after="0" w:line="237" w:lineRule="exact"/>
              <w:rPr>
                <w:sz w:val="20"/>
                <w:szCs w:val="20"/>
                <w:color w:val="auto"/>
              </w:rPr>
            </w:pPr>
            <w:r>
              <w:rPr>
                <w:rFonts w:ascii="Times New Roman" w:cs="Times New Roman" w:eastAsia="Times New Roman" w:hAnsi="Times New Roman"/>
                <w:sz w:val="22"/>
                <w:szCs w:val="22"/>
                <w:color w:val="0000FF"/>
                <w:w w:val="97"/>
              </w:rPr>
              <w:t>SOFR Rate Not Determinable</w:t>
            </w:r>
          </w:p>
        </w:tc>
        <w:tc>
          <w:tcPr>
            <w:tcW w:w="120" w:type="dxa"/>
            <w:vAlign w:val="bottom"/>
          </w:tcPr>
          <w:p>
            <w:pPr>
              <w:spacing w:after="0"/>
              <w:rPr>
                <w:sz w:val="20"/>
                <w:szCs w:val="20"/>
                <w:color w:val="auto"/>
              </w:rPr>
            </w:pPr>
          </w:p>
        </w:tc>
        <w:tc>
          <w:tcPr>
            <w:tcW w:w="4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tcBorders>
              <w:bottom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4.7</w:t>
            </w:r>
          </w:p>
        </w:tc>
        <w:tc>
          <w:tcPr>
            <w:tcW w:w="220" w:type="dxa"/>
            <w:vAlign w:val="bottom"/>
          </w:tcPr>
          <w:p>
            <w:pPr>
              <w:spacing w:after="0"/>
              <w:rPr>
                <w:sz w:val="20"/>
                <w:szCs w:val="20"/>
                <w:color w:val="auto"/>
              </w:rPr>
            </w:pPr>
          </w:p>
        </w:tc>
        <w:tc>
          <w:tcPr>
            <w:tcW w:w="1680" w:type="dxa"/>
            <w:vAlign w:val="bottom"/>
            <w:tcBorders>
              <w:bottom w:val="single" w:sz="8" w:color="0000FF"/>
            </w:tcBorders>
            <w:gridSpan w:val="13"/>
          </w:tcPr>
          <w:p>
            <w:pPr>
              <w:spacing w:after="0" w:line="237" w:lineRule="exact"/>
              <w:rPr>
                <w:sz w:val="20"/>
                <w:szCs w:val="20"/>
                <w:color w:val="auto"/>
              </w:rPr>
            </w:pPr>
            <w:r>
              <w:rPr>
                <w:rFonts w:ascii="Times New Roman" w:cs="Times New Roman" w:eastAsia="Times New Roman" w:hAnsi="Times New Roman"/>
                <w:sz w:val="22"/>
                <w:szCs w:val="22"/>
                <w:color w:val="0000FF"/>
                <w:w w:val="97"/>
              </w:rPr>
              <w:t>Defaulting Lenders</w:t>
            </w:r>
          </w:p>
        </w:tc>
        <w:tc>
          <w:tcPr>
            <w:tcW w:w="500" w:type="dxa"/>
            <w:vAlign w:val="bottom"/>
            <w:gridSpan w:val="7"/>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66"/>
        </w:trPr>
        <w:tc>
          <w:tcPr>
            <w:tcW w:w="5280" w:type="dxa"/>
            <w:vAlign w:val="bottom"/>
            <w:gridSpan w:val="34"/>
          </w:tcPr>
          <w:p>
            <w:pPr>
              <w:spacing w:after="0"/>
              <w:rPr>
                <w:sz w:val="20"/>
                <w:szCs w:val="20"/>
                <w:color w:val="auto"/>
              </w:rPr>
            </w:pPr>
            <w:r>
              <w:rPr>
                <w:rFonts w:ascii="Times New Roman" w:cs="Times New Roman" w:eastAsia="Times New Roman" w:hAnsi="Times New Roman"/>
                <w:sz w:val="22"/>
                <w:szCs w:val="22"/>
                <w:color w:val="0000FF"/>
              </w:rPr>
              <w:t>ARTICLE V  CONDITIONS TO MAKING THE LOANS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8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SECTION 5.1</w:t>
            </w:r>
          </w:p>
        </w:tc>
        <w:tc>
          <w:tcPr>
            <w:tcW w:w="220" w:type="dxa"/>
            <w:vAlign w:val="bottom"/>
          </w:tcPr>
          <w:p>
            <w:pPr>
              <w:spacing w:after="0"/>
              <w:rPr>
                <w:sz w:val="24"/>
                <w:szCs w:val="24"/>
                <w:color w:val="auto"/>
              </w:rPr>
            </w:pPr>
          </w:p>
        </w:tc>
        <w:tc>
          <w:tcPr>
            <w:tcW w:w="1680" w:type="dxa"/>
            <w:vAlign w:val="bottom"/>
            <w:gridSpan w:val="13"/>
          </w:tcPr>
          <w:p>
            <w:pPr>
              <w:spacing w:after="0"/>
              <w:rPr>
                <w:sz w:val="20"/>
                <w:szCs w:val="20"/>
                <w:color w:val="auto"/>
              </w:rPr>
            </w:pPr>
            <w:r>
              <w:rPr>
                <w:rFonts w:ascii="Times New Roman" w:cs="Times New Roman" w:eastAsia="Times New Roman" w:hAnsi="Times New Roman"/>
                <w:sz w:val="22"/>
                <w:szCs w:val="22"/>
                <w:color w:val="0000FF"/>
              </w:rPr>
              <w:t>Credit Extensions</w:t>
            </w: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5.2</w:t>
            </w:r>
          </w:p>
        </w:tc>
        <w:tc>
          <w:tcPr>
            <w:tcW w:w="220" w:type="dxa"/>
            <w:vAlign w:val="bottom"/>
          </w:tcPr>
          <w:p>
            <w:pPr>
              <w:spacing w:after="0"/>
              <w:rPr>
                <w:sz w:val="20"/>
                <w:szCs w:val="20"/>
                <w:color w:val="auto"/>
              </w:rPr>
            </w:pPr>
          </w:p>
        </w:tc>
        <w:tc>
          <w:tcPr>
            <w:tcW w:w="2360" w:type="dxa"/>
            <w:vAlign w:val="bottom"/>
            <w:gridSpan w:val="23"/>
          </w:tcPr>
          <w:p>
            <w:pPr>
              <w:spacing w:after="0" w:line="237" w:lineRule="exact"/>
              <w:rPr>
                <w:sz w:val="20"/>
                <w:szCs w:val="20"/>
                <w:color w:val="auto"/>
              </w:rPr>
            </w:pPr>
            <w:r>
              <w:rPr>
                <w:rFonts w:ascii="Times New Roman" w:cs="Times New Roman" w:eastAsia="Times New Roman" w:hAnsi="Times New Roman"/>
                <w:sz w:val="22"/>
                <w:szCs w:val="22"/>
                <w:color w:val="0000FF"/>
                <w:w w:val="98"/>
              </w:rPr>
              <w:t>Secretary’s Certificate, Etc</w:t>
            </w:r>
          </w:p>
        </w:tc>
        <w:tc>
          <w:tcPr>
            <w:tcW w:w="640" w:type="dxa"/>
            <w:vAlign w:val="bottom"/>
            <w:gridSpan w:val="4"/>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tcBorders>
              <w:top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5.3</w:t>
            </w:r>
          </w:p>
        </w:tc>
        <w:tc>
          <w:tcPr>
            <w:tcW w:w="220" w:type="dxa"/>
            <w:vAlign w:val="bottom"/>
          </w:tcPr>
          <w:p>
            <w:pPr>
              <w:spacing w:after="0"/>
              <w:rPr>
                <w:sz w:val="20"/>
                <w:szCs w:val="20"/>
                <w:color w:val="auto"/>
              </w:rPr>
            </w:pPr>
          </w:p>
        </w:tc>
        <w:tc>
          <w:tcPr>
            <w:tcW w:w="2320" w:type="dxa"/>
            <w:vAlign w:val="bottom"/>
            <w:tcBorders>
              <w:top w:val="single" w:sz="8" w:color="0000FF"/>
            </w:tcBorders>
            <w:gridSpan w:val="22"/>
          </w:tcPr>
          <w:p>
            <w:pPr>
              <w:spacing w:after="0" w:line="237" w:lineRule="exact"/>
              <w:rPr>
                <w:sz w:val="20"/>
                <w:szCs w:val="20"/>
                <w:color w:val="auto"/>
              </w:rPr>
            </w:pPr>
            <w:r>
              <w:rPr>
                <w:rFonts w:ascii="Times New Roman" w:cs="Times New Roman" w:eastAsia="Times New Roman" w:hAnsi="Times New Roman"/>
                <w:sz w:val="22"/>
                <w:szCs w:val="22"/>
                <w:color w:val="0000FF"/>
              </w:rPr>
              <w:t>Closing Date Certificates</w:t>
            </w:r>
          </w:p>
        </w:tc>
        <w:tc>
          <w:tcPr>
            <w:tcW w:w="40" w:type="dxa"/>
            <w:vAlign w:val="bottom"/>
          </w:tcPr>
          <w:p>
            <w:pPr>
              <w:spacing w:after="0"/>
              <w:rPr>
                <w:sz w:val="20"/>
                <w:szCs w:val="20"/>
                <w:color w:val="auto"/>
              </w:rPr>
            </w:pPr>
          </w:p>
        </w:tc>
        <w:tc>
          <w:tcPr>
            <w:tcW w:w="360" w:type="dxa"/>
            <w:vAlign w:val="bottom"/>
            <w:gridSpan w:val="3"/>
          </w:tcPr>
          <w:p>
            <w:pPr>
              <w:ind w:left="40"/>
              <w:spacing w:after="0" w:line="237" w:lineRule="exact"/>
              <w:rPr>
                <w:sz w:val="20"/>
                <w:szCs w:val="20"/>
                <w:color w:val="auto"/>
              </w:rPr>
            </w:pPr>
            <w:r>
              <w:rPr>
                <w:rFonts w:ascii="Times New Roman" w:cs="Times New Roman" w:eastAsia="Times New Roman" w:hAnsi="Times New Roman"/>
                <w:sz w:val="22"/>
                <w:szCs w:val="22"/>
                <w:color w:val="auto"/>
              </w:rPr>
              <w:t>44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tcBorders>
              <w:bottom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5.4</w:t>
            </w:r>
          </w:p>
        </w:tc>
        <w:tc>
          <w:tcPr>
            <w:tcW w:w="220" w:type="dxa"/>
            <w:vAlign w:val="bottom"/>
          </w:tcPr>
          <w:p>
            <w:pPr>
              <w:spacing w:after="0"/>
              <w:rPr>
                <w:sz w:val="20"/>
                <w:szCs w:val="20"/>
                <w:color w:val="auto"/>
              </w:rPr>
            </w:pPr>
          </w:p>
        </w:tc>
        <w:tc>
          <w:tcPr>
            <w:tcW w:w="3680" w:type="dxa"/>
            <w:vAlign w:val="bottom"/>
            <w:tcBorders>
              <w:bottom w:val="single" w:sz="8" w:color="0000FF"/>
            </w:tcBorders>
            <w:gridSpan w:val="31"/>
          </w:tcPr>
          <w:p>
            <w:pPr>
              <w:spacing w:after="0" w:line="237" w:lineRule="exact"/>
              <w:rPr>
                <w:sz w:val="20"/>
                <w:szCs w:val="20"/>
                <w:color w:val="auto"/>
              </w:rPr>
            </w:pPr>
            <w:r>
              <w:rPr>
                <w:rFonts w:ascii="Times New Roman" w:cs="Times New Roman" w:eastAsia="Times New Roman" w:hAnsi="Times New Roman"/>
                <w:sz w:val="22"/>
                <w:szCs w:val="22"/>
                <w:color w:val="0000FF"/>
                <w:w w:val="97"/>
              </w:rPr>
              <w:t>Payment of Outstanding Indebtedness, Etc</w:t>
            </w:r>
          </w:p>
        </w:tc>
        <w:tc>
          <w:tcPr>
            <w:tcW w:w="780" w:type="dxa"/>
            <w:vAlign w:val="bottom"/>
            <w:gridSpan w:val="4"/>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45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0"/>
        </w:trPr>
        <w:tc>
          <w:tcPr>
            <w:tcW w:w="660" w:type="dxa"/>
            <w:vAlign w:val="bottom"/>
          </w:tcPr>
          <w:p>
            <w:pPr>
              <w:spacing w:after="0"/>
              <w:rPr>
                <w:sz w:val="21"/>
                <w:szCs w:val="21"/>
                <w:color w:val="auto"/>
              </w:rPr>
            </w:pPr>
          </w:p>
        </w:tc>
        <w:tc>
          <w:tcPr>
            <w:tcW w:w="12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5.5</w:t>
            </w:r>
          </w:p>
        </w:tc>
        <w:tc>
          <w:tcPr>
            <w:tcW w:w="220" w:type="dxa"/>
            <w:vAlign w:val="bottom"/>
          </w:tcPr>
          <w:p>
            <w:pPr>
              <w:spacing w:after="0"/>
              <w:rPr>
                <w:sz w:val="21"/>
                <w:szCs w:val="21"/>
                <w:color w:val="auto"/>
              </w:rPr>
            </w:pPr>
          </w:p>
        </w:tc>
        <w:tc>
          <w:tcPr>
            <w:tcW w:w="1680" w:type="dxa"/>
            <w:vAlign w:val="bottom"/>
            <w:gridSpan w:val="13"/>
          </w:tcPr>
          <w:p>
            <w:pPr>
              <w:spacing w:after="0" w:line="250" w:lineRule="exact"/>
              <w:rPr>
                <w:sz w:val="20"/>
                <w:szCs w:val="20"/>
                <w:color w:val="auto"/>
              </w:rPr>
            </w:pPr>
            <w:r>
              <w:rPr>
                <w:rFonts w:ascii="Times New Roman" w:cs="Times New Roman" w:eastAsia="Times New Roman" w:hAnsi="Times New Roman"/>
                <w:sz w:val="22"/>
                <w:szCs w:val="22"/>
                <w:color w:val="0000FF"/>
              </w:rPr>
              <w:t>Delivery of Note</w:t>
            </w:r>
          </w:p>
        </w:tc>
        <w:tc>
          <w:tcPr>
            <w:tcW w:w="240" w:type="dxa"/>
            <w:vAlign w:val="bottom"/>
            <w:gridSpan w:val="4"/>
          </w:tcPr>
          <w:p>
            <w:pPr>
              <w:jc w:val="right"/>
              <w:ind w:right="20"/>
              <w:spacing w:after="0" w:line="250" w:lineRule="exact"/>
              <w:rPr>
                <w:sz w:val="20"/>
                <w:szCs w:val="20"/>
                <w:color w:val="auto"/>
              </w:rPr>
            </w:pPr>
            <w:r>
              <w:rPr>
                <w:rFonts w:ascii="Times New Roman" w:cs="Times New Roman" w:eastAsia="Times New Roman" w:hAnsi="Times New Roman"/>
                <w:sz w:val="22"/>
                <w:szCs w:val="22"/>
                <w:color w:val="auto"/>
                <w:w w:val="90"/>
              </w:rPr>
              <w:t>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5.6</w:t>
            </w:r>
          </w:p>
        </w:tc>
        <w:tc>
          <w:tcPr>
            <w:tcW w:w="220" w:type="dxa"/>
            <w:vAlign w:val="bottom"/>
          </w:tcPr>
          <w:p>
            <w:pPr>
              <w:spacing w:after="0"/>
              <w:rPr>
                <w:sz w:val="20"/>
                <w:szCs w:val="20"/>
                <w:color w:val="auto"/>
              </w:rPr>
            </w:pPr>
          </w:p>
        </w:tc>
        <w:tc>
          <w:tcPr>
            <w:tcW w:w="2360" w:type="dxa"/>
            <w:vAlign w:val="bottom"/>
            <w:gridSpan w:val="23"/>
          </w:tcPr>
          <w:p>
            <w:pPr>
              <w:spacing w:after="0" w:line="237" w:lineRule="exact"/>
              <w:rPr>
                <w:sz w:val="20"/>
                <w:szCs w:val="20"/>
                <w:color w:val="auto"/>
              </w:rPr>
            </w:pPr>
            <w:r>
              <w:rPr>
                <w:rFonts w:ascii="Times New Roman" w:cs="Times New Roman" w:eastAsia="Times New Roman" w:hAnsi="Times New Roman"/>
                <w:sz w:val="22"/>
                <w:szCs w:val="22"/>
                <w:color w:val="0000FF"/>
              </w:rPr>
              <w:t>Financial Information, Etc</w:t>
            </w:r>
          </w:p>
        </w:tc>
        <w:tc>
          <w:tcPr>
            <w:tcW w:w="36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45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240"/>
          </w:cols>
          <w:pgMar w:left="320" w:top="1399"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1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rPr>
              <w:t>SECTION 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2"/>
                <w:szCs w:val="22"/>
                <w:color w:val="0000FF"/>
                <w:w w:val="97"/>
              </w:rPr>
              <w:t>Compliance Certificate</w:t>
            </w:r>
          </w:p>
        </w:tc>
        <w:tc>
          <w:tcPr>
            <w:tcW w:w="480" w:type="dxa"/>
            <w:vAlign w:val="bottom"/>
            <w:gridSpan w:val="6"/>
          </w:tcPr>
          <w:p>
            <w:pPr>
              <w:jc w:val="right"/>
              <w:ind w:right="60"/>
              <w:spacing w:after="0"/>
              <w:rPr>
                <w:sz w:val="20"/>
                <w:szCs w:val="20"/>
                <w:color w:val="auto"/>
              </w:rPr>
            </w:pPr>
            <w:r>
              <w:rPr>
                <w:rFonts w:ascii="Times New Roman" w:cs="Times New Roman" w:eastAsia="Times New Roman" w:hAnsi="Times New Roman"/>
                <w:sz w:val="22"/>
                <w:szCs w:val="22"/>
                <w:color w:val="auto"/>
              </w:rPr>
              <w:t>45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rPr>
              <w:t>SECTION 5.8</w:t>
            </w:r>
          </w:p>
        </w:tc>
        <w:tc>
          <w:tcPr>
            <w:tcW w:w="120" w:type="dxa"/>
            <w:vAlign w:val="bottom"/>
          </w:tcPr>
          <w:p>
            <w:pPr>
              <w:spacing w:after="0"/>
              <w:rPr>
                <w:sz w:val="20"/>
                <w:szCs w:val="20"/>
                <w:color w:val="auto"/>
              </w:rPr>
            </w:pPr>
          </w:p>
        </w:tc>
        <w:tc>
          <w:tcPr>
            <w:tcW w:w="1820" w:type="dxa"/>
            <w:vAlign w:val="bottom"/>
            <w:gridSpan w:val="16"/>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Solvency, Etc  </w:t>
            </w:r>
            <w:r>
              <w:rPr>
                <w:rFonts w:ascii="Times New Roman" w:cs="Times New Roman" w:eastAsia="Times New Roman" w:hAnsi="Times New Roman"/>
                <w:sz w:val="22"/>
                <w:szCs w:val="22"/>
                <w:color w:val="000000"/>
              </w:rPr>
              <w:t>46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11"/>
          </w:tcPr>
          <w:p>
            <w:pPr>
              <w:spacing w:after="0" w:line="237" w:lineRule="exact"/>
              <w:rPr>
                <w:sz w:val="20"/>
                <w:szCs w:val="20"/>
                <w:color w:val="auto"/>
              </w:rPr>
            </w:pPr>
            <w:r>
              <w:rPr>
                <w:rFonts w:ascii="Times New Roman" w:cs="Times New Roman" w:eastAsia="Times New Roman" w:hAnsi="Times New Roman"/>
                <w:sz w:val="22"/>
                <w:szCs w:val="22"/>
                <w:color w:val="0000FF"/>
              </w:rPr>
              <w:t>Guarantee</w:t>
            </w:r>
          </w:p>
        </w:tc>
        <w:tc>
          <w:tcPr>
            <w:tcW w:w="480" w:type="dxa"/>
            <w:vAlign w:val="bottom"/>
            <w:gridSpan w:val="2"/>
          </w:tcPr>
          <w:p>
            <w:pPr>
              <w:jc w:val="right"/>
              <w:ind w:right="260"/>
              <w:spacing w:after="0" w:line="237" w:lineRule="exact"/>
              <w:rPr>
                <w:sz w:val="20"/>
                <w:szCs w:val="20"/>
                <w:color w:val="auto"/>
              </w:rPr>
            </w:pPr>
            <w:r>
              <w:rPr>
                <w:rFonts w:ascii="Times New Roman" w:cs="Times New Roman" w:eastAsia="Times New Roman" w:hAnsi="Times New Roman"/>
                <w:sz w:val="22"/>
                <w:szCs w:val="22"/>
                <w:color w:val="auto"/>
                <w:w w:val="90"/>
              </w:rPr>
              <w:t>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38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5.10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18"/>
          </w:tcPr>
          <w:p>
            <w:pPr>
              <w:spacing w:after="0" w:line="250" w:lineRule="exact"/>
              <w:rPr>
                <w:sz w:val="20"/>
                <w:szCs w:val="20"/>
                <w:color w:val="auto"/>
              </w:rPr>
            </w:pPr>
            <w:r>
              <w:rPr>
                <w:rFonts w:ascii="Times New Roman" w:cs="Times New Roman" w:eastAsia="Times New Roman" w:hAnsi="Times New Roman"/>
                <w:sz w:val="22"/>
                <w:szCs w:val="22"/>
                <w:color w:val="0000FF"/>
              </w:rPr>
              <w:t>Security Agreement</w:t>
            </w:r>
          </w:p>
        </w:tc>
        <w:tc>
          <w:tcPr>
            <w:tcW w:w="24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46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5.11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33"/>
          </w:tcPr>
          <w:p>
            <w:pPr>
              <w:spacing w:after="0" w:line="237" w:lineRule="exact"/>
              <w:rPr>
                <w:sz w:val="20"/>
                <w:szCs w:val="20"/>
                <w:color w:val="auto"/>
              </w:rPr>
            </w:pPr>
            <w:r>
              <w:rPr>
                <w:rFonts w:ascii="Times New Roman" w:cs="Times New Roman" w:eastAsia="Times New Roman" w:hAnsi="Times New Roman"/>
                <w:sz w:val="22"/>
                <w:szCs w:val="22"/>
                <w:color w:val="0000FF"/>
              </w:rPr>
              <w:t>Intellectual Property Security Agreements</w:t>
            </w:r>
          </w:p>
        </w:tc>
        <w:tc>
          <w:tcPr>
            <w:tcW w:w="680" w:type="dxa"/>
            <w:vAlign w:val="bottom"/>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rPr>
              <w:t>46</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380" w:type="dxa"/>
            <w:vAlign w:val="bottom"/>
            <w:tcBorders>
              <w:top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5.12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top w:val="single" w:sz="8" w:color="0000FF"/>
            </w:tcBorders>
            <w:gridSpan w:val="18"/>
          </w:tcPr>
          <w:p>
            <w:pPr>
              <w:spacing w:after="0" w:line="237" w:lineRule="exact"/>
              <w:rPr>
                <w:sz w:val="20"/>
                <w:szCs w:val="20"/>
                <w:color w:val="auto"/>
              </w:rPr>
            </w:pPr>
            <w:r>
              <w:rPr>
                <w:rFonts w:ascii="Times New Roman" w:cs="Times New Roman" w:eastAsia="Times New Roman" w:hAnsi="Times New Roman"/>
                <w:sz w:val="22"/>
                <w:szCs w:val="22"/>
                <w:color w:val="0000FF"/>
              </w:rPr>
              <w:t>Opinion of Counsel</w:t>
            </w:r>
          </w:p>
        </w:tc>
        <w:tc>
          <w:tcPr>
            <w:tcW w:w="240" w:type="dxa"/>
            <w:vAlign w:val="bottom"/>
            <w:tcBorders>
              <w:top w:val="single" w:sz="8" w:color="0000FF"/>
            </w:tcBorders>
            <w:gridSpan w:val="4"/>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w w:val="90"/>
              </w:rPr>
              <w:t>46</w:t>
            </w: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5.13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10"/>
          </w:tcPr>
          <w:p>
            <w:pPr>
              <w:spacing w:after="0" w:line="237" w:lineRule="exact"/>
              <w:rPr>
                <w:sz w:val="20"/>
                <w:szCs w:val="20"/>
                <w:color w:val="auto"/>
              </w:rPr>
            </w:pPr>
            <w:r>
              <w:rPr>
                <w:rFonts w:ascii="Times New Roman" w:cs="Times New Roman" w:eastAsia="Times New Roman" w:hAnsi="Times New Roman"/>
                <w:sz w:val="22"/>
                <w:szCs w:val="22"/>
                <w:color w:val="0000FF"/>
              </w:rPr>
              <w:t>Insurance</w:t>
            </w:r>
          </w:p>
        </w:tc>
        <w:tc>
          <w:tcPr>
            <w:tcW w:w="480" w:type="dxa"/>
            <w:vAlign w:val="bottom"/>
            <w:gridSpan w:val="2"/>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rPr>
              <w:t>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5.14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5"/>
          </w:tcPr>
          <w:p>
            <w:pPr>
              <w:spacing w:after="0" w:line="237" w:lineRule="exact"/>
              <w:rPr>
                <w:sz w:val="20"/>
                <w:szCs w:val="20"/>
                <w:color w:val="auto"/>
              </w:rPr>
            </w:pPr>
            <w:r>
              <w:rPr>
                <w:rFonts w:ascii="Times New Roman" w:cs="Times New Roman" w:eastAsia="Times New Roman" w:hAnsi="Times New Roman"/>
                <w:sz w:val="22"/>
                <w:szCs w:val="22"/>
                <w:color w:val="0000FF"/>
                <w:w w:val="98"/>
              </w:rPr>
              <w:t>Closing Fees, Expenses, Etc</w:t>
            </w:r>
          </w:p>
        </w:tc>
        <w:tc>
          <w:tcPr>
            <w:tcW w:w="600" w:type="dxa"/>
            <w:vAlign w:val="bottom"/>
          </w:tcPr>
          <w:p>
            <w:pPr>
              <w:jc w:val="right"/>
              <w:ind w:right="92"/>
              <w:spacing w:after="0" w:line="237" w:lineRule="exact"/>
              <w:rPr>
                <w:sz w:val="20"/>
                <w:szCs w:val="20"/>
                <w:color w:val="auto"/>
              </w:rPr>
            </w:pPr>
            <w:r>
              <w:rPr>
                <w:rFonts w:ascii="Times New Roman" w:cs="Times New Roman" w:eastAsia="Times New Roman" w:hAnsi="Times New Roman"/>
                <w:sz w:val="22"/>
                <w:szCs w:val="22"/>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38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5.15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18"/>
          </w:tcPr>
          <w:p>
            <w:pPr>
              <w:spacing w:after="0" w:line="250" w:lineRule="exact"/>
              <w:rPr>
                <w:sz w:val="20"/>
                <w:szCs w:val="20"/>
                <w:color w:val="auto"/>
              </w:rPr>
            </w:pPr>
            <w:r>
              <w:rPr>
                <w:rFonts w:ascii="Times New Roman" w:cs="Times New Roman" w:eastAsia="Times New Roman" w:hAnsi="Times New Roman"/>
                <w:sz w:val="22"/>
                <w:szCs w:val="22"/>
                <w:color w:val="0000FF"/>
              </w:rPr>
              <w:t>Anti-Terrorism Laws</w:t>
            </w:r>
          </w:p>
        </w:tc>
        <w:tc>
          <w:tcPr>
            <w:tcW w:w="3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auto"/>
              </w:rPr>
              <w:t>47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5.16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15"/>
          </w:tcPr>
          <w:p>
            <w:pPr>
              <w:spacing w:after="0" w:line="237" w:lineRule="exact"/>
              <w:rPr>
                <w:sz w:val="20"/>
                <w:szCs w:val="20"/>
                <w:color w:val="auto"/>
              </w:rPr>
            </w:pPr>
            <w:r>
              <w:rPr>
                <w:rFonts w:ascii="Times New Roman" w:cs="Times New Roman" w:eastAsia="Times New Roman" w:hAnsi="Times New Roman"/>
                <w:sz w:val="22"/>
                <w:szCs w:val="22"/>
                <w:color w:val="0000FF"/>
              </w:rPr>
              <w:t>Loan Documents</w:t>
            </w:r>
          </w:p>
        </w:tc>
        <w:tc>
          <w:tcPr>
            <w:tcW w:w="20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w w:val="81"/>
              </w:rPr>
              <w:t>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5.17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2"/>
          </w:tcPr>
          <w:p>
            <w:pPr>
              <w:spacing w:after="0" w:line="237" w:lineRule="exact"/>
              <w:rPr>
                <w:sz w:val="20"/>
                <w:szCs w:val="20"/>
                <w:color w:val="auto"/>
              </w:rPr>
            </w:pPr>
            <w:r>
              <w:rPr>
                <w:rFonts w:ascii="Times New Roman" w:cs="Times New Roman" w:eastAsia="Times New Roman" w:hAnsi="Times New Roman"/>
                <w:sz w:val="22"/>
                <w:szCs w:val="22"/>
                <w:color w:val="0000FF"/>
                <w:w w:val="99"/>
              </w:rPr>
              <w:t>Satisfactory Legal Form</w:t>
            </w:r>
          </w:p>
        </w:tc>
        <w:tc>
          <w:tcPr>
            <w:tcW w:w="920" w:type="dxa"/>
            <w:vAlign w:val="bottom"/>
            <w:gridSpan w:val="4"/>
          </w:tcPr>
          <w:p>
            <w:pPr>
              <w:jc w:val="right"/>
              <w:ind w:right="432"/>
              <w:spacing w:after="0" w:line="237" w:lineRule="exact"/>
              <w:rPr>
                <w:sz w:val="20"/>
                <w:szCs w:val="20"/>
                <w:color w:val="auto"/>
              </w:rPr>
            </w:pPr>
            <w:r>
              <w:rPr>
                <w:rFonts w:ascii="Times New Roman" w:cs="Times New Roman" w:eastAsia="Times New Roman" w:hAnsi="Times New Roman"/>
                <w:sz w:val="22"/>
                <w:szCs w:val="22"/>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5.18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5"/>
          </w:tcPr>
          <w:p>
            <w:pPr>
              <w:spacing w:after="0" w:line="237" w:lineRule="exact"/>
              <w:rPr>
                <w:sz w:val="20"/>
                <w:szCs w:val="20"/>
                <w:color w:val="auto"/>
              </w:rPr>
            </w:pPr>
            <w:r>
              <w:rPr>
                <w:rFonts w:ascii="Times New Roman" w:cs="Times New Roman" w:eastAsia="Times New Roman" w:hAnsi="Times New Roman"/>
                <w:sz w:val="22"/>
                <w:szCs w:val="22"/>
                <w:color w:val="0000FF"/>
              </w:rPr>
              <w:t>No Material Adverse Effect</w:t>
            </w:r>
          </w:p>
        </w:tc>
        <w:tc>
          <w:tcPr>
            <w:tcW w:w="600" w:type="dxa"/>
            <w:vAlign w:val="bottom"/>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5.20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18"/>
          </w:tcPr>
          <w:p>
            <w:pPr>
              <w:spacing w:after="0" w:line="237" w:lineRule="exact"/>
              <w:rPr>
                <w:sz w:val="20"/>
                <w:szCs w:val="20"/>
                <w:color w:val="auto"/>
              </w:rPr>
            </w:pPr>
            <w:r>
              <w:rPr>
                <w:rFonts w:ascii="Times New Roman" w:cs="Times New Roman" w:eastAsia="Times New Roman" w:hAnsi="Times New Roman"/>
                <w:sz w:val="22"/>
                <w:szCs w:val="22"/>
                <w:color w:val="0000FF"/>
              </w:rPr>
              <w:t>Disclosure Schedules</w:t>
            </w:r>
          </w:p>
        </w:tc>
        <w:tc>
          <w:tcPr>
            <w:tcW w:w="38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47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53"/>
        </w:trPr>
        <w:tc>
          <w:tcPr>
            <w:tcW w:w="1260" w:type="dxa"/>
            <w:vAlign w:val="bottom"/>
            <w:gridSpan w:val="3"/>
          </w:tcPr>
          <w:p>
            <w:pPr>
              <w:spacing w:after="0"/>
              <w:rPr>
                <w:sz w:val="20"/>
                <w:szCs w:val="20"/>
                <w:color w:val="auto"/>
              </w:rPr>
            </w:pPr>
            <w:r>
              <w:rPr>
                <w:rFonts w:ascii="Times New Roman" w:cs="Times New Roman" w:eastAsia="Times New Roman" w:hAnsi="Times New Roman"/>
                <w:sz w:val="22"/>
                <w:szCs w:val="22"/>
                <w:color w:val="0000FF"/>
              </w:rPr>
              <w:t>ARTICLE VI</w:t>
            </w:r>
          </w:p>
        </w:tc>
        <w:tc>
          <w:tcPr>
            <w:tcW w:w="4820" w:type="dxa"/>
            <w:vAlign w:val="bottom"/>
            <w:gridSpan w:val="39"/>
          </w:tcPr>
          <w:p>
            <w:pPr>
              <w:jc w:val="right"/>
              <w:ind w:right="320"/>
              <w:spacing w:after="0"/>
              <w:rPr>
                <w:sz w:val="20"/>
                <w:szCs w:val="20"/>
                <w:color w:val="auto"/>
              </w:rPr>
            </w:pPr>
            <w:r>
              <w:rPr>
                <w:rFonts w:ascii="Times New Roman" w:cs="Times New Roman" w:eastAsia="Times New Roman" w:hAnsi="Times New Roman"/>
                <w:sz w:val="22"/>
                <w:szCs w:val="22"/>
                <w:color w:val="0000FF"/>
              </w:rPr>
              <w:t xml:space="preserve">REPRESENTATIONS AND WARRANTIES  </w:t>
            </w:r>
            <w:r>
              <w:rPr>
                <w:rFonts w:ascii="Times New Roman" w:cs="Times New Roman" w:eastAsia="Times New Roman" w:hAnsi="Times New Roman"/>
                <w:sz w:val="22"/>
                <w:szCs w:val="22"/>
                <w:color w:val="000000"/>
              </w:rPr>
              <w:t>47</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3520" w:type="dxa"/>
            <w:vAlign w:val="bottom"/>
            <w:gridSpan w:val="26"/>
          </w:tcPr>
          <w:p>
            <w:pPr>
              <w:spacing w:after="0"/>
              <w:rPr>
                <w:sz w:val="20"/>
                <w:szCs w:val="20"/>
                <w:color w:val="auto"/>
              </w:rPr>
            </w:pPr>
            <w:r>
              <w:rPr>
                <w:rFonts w:ascii="Times New Roman" w:cs="Times New Roman" w:eastAsia="Times New Roman" w:hAnsi="Times New Roman"/>
                <w:sz w:val="22"/>
                <w:szCs w:val="22"/>
                <w:color w:val="0000FF"/>
              </w:rPr>
              <w:t xml:space="preserve">SECTION 6.1   Organization, Etc.  </w:t>
            </w:r>
            <w:r>
              <w:rPr>
                <w:rFonts w:ascii="Times New Roman" w:cs="Times New Roman" w:eastAsia="Times New Roman" w:hAnsi="Times New Roman"/>
                <w:sz w:val="22"/>
                <w:szCs w:val="22"/>
                <w:color w:val="000000"/>
              </w:rPr>
              <w:t>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Borders>
              <w:bottom w:val="single" w:sz="8" w:color="0000FF"/>
            </w:tcBorders>
            <w:gridSpan w:val="32"/>
          </w:tcPr>
          <w:p>
            <w:pPr>
              <w:spacing w:after="0" w:line="237" w:lineRule="exact"/>
              <w:rPr>
                <w:sz w:val="20"/>
                <w:szCs w:val="20"/>
                <w:color w:val="auto"/>
              </w:rPr>
            </w:pPr>
            <w:r>
              <w:rPr>
                <w:rFonts w:ascii="Times New Roman" w:cs="Times New Roman" w:eastAsia="Times New Roman" w:hAnsi="Times New Roman"/>
                <w:sz w:val="22"/>
                <w:szCs w:val="22"/>
                <w:color w:val="0000FF"/>
                <w:w w:val="97"/>
              </w:rPr>
              <w:t>Due Authorization, Non-Contravention, Etc</w:t>
            </w:r>
          </w:p>
        </w:tc>
        <w:tc>
          <w:tcPr>
            <w:tcW w:w="120" w:type="dxa"/>
            <w:vAlign w:val="bottom"/>
            <w:gridSpan w:val="2"/>
          </w:tcPr>
          <w:p>
            <w:pPr>
              <w:spacing w:after="0"/>
              <w:rPr>
                <w:sz w:val="20"/>
                <w:szCs w:val="20"/>
                <w:color w:val="auto"/>
              </w:rPr>
            </w:pPr>
          </w:p>
        </w:tc>
        <w:tc>
          <w:tcPr>
            <w:tcW w:w="680" w:type="dxa"/>
            <w:vAlign w:val="bottom"/>
          </w:tcPr>
          <w:p>
            <w:pPr>
              <w:jc w:val="right"/>
              <w:ind w:right="252"/>
              <w:spacing w:after="0" w:line="237" w:lineRule="exact"/>
              <w:rPr>
                <w:sz w:val="20"/>
                <w:szCs w:val="20"/>
                <w:color w:val="auto"/>
              </w:rPr>
            </w:pPr>
            <w:r>
              <w:rPr>
                <w:rFonts w:ascii="Times New Roman" w:cs="Times New Roman" w:eastAsia="Times New Roman" w:hAnsi="Times New Roman"/>
                <w:sz w:val="22"/>
                <w:szCs w:val="22"/>
                <w:color w:val="auto"/>
              </w:rPr>
              <w:t>48</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rPr>
              <w:t>SECTION 6.3</w:t>
            </w:r>
          </w:p>
        </w:tc>
        <w:tc>
          <w:tcPr>
            <w:tcW w:w="120" w:type="dxa"/>
            <w:vAlign w:val="bottom"/>
          </w:tcPr>
          <w:p>
            <w:pPr>
              <w:spacing w:after="0"/>
              <w:rPr>
                <w:sz w:val="20"/>
                <w:szCs w:val="20"/>
                <w:color w:val="auto"/>
              </w:rPr>
            </w:pPr>
          </w:p>
        </w:tc>
        <w:tc>
          <w:tcPr>
            <w:tcW w:w="3480" w:type="dxa"/>
            <w:vAlign w:val="bottom"/>
            <w:gridSpan w:val="30"/>
          </w:tcPr>
          <w:p>
            <w:pPr>
              <w:spacing w:after="0" w:line="237" w:lineRule="exact"/>
              <w:rPr>
                <w:sz w:val="20"/>
                <w:szCs w:val="20"/>
                <w:color w:val="auto"/>
              </w:rPr>
            </w:pPr>
            <w:r>
              <w:rPr>
                <w:rFonts w:ascii="Times New Roman" w:cs="Times New Roman" w:eastAsia="Times New Roman" w:hAnsi="Times New Roman"/>
                <w:sz w:val="22"/>
                <w:szCs w:val="22"/>
                <w:color w:val="0000FF"/>
                <w:w w:val="99"/>
              </w:rPr>
              <w:t>Government Approval, Regulation, Etc</w:t>
            </w:r>
          </w:p>
        </w:tc>
        <w:tc>
          <w:tcPr>
            <w:tcW w:w="440" w:type="dxa"/>
            <w:vAlign w:val="bottom"/>
            <w:gridSpan w:val="4"/>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48</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280" w:type="dxa"/>
            <w:vAlign w:val="bottom"/>
            <w:tcBorders>
              <w:top w:val="single" w:sz="8" w:color="0000FF"/>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6.4</w:t>
            </w:r>
          </w:p>
        </w:tc>
        <w:tc>
          <w:tcPr>
            <w:tcW w:w="10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top w:val="single" w:sz="8" w:color="0000FF"/>
              <w:bottom w:val="single" w:sz="8" w:color="0000FF"/>
            </w:tcBorders>
            <w:gridSpan w:val="10"/>
          </w:tcPr>
          <w:p>
            <w:pPr>
              <w:spacing w:after="0" w:line="237" w:lineRule="exact"/>
              <w:rPr>
                <w:sz w:val="20"/>
                <w:szCs w:val="20"/>
                <w:color w:val="auto"/>
              </w:rPr>
            </w:pPr>
            <w:r>
              <w:rPr>
                <w:rFonts w:ascii="Times New Roman" w:cs="Times New Roman" w:eastAsia="Times New Roman" w:hAnsi="Times New Roman"/>
                <w:sz w:val="22"/>
                <w:szCs w:val="22"/>
                <w:color w:val="0000FF"/>
                <w:w w:val="94"/>
              </w:rPr>
              <w:t>Validity, Etc</w:t>
            </w:r>
          </w:p>
        </w:tc>
        <w:tc>
          <w:tcPr>
            <w:tcW w:w="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48</w:t>
            </w: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bottom w:val="single" w:sz="8" w:color="0000FF"/>
            </w:tcBorders>
            <w:gridSpan w:val="18"/>
          </w:tcPr>
          <w:p>
            <w:pPr>
              <w:spacing w:after="0" w:line="237" w:lineRule="exact"/>
              <w:rPr>
                <w:sz w:val="20"/>
                <w:szCs w:val="20"/>
                <w:color w:val="auto"/>
              </w:rPr>
            </w:pPr>
            <w:r>
              <w:rPr>
                <w:rFonts w:ascii="Times New Roman" w:cs="Times New Roman" w:eastAsia="Times New Roman" w:hAnsi="Times New Roman"/>
                <w:sz w:val="22"/>
                <w:szCs w:val="22"/>
                <w:color w:val="0000FF"/>
                <w:w w:val="97"/>
              </w:rPr>
              <w:t>Financial Information</w:t>
            </w:r>
          </w:p>
        </w:tc>
        <w:tc>
          <w:tcPr>
            <w:tcW w:w="100" w:type="dxa"/>
            <w:vAlign w:val="bottom"/>
          </w:tcPr>
          <w:p>
            <w:pPr>
              <w:spacing w:after="0"/>
              <w:rPr>
                <w:sz w:val="20"/>
                <w:szCs w:val="20"/>
                <w:color w:val="auto"/>
              </w:rPr>
            </w:pPr>
          </w:p>
        </w:tc>
        <w:tc>
          <w:tcPr>
            <w:tcW w:w="24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0"/>
        </w:trPr>
        <w:tc>
          <w:tcPr>
            <w:tcW w:w="660" w:type="dxa"/>
            <w:vAlign w:val="bottom"/>
          </w:tcPr>
          <w:p>
            <w:pPr>
              <w:spacing w:after="0"/>
              <w:rPr>
                <w:sz w:val="21"/>
                <w:szCs w:val="21"/>
                <w:color w:val="auto"/>
              </w:rPr>
            </w:pPr>
          </w:p>
        </w:tc>
        <w:tc>
          <w:tcPr>
            <w:tcW w:w="128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gridSpan w:val="26"/>
          </w:tcPr>
          <w:p>
            <w:pPr>
              <w:spacing w:after="0" w:line="250" w:lineRule="exact"/>
              <w:rPr>
                <w:sz w:val="20"/>
                <w:szCs w:val="20"/>
                <w:color w:val="auto"/>
              </w:rPr>
            </w:pPr>
            <w:r>
              <w:rPr>
                <w:rFonts w:ascii="Times New Roman" w:cs="Times New Roman" w:eastAsia="Times New Roman" w:hAnsi="Times New Roman"/>
                <w:sz w:val="22"/>
                <w:szCs w:val="22"/>
                <w:color w:val="0000FF"/>
              </w:rPr>
              <w:t>No Material Adverse Effect</w:t>
            </w:r>
          </w:p>
        </w:tc>
        <w:tc>
          <w:tcPr>
            <w:tcW w:w="600" w:type="dxa"/>
            <w:vAlign w:val="bottom"/>
          </w:tcPr>
          <w:p>
            <w:pPr>
              <w:jc w:val="right"/>
              <w:ind w:right="232"/>
              <w:spacing w:after="0" w:line="250" w:lineRule="exact"/>
              <w:rPr>
                <w:sz w:val="20"/>
                <w:szCs w:val="20"/>
                <w:color w:val="auto"/>
              </w:rPr>
            </w:pPr>
            <w:r>
              <w:rPr>
                <w:rFonts w:ascii="Times New Roman" w:cs="Times New Roman" w:eastAsia="Times New Roman" w:hAnsi="Times New Roman"/>
                <w:sz w:val="22"/>
                <w:szCs w:val="22"/>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28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20" w:type="dxa"/>
            <w:vAlign w:val="bottom"/>
            <w:gridSpan w:val="37"/>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Litigation, Labor Matters and Environmental Matters  </w:t>
            </w:r>
            <w:r>
              <w:rPr>
                <w:rFonts w:ascii="Times New Roman" w:cs="Times New Roman" w:eastAsia="Times New Roman" w:hAnsi="Times New Roman"/>
                <w:sz w:val="22"/>
                <w:szCs w:val="22"/>
                <w:color w:val="000000"/>
              </w:rPr>
              <w:t>48</w:t>
            </w:r>
          </w:p>
        </w:tc>
      </w:tr>
      <w:tr>
        <w:trPr>
          <w:trHeight w:val="236"/>
        </w:trPr>
        <w:tc>
          <w:tcPr>
            <w:tcW w:w="660" w:type="dxa"/>
            <w:vAlign w:val="bottom"/>
          </w:tcPr>
          <w:p>
            <w:pPr>
              <w:spacing w:after="0"/>
              <w:rPr>
                <w:sz w:val="20"/>
                <w:szCs w:val="20"/>
                <w:color w:val="auto"/>
              </w:rPr>
            </w:pPr>
          </w:p>
        </w:tc>
        <w:tc>
          <w:tcPr>
            <w:tcW w:w="1280" w:type="dxa"/>
            <w:vAlign w:val="bottom"/>
            <w:tcBorders>
              <w:top w:val="single" w:sz="8" w:color="0000FF"/>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top w:val="single" w:sz="8" w:color="0000FF"/>
              <w:bottom w:val="single" w:sz="8" w:color="0000FF"/>
            </w:tcBorders>
            <w:gridSpan w:val="9"/>
          </w:tcPr>
          <w:p>
            <w:pPr>
              <w:spacing w:after="0" w:line="237" w:lineRule="exact"/>
              <w:rPr>
                <w:sz w:val="20"/>
                <w:szCs w:val="20"/>
                <w:color w:val="auto"/>
              </w:rPr>
            </w:pPr>
            <w:r>
              <w:rPr>
                <w:rFonts w:ascii="Times New Roman" w:cs="Times New Roman" w:eastAsia="Times New Roman" w:hAnsi="Times New Roman"/>
                <w:sz w:val="22"/>
                <w:szCs w:val="22"/>
                <w:color w:val="0000FF"/>
                <w:w w:val="96"/>
              </w:rPr>
              <w:t>Subsidiaries</w:t>
            </w:r>
          </w:p>
        </w:tc>
        <w:tc>
          <w:tcPr>
            <w:tcW w:w="40" w:type="dxa"/>
            <w:vAlign w:val="bottom"/>
            <w:tcBorders>
              <w:top w:val="single" w:sz="8" w:color="0000FF"/>
            </w:tcBorders>
            <w:gridSpan w:val="2"/>
          </w:tcPr>
          <w:p>
            <w:pPr>
              <w:spacing w:after="0"/>
              <w:rPr>
                <w:sz w:val="20"/>
                <w:szCs w:val="20"/>
                <w:color w:val="auto"/>
              </w:rPr>
            </w:pPr>
          </w:p>
        </w:tc>
        <w:tc>
          <w:tcPr>
            <w:tcW w:w="480" w:type="dxa"/>
            <w:vAlign w:val="bottom"/>
            <w:tcBorders>
              <w:top w:val="single" w:sz="8" w:color="0000FF"/>
            </w:tcBorders>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49</w:t>
            </w: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Borders>
              <w:bottom w:val="single" w:sz="8" w:color="0000FF"/>
            </w:tcBorders>
            <w:gridSpan w:val="21"/>
          </w:tcPr>
          <w:p>
            <w:pPr>
              <w:spacing w:after="0" w:line="237" w:lineRule="exact"/>
              <w:rPr>
                <w:sz w:val="20"/>
                <w:szCs w:val="20"/>
                <w:color w:val="auto"/>
              </w:rPr>
            </w:pPr>
            <w:r>
              <w:rPr>
                <w:rFonts w:ascii="Times New Roman" w:cs="Times New Roman" w:eastAsia="Times New Roman" w:hAnsi="Times New Roman"/>
                <w:sz w:val="22"/>
                <w:szCs w:val="22"/>
                <w:color w:val="0000FF"/>
                <w:w w:val="97"/>
              </w:rPr>
              <w:t>Ownership of Properties</w:t>
            </w:r>
          </w:p>
        </w:tc>
        <w:tc>
          <w:tcPr>
            <w:tcW w:w="140" w:type="dxa"/>
            <w:vAlign w:val="bottom"/>
            <w:gridSpan w:val="2"/>
          </w:tcPr>
          <w:p>
            <w:pPr>
              <w:spacing w:after="0"/>
              <w:rPr>
                <w:sz w:val="20"/>
                <w:szCs w:val="20"/>
                <w:color w:val="auto"/>
              </w:rPr>
            </w:pPr>
          </w:p>
        </w:tc>
        <w:tc>
          <w:tcPr>
            <w:tcW w:w="2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49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Taxes</w:t>
            </w:r>
          </w:p>
        </w:tc>
        <w:tc>
          <w:tcPr>
            <w:tcW w:w="260" w:type="dxa"/>
            <w:vAlign w:val="bottom"/>
            <w:gridSpan w:val="3"/>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w w:val="99"/>
              </w:rPr>
              <w:t>49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380" w:type="dxa"/>
            <w:vAlign w:val="bottom"/>
            <w:tcBorders>
              <w:bottom w:val="single" w:sz="8" w:color="0000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6.11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bottom w:val="single" w:sz="8" w:color="0000FF"/>
            </w:tcBorders>
            <w:gridSpan w:val="13"/>
          </w:tcPr>
          <w:p>
            <w:pPr>
              <w:spacing w:after="0" w:line="250" w:lineRule="exact"/>
              <w:rPr>
                <w:sz w:val="20"/>
                <w:szCs w:val="20"/>
                <w:color w:val="auto"/>
              </w:rPr>
            </w:pPr>
            <w:r>
              <w:rPr>
                <w:rFonts w:ascii="Times New Roman" w:cs="Times New Roman" w:eastAsia="Times New Roman" w:hAnsi="Times New Roman"/>
                <w:sz w:val="22"/>
                <w:szCs w:val="22"/>
                <w:color w:val="0000FF"/>
                <w:w w:val="97"/>
              </w:rPr>
              <w:t>Benefit Plans, Etc</w:t>
            </w:r>
          </w:p>
        </w:tc>
        <w:tc>
          <w:tcPr>
            <w:tcW w:w="160" w:type="dxa"/>
            <w:vAlign w:val="bottom"/>
            <w:gridSpan w:val="2"/>
          </w:tcPr>
          <w:p>
            <w:pPr>
              <w:spacing w:after="0"/>
              <w:rPr>
                <w:sz w:val="21"/>
                <w:szCs w:val="21"/>
                <w:color w:val="auto"/>
              </w:rPr>
            </w:pPr>
          </w:p>
        </w:tc>
        <w:tc>
          <w:tcPr>
            <w:tcW w:w="2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2"/>
          </w:tcPr>
          <w:p>
            <w:pPr>
              <w:spacing w:after="0" w:line="237" w:lineRule="exact"/>
              <w:rPr>
                <w:sz w:val="20"/>
                <w:szCs w:val="20"/>
                <w:color w:val="auto"/>
              </w:rPr>
            </w:pPr>
            <w:r>
              <w:rPr>
                <w:rFonts w:ascii="Times New Roman" w:cs="Times New Roman" w:eastAsia="Times New Roman" w:hAnsi="Times New Roman"/>
                <w:sz w:val="22"/>
                <w:szCs w:val="22"/>
                <w:color w:val="0000FF"/>
                <w:w w:val="96"/>
              </w:rPr>
              <w:t>Accuracy of Information</w:t>
            </w:r>
          </w:p>
        </w:tc>
        <w:tc>
          <w:tcPr>
            <w:tcW w:w="920" w:type="dxa"/>
            <w:vAlign w:val="bottom"/>
            <w:gridSpan w:val="4"/>
          </w:tcPr>
          <w:p>
            <w:pPr>
              <w:jc w:val="right"/>
              <w:ind w:right="392"/>
              <w:spacing w:after="0" w:line="237" w:lineRule="exact"/>
              <w:rPr>
                <w:sz w:val="20"/>
                <w:szCs w:val="20"/>
                <w:color w:val="auto"/>
              </w:rPr>
            </w:pPr>
            <w:r>
              <w:rPr>
                <w:rFonts w:ascii="Times New Roman" w:cs="Times New Roman" w:eastAsia="Times New Roman" w:hAnsi="Times New Roman"/>
                <w:sz w:val="22"/>
                <w:szCs w:val="22"/>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7"/>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18"/>
          </w:tcPr>
          <w:p>
            <w:pPr>
              <w:spacing w:after="0" w:line="237" w:lineRule="exact"/>
              <w:rPr>
                <w:sz w:val="20"/>
                <w:szCs w:val="20"/>
                <w:color w:val="auto"/>
              </w:rPr>
            </w:pPr>
            <w:r>
              <w:rPr>
                <w:rFonts w:ascii="Times New Roman" w:cs="Times New Roman" w:eastAsia="Times New Roman" w:hAnsi="Times New Roman"/>
                <w:sz w:val="22"/>
                <w:szCs w:val="22"/>
                <w:color w:val="0000FF"/>
              </w:rPr>
              <w:t>Regulations U and X</w:t>
            </w:r>
          </w:p>
        </w:tc>
        <w:tc>
          <w:tcPr>
            <w:tcW w:w="38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50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10"/>
          </w:tcPr>
          <w:p>
            <w:pPr>
              <w:spacing w:after="0" w:line="237" w:lineRule="exact"/>
              <w:rPr>
                <w:sz w:val="20"/>
                <w:szCs w:val="20"/>
                <w:color w:val="auto"/>
              </w:rPr>
            </w:pPr>
            <w:r>
              <w:rPr>
                <w:rFonts w:ascii="Times New Roman" w:cs="Times New Roman" w:eastAsia="Times New Roman" w:hAnsi="Times New Roman"/>
                <w:sz w:val="22"/>
                <w:szCs w:val="22"/>
                <w:color w:val="0000FF"/>
              </w:rPr>
              <w:t>Solvency</w:t>
            </w:r>
          </w:p>
        </w:tc>
        <w:tc>
          <w:tcPr>
            <w:tcW w:w="480" w:type="dxa"/>
            <w:vAlign w:val="bottom"/>
            <w:gridSpan w:val="2"/>
          </w:tcPr>
          <w:p>
            <w:pPr>
              <w:jc w:val="right"/>
              <w:ind w:right="240"/>
              <w:spacing w:after="0" w:line="237" w:lineRule="exact"/>
              <w:rPr>
                <w:sz w:val="20"/>
                <w:szCs w:val="20"/>
                <w:color w:val="auto"/>
              </w:rPr>
            </w:pPr>
            <w:r>
              <w:rPr>
                <w:rFonts w:ascii="Times New Roman" w:cs="Times New Roman" w:eastAsia="Times New Roman" w:hAnsi="Times New Roman"/>
                <w:sz w:val="22"/>
                <w:szCs w:val="22"/>
                <w:color w:val="auto"/>
                <w:w w:val="99"/>
              </w:rPr>
              <w:t>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18"/>
          </w:tcPr>
          <w:p>
            <w:pPr>
              <w:spacing w:after="0" w:line="237" w:lineRule="exact"/>
              <w:rPr>
                <w:sz w:val="20"/>
                <w:szCs w:val="20"/>
                <w:color w:val="auto"/>
              </w:rPr>
            </w:pPr>
            <w:r>
              <w:rPr>
                <w:rFonts w:ascii="Times New Roman" w:cs="Times New Roman" w:eastAsia="Times New Roman" w:hAnsi="Times New Roman"/>
                <w:sz w:val="22"/>
                <w:szCs w:val="22"/>
                <w:color w:val="0000FF"/>
              </w:rPr>
              <w:t>Intellectual Property</w:t>
            </w:r>
          </w:p>
        </w:tc>
        <w:tc>
          <w:tcPr>
            <w:tcW w:w="24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10"/>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18"/>
          </w:tcPr>
          <w:p>
            <w:pPr>
              <w:spacing w:after="0" w:line="237" w:lineRule="exact"/>
              <w:rPr>
                <w:sz w:val="20"/>
                <w:szCs w:val="20"/>
                <w:color w:val="auto"/>
              </w:rPr>
            </w:pPr>
            <w:r>
              <w:rPr>
                <w:rFonts w:ascii="Times New Roman" w:cs="Times New Roman" w:eastAsia="Times New Roman" w:hAnsi="Times New Roman"/>
                <w:sz w:val="22"/>
                <w:szCs w:val="22"/>
                <w:color w:val="0000FF"/>
              </w:rPr>
              <w:t>Material Agreements</w:t>
            </w:r>
          </w:p>
        </w:tc>
        <w:tc>
          <w:tcPr>
            <w:tcW w:w="38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53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38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6.17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Permits</w:t>
            </w:r>
          </w:p>
        </w:tc>
        <w:tc>
          <w:tcPr>
            <w:tcW w:w="780" w:type="dxa"/>
            <w:vAlign w:val="bottom"/>
            <w:gridSpan w:val="7"/>
          </w:tcPr>
          <w:p>
            <w:pPr>
              <w:jc w:val="right"/>
              <w:ind w:right="380"/>
              <w:spacing w:after="0" w:line="250" w:lineRule="exact"/>
              <w:rPr>
                <w:sz w:val="20"/>
                <w:szCs w:val="20"/>
                <w:color w:val="auto"/>
              </w:rPr>
            </w:pPr>
            <w:r>
              <w:rPr>
                <w:rFonts w:ascii="Times New Roman" w:cs="Times New Roman" w:eastAsia="Times New Roman" w:hAnsi="Times New Roman"/>
                <w:sz w:val="22"/>
                <w:szCs w:val="22"/>
                <w:color w:val="auto"/>
              </w:rPr>
              <w:t>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15"/>
          </w:tcPr>
          <w:p>
            <w:pPr>
              <w:spacing w:after="0" w:line="237" w:lineRule="exact"/>
              <w:rPr>
                <w:sz w:val="20"/>
                <w:szCs w:val="20"/>
                <w:color w:val="auto"/>
              </w:rPr>
            </w:pPr>
            <w:r>
              <w:rPr>
                <w:rFonts w:ascii="Times New Roman" w:cs="Times New Roman" w:eastAsia="Times New Roman" w:hAnsi="Times New Roman"/>
                <w:sz w:val="22"/>
                <w:szCs w:val="22"/>
                <w:color w:val="0000FF"/>
                <w:w w:val="98"/>
              </w:rPr>
              <w:t>Regulatory Matters</w:t>
            </w:r>
          </w:p>
        </w:tc>
        <w:tc>
          <w:tcPr>
            <w:tcW w:w="440" w:type="dxa"/>
            <w:vAlign w:val="bottom"/>
            <w:gridSpan w:val="7"/>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10"/>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5"/>
          </w:tcPr>
          <w:p>
            <w:pPr>
              <w:spacing w:after="0" w:line="237" w:lineRule="exact"/>
              <w:rPr>
                <w:sz w:val="20"/>
                <w:szCs w:val="20"/>
                <w:color w:val="auto"/>
              </w:rPr>
            </w:pPr>
            <w:r>
              <w:rPr>
                <w:rFonts w:ascii="Times New Roman" w:cs="Times New Roman" w:eastAsia="Times New Roman" w:hAnsi="Times New Roman"/>
                <w:sz w:val="22"/>
                <w:szCs w:val="22"/>
                <w:color w:val="0000FF"/>
              </w:rPr>
              <w:t>Transactions with Affiliates</w:t>
            </w:r>
          </w:p>
        </w:tc>
        <w:tc>
          <w:tcPr>
            <w:tcW w:w="600" w:type="dxa"/>
            <w:vAlign w:val="bottom"/>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gridSpan w:val="15"/>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Investment Company Act  </w:t>
            </w:r>
            <w:r>
              <w:rPr>
                <w:rFonts w:ascii="Times New Roman" w:cs="Times New Roman" w:eastAsia="Times New Roman" w:hAnsi="Times New Roman"/>
                <w:sz w:val="22"/>
                <w:szCs w:val="22"/>
                <w:color w:val="000000"/>
              </w:rPr>
              <w:t>56</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OFAC</w:t>
            </w:r>
          </w:p>
        </w:tc>
        <w:tc>
          <w:tcPr>
            <w:tcW w:w="30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56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15"/>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38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6.22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gridSpan w:val="29"/>
          </w:tcPr>
          <w:p>
            <w:pPr>
              <w:spacing w:after="0" w:line="250" w:lineRule="exact"/>
              <w:rPr>
                <w:sz w:val="20"/>
                <w:szCs w:val="20"/>
                <w:color w:val="auto"/>
              </w:rPr>
            </w:pPr>
            <w:r>
              <w:rPr>
                <w:rFonts w:ascii="Times New Roman" w:cs="Times New Roman" w:eastAsia="Times New Roman" w:hAnsi="Times New Roman"/>
                <w:sz w:val="22"/>
                <w:szCs w:val="22"/>
                <w:color w:val="0000FF"/>
              </w:rPr>
              <w:t>Deposit and Disbursement Accounts</w:t>
            </w:r>
          </w:p>
        </w:tc>
        <w:tc>
          <w:tcPr>
            <w:tcW w:w="26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57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40" w:type="dxa"/>
            <w:vAlign w:val="bottom"/>
            <w:tcBorders>
              <w:left w:val="single" w:sz="8" w:color="0000FF"/>
            </w:tcBorders>
            <w:gridSpan w:val="15"/>
            <w:shd w:val="clear" w:color="auto" w:fill="0000FF"/>
          </w:tcPr>
          <w:p>
            <w:pPr>
              <w:spacing w:after="0" w:line="20" w:lineRule="exact"/>
              <w:rPr>
                <w:sz w:val="1"/>
                <w:szCs w:val="1"/>
                <w:color w:val="auto"/>
              </w:rPr>
            </w:pPr>
          </w:p>
        </w:tc>
        <w:tc>
          <w:tcPr>
            <w:tcW w:w="1180" w:type="dxa"/>
            <w:vAlign w:val="bottom"/>
            <w:gridSpan w:val="8"/>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0000FF"/>
                <w:w w:val="98"/>
              </w:rPr>
              <w:t>Data Privacy and Information Security</w:t>
            </w:r>
          </w:p>
        </w:tc>
        <w:tc>
          <w:tcPr>
            <w:tcW w:w="4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57</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6.24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HIPAA</w:t>
            </w:r>
          </w:p>
        </w:tc>
        <w:tc>
          <w:tcPr>
            <w:tcW w:w="38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auto"/>
              </w:rPr>
              <w:t>58</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340" w:type="dxa"/>
            <w:vAlign w:val="bottom"/>
            <w:gridSpan w:val="1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53"/>
        </w:trPr>
        <w:tc>
          <w:tcPr>
            <w:tcW w:w="1260" w:type="dxa"/>
            <w:vAlign w:val="bottom"/>
            <w:gridSpan w:val="3"/>
          </w:tcPr>
          <w:p>
            <w:pPr>
              <w:spacing w:after="0"/>
              <w:rPr>
                <w:sz w:val="20"/>
                <w:szCs w:val="20"/>
                <w:color w:val="auto"/>
              </w:rPr>
            </w:pPr>
            <w:r>
              <w:rPr>
                <w:rFonts w:ascii="Times New Roman" w:cs="Times New Roman" w:eastAsia="Times New Roman" w:hAnsi="Times New Roman"/>
                <w:sz w:val="22"/>
                <w:szCs w:val="22"/>
                <w:color w:val="0000FF"/>
                <w:w w:val="96"/>
              </w:rPr>
              <w:t>ARTICLE VII</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6"/>
          </w:tcPr>
          <w:p>
            <w:pPr>
              <w:jc w:val="right"/>
              <w:ind w:right="160"/>
              <w:spacing w:after="0"/>
              <w:rPr>
                <w:sz w:val="20"/>
                <w:szCs w:val="20"/>
                <w:color w:val="auto"/>
              </w:rPr>
            </w:pPr>
            <w:r>
              <w:rPr>
                <w:rFonts w:ascii="Times New Roman" w:cs="Times New Roman" w:eastAsia="Times New Roman" w:hAnsi="Times New Roman"/>
                <w:sz w:val="22"/>
                <w:szCs w:val="22"/>
                <w:color w:val="0000FF"/>
                <w:w w:val="96"/>
              </w:rPr>
              <w:t>AFFIRMATIVE COVENANTS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20" w:type="dxa"/>
            <w:vAlign w:val="bottom"/>
            <w:tcBorders>
              <w:left w:val="single" w:sz="8" w:color="0000FF"/>
            </w:tcBorders>
            <w:gridSpan w:val="21"/>
            <w:shd w:val="clear" w:color="auto" w:fill="0000FF"/>
          </w:tcPr>
          <w:p>
            <w:pPr>
              <w:spacing w:after="0" w:line="20" w:lineRule="exact"/>
              <w:rPr>
                <w:sz w:val="1"/>
                <w:szCs w:val="1"/>
                <w:color w:val="auto"/>
              </w:rPr>
            </w:pPr>
          </w:p>
        </w:tc>
        <w:tc>
          <w:tcPr>
            <w:tcW w:w="174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rPr>
              <w:t>SECTION 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22"/>
                <w:szCs w:val="22"/>
                <w:color w:val="0000FF"/>
                <w:w w:val="97"/>
              </w:rPr>
              <w:t>Financial Information, Reports, Notices, Etc</w:t>
            </w:r>
          </w:p>
        </w:tc>
        <w:tc>
          <w:tcPr>
            <w:tcW w:w="80" w:type="dxa"/>
            <w:vAlign w:val="bottom"/>
          </w:tcPr>
          <w:p>
            <w:pPr>
              <w:spacing w:after="0"/>
              <w:rPr>
                <w:sz w:val="24"/>
                <w:szCs w:val="24"/>
                <w:color w:val="auto"/>
              </w:rPr>
            </w:pP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59</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660" w:type="dxa"/>
            <w:vAlign w:val="bottom"/>
          </w:tcPr>
          <w:p>
            <w:pPr>
              <w:spacing w:after="0"/>
              <w:rPr>
                <w:sz w:val="21"/>
                <w:szCs w:val="21"/>
                <w:color w:val="auto"/>
              </w:rPr>
            </w:pPr>
          </w:p>
        </w:tc>
        <w:tc>
          <w:tcPr>
            <w:tcW w:w="128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20" w:type="dxa"/>
            <w:vAlign w:val="bottom"/>
            <w:gridSpan w:val="37"/>
          </w:tcPr>
          <w:p>
            <w:pPr>
              <w:spacing w:after="0" w:line="250" w:lineRule="exact"/>
              <w:rPr>
                <w:sz w:val="20"/>
                <w:szCs w:val="20"/>
                <w:color w:val="auto"/>
              </w:rPr>
            </w:pPr>
            <w:r>
              <w:rPr>
                <w:rFonts w:ascii="Times New Roman" w:cs="Times New Roman" w:eastAsia="Times New Roman" w:hAnsi="Times New Roman"/>
                <w:sz w:val="22"/>
                <w:szCs w:val="22"/>
                <w:color w:val="0000FF"/>
                <w:w w:val="99"/>
              </w:rPr>
              <w:t xml:space="preserve">Maintenance of Existence; Compliance with Contracts, Laws, Etc  </w:t>
            </w:r>
            <w:r>
              <w:rPr>
                <w:rFonts w:ascii="Times New Roman" w:cs="Times New Roman" w:eastAsia="Times New Roman" w:hAnsi="Times New Roman"/>
                <w:sz w:val="22"/>
                <w:szCs w:val="22"/>
                <w:color w:val="000000"/>
                <w:w w:val="99"/>
              </w:rPr>
              <w:t>62</w:t>
            </w: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139"/>
          </w:cols>
          <w:pgMar w:left="320" w:top="1399"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22"/>
                <w:szCs w:val="22"/>
                <w:color w:val="0000FF"/>
              </w:rPr>
              <w:t>SECTION 7.3</w:t>
            </w:r>
          </w:p>
        </w:tc>
        <w:tc>
          <w:tcPr>
            <w:tcW w:w="120" w:type="dxa"/>
            <w:vAlign w:val="bottom"/>
          </w:tcPr>
          <w:p>
            <w:pPr>
              <w:spacing w:after="0"/>
              <w:rPr>
                <w:sz w:val="22"/>
                <w:szCs w:val="22"/>
                <w:color w:val="auto"/>
              </w:rPr>
            </w:pPr>
          </w:p>
        </w:tc>
        <w:tc>
          <w:tcPr>
            <w:tcW w:w="2380" w:type="dxa"/>
            <w:vAlign w:val="bottom"/>
            <w:gridSpan w:val="20"/>
          </w:tcPr>
          <w:p>
            <w:pPr>
              <w:spacing w:after="0"/>
              <w:rPr>
                <w:sz w:val="20"/>
                <w:szCs w:val="20"/>
                <w:color w:val="auto"/>
              </w:rPr>
            </w:pPr>
            <w:r>
              <w:rPr>
                <w:rFonts w:ascii="Times New Roman" w:cs="Times New Roman" w:eastAsia="Times New Roman" w:hAnsi="Times New Roman"/>
                <w:sz w:val="22"/>
                <w:szCs w:val="22"/>
                <w:color w:val="0000FF"/>
              </w:rPr>
              <w:t>Maintenance of Properties</w:t>
            </w: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60" w:type="dxa"/>
            <w:vAlign w:val="bottom"/>
          </w:tcPr>
          <w:p>
            <w:pPr>
              <w:spacing w:after="0"/>
              <w:rPr>
                <w:sz w:val="20"/>
                <w:szCs w:val="20"/>
                <w:color w:val="auto"/>
              </w:rPr>
            </w:pPr>
          </w:p>
        </w:tc>
        <w:tc>
          <w:tcPr>
            <w:tcW w:w="1280" w:type="dxa"/>
            <w:vAlign w:val="bottom"/>
            <w:tcBorders>
              <w:top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7.4</w:t>
            </w:r>
          </w:p>
        </w:tc>
        <w:tc>
          <w:tcPr>
            <w:tcW w:w="10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top w:val="single" w:sz="8" w:color="0000FF"/>
            </w:tcBorders>
            <w:gridSpan w:val="11"/>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Insurance  </w:t>
            </w:r>
            <w:r>
              <w:rPr>
                <w:rFonts w:ascii="Times New Roman" w:cs="Times New Roman" w:eastAsia="Times New Roman" w:hAnsi="Times New Roman"/>
                <w:sz w:val="22"/>
                <w:szCs w:val="22"/>
                <w:color w:val="000000"/>
              </w:rPr>
              <w:t>62</w:t>
            </w: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14"/>
          </w:tcPr>
          <w:p>
            <w:pPr>
              <w:spacing w:after="0" w:line="237" w:lineRule="exact"/>
              <w:rPr>
                <w:sz w:val="20"/>
                <w:szCs w:val="20"/>
                <w:color w:val="auto"/>
              </w:rPr>
            </w:pPr>
            <w:r>
              <w:rPr>
                <w:rFonts w:ascii="Times New Roman" w:cs="Times New Roman" w:eastAsia="Times New Roman" w:hAnsi="Times New Roman"/>
                <w:sz w:val="22"/>
                <w:szCs w:val="22"/>
                <w:color w:val="0000FF"/>
              </w:rPr>
              <w:t>Books and Records</w:t>
            </w:r>
          </w:p>
        </w:tc>
        <w:tc>
          <w:tcPr>
            <w:tcW w:w="2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w w:val="99"/>
              </w:rPr>
              <w:t>63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28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w w:val="98"/>
              </w:rPr>
              <w:t>Environmental Law Covenant</w:t>
            </w:r>
          </w:p>
        </w:tc>
        <w:tc>
          <w:tcPr>
            <w:tcW w:w="42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auto"/>
              </w:rPr>
              <w:t>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1280" w:type="dxa"/>
            <w:vAlign w:val="bottom"/>
            <w:tcBorders>
              <w:top w:val="single" w:sz="8" w:color="0000FF"/>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Borders>
              <w:top w:val="single" w:sz="8" w:color="0000FF"/>
              <w:bottom w:val="single" w:sz="8" w:color="0000FF"/>
            </w:tcBorders>
            <w:gridSpan w:val="10"/>
          </w:tcPr>
          <w:p>
            <w:pPr>
              <w:spacing w:after="0" w:line="237" w:lineRule="exact"/>
              <w:rPr>
                <w:sz w:val="20"/>
                <w:szCs w:val="20"/>
                <w:color w:val="auto"/>
              </w:rPr>
            </w:pPr>
            <w:r>
              <w:rPr>
                <w:rFonts w:ascii="Times New Roman" w:cs="Times New Roman" w:eastAsia="Times New Roman" w:hAnsi="Times New Roman"/>
                <w:sz w:val="22"/>
                <w:szCs w:val="22"/>
                <w:color w:val="0000FF"/>
                <w:w w:val="97"/>
              </w:rPr>
              <w:t>Use of Proceeds</w:t>
            </w:r>
          </w:p>
        </w:tc>
        <w:tc>
          <w:tcPr>
            <w:tcW w:w="1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gridSpan w:val="3"/>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w w:val="99"/>
              </w:rPr>
              <w:t>64</w:t>
            </w:r>
          </w:p>
        </w:tc>
        <w:tc>
          <w:tcPr>
            <w:tcW w:w="1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28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0000FF"/>
              </w:rPr>
              <w:t>Future Guarantors, Security, Etc</w:t>
            </w:r>
          </w:p>
        </w:tc>
        <w:tc>
          <w:tcPr>
            <w:tcW w:w="320" w:type="dxa"/>
            <w:vAlign w:val="bottom"/>
            <w:gridSpan w:val="3"/>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64</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tcBorders>
              <w:top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Borders>
              <w:top w:val="single" w:sz="8" w:color="0000FF"/>
            </w:tcBorders>
            <w:gridSpan w:val="20"/>
          </w:tcPr>
          <w:p>
            <w:pPr>
              <w:spacing w:after="0" w:line="237" w:lineRule="exact"/>
              <w:rPr>
                <w:sz w:val="20"/>
                <w:szCs w:val="20"/>
                <w:color w:val="auto"/>
              </w:rPr>
            </w:pPr>
            <w:r>
              <w:rPr>
                <w:rFonts w:ascii="Times New Roman" w:cs="Times New Roman" w:eastAsia="Times New Roman" w:hAnsi="Times New Roman"/>
                <w:sz w:val="22"/>
                <w:szCs w:val="22"/>
                <w:color w:val="0000FF"/>
              </w:rPr>
              <w:t>Obtaining of Permits, Etc</w:t>
            </w:r>
          </w:p>
        </w:tc>
        <w:tc>
          <w:tcPr>
            <w:tcW w:w="260" w:type="dxa"/>
            <w:vAlign w:val="bottom"/>
            <w:tcBorders>
              <w:top w:val="single" w:sz="8" w:color="0000FF"/>
            </w:tcBorders>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65</w:t>
            </w: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380" w:type="dxa"/>
            <w:vAlign w:val="bottom"/>
            <w:tcBorders>
              <w:top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7.10</w:t>
            </w:r>
          </w:p>
        </w:tc>
        <w:tc>
          <w:tcPr>
            <w:tcW w:w="1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100" w:type="dxa"/>
            <w:vAlign w:val="bottom"/>
            <w:tcBorders>
              <w:top w:val="single" w:sz="8" w:color="0000FF"/>
            </w:tcBorders>
            <w:gridSpan w:val="7"/>
          </w:tcPr>
          <w:p>
            <w:pPr>
              <w:spacing w:after="0" w:line="237" w:lineRule="exact"/>
              <w:rPr>
                <w:sz w:val="20"/>
                <w:szCs w:val="20"/>
                <w:color w:val="auto"/>
              </w:rPr>
            </w:pPr>
            <w:r>
              <w:rPr>
                <w:rFonts w:ascii="Times New Roman" w:cs="Times New Roman" w:eastAsia="Times New Roman" w:hAnsi="Times New Roman"/>
                <w:sz w:val="22"/>
                <w:szCs w:val="22"/>
                <w:color w:val="0000FF"/>
              </w:rPr>
              <w:t>[Reserved]</w:t>
            </w:r>
          </w:p>
        </w:tc>
        <w:tc>
          <w:tcPr>
            <w:tcW w:w="400" w:type="dxa"/>
            <w:vAlign w:val="bottom"/>
            <w:tcBorders>
              <w:top w:val="single" w:sz="8" w:color="0000FF"/>
            </w:tcBorders>
            <w:gridSpan w:val="3"/>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65</w:t>
            </w: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38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7.11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20" w:type="dxa"/>
            <w:vAlign w:val="bottom"/>
            <w:gridSpan w:val="37"/>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Maintenance of Regulatory Authorizations, Contracts, Intellectual Property, Etc  </w:t>
            </w:r>
            <w:r>
              <w:rPr>
                <w:rFonts w:ascii="Times New Roman" w:cs="Times New Roman" w:eastAsia="Times New Roman" w:hAnsi="Times New Roman"/>
                <w:sz w:val="22"/>
                <w:szCs w:val="22"/>
                <w:color w:val="000000"/>
              </w:rPr>
              <w:t>65</w:t>
            </w:r>
          </w:p>
        </w:tc>
      </w:tr>
      <w:tr>
        <w:trPr>
          <w:trHeight w:val="236"/>
        </w:trPr>
        <w:tc>
          <w:tcPr>
            <w:tcW w:w="660" w:type="dxa"/>
            <w:vAlign w:val="bottom"/>
          </w:tcPr>
          <w:p>
            <w:pPr>
              <w:spacing w:after="0"/>
              <w:rPr>
                <w:sz w:val="20"/>
                <w:szCs w:val="20"/>
                <w:color w:val="auto"/>
              </w:rPr>
            </w:pPr>
          </w:p>
        </w:tc>
        <w:tc>
          <w:tcPr>
            <w:tcW w:w="1380" w:type="dxa"/>
            <w:vAlign w:val="bottom"/>
            <w:tcBorders>
              <w:top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7.12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0000FF"/>
            </w:tcBorders>
            <w:gridSpan w:val="7"/>
          </w:tcPr>
          <w:p>
            <w:pPr>
              <w:spacing w:after="0" w:line="237" w:lineRule="exact"/>
              <w:rPr>
                <w:sz w:val="20"/>
                <w:szCs w:val="20"/>
                <w:color w:val="auto"/>
              </w:rPr>
            </w:pPr>
            <w:r>
              <w:rPr>
                <w:rFonts w:ascii="Times New Roman" w:cs="Times New Roman" w:eastAsia="Times New Roman" w:hAnsi="Times New Roman"/>
                <w:sz w:val="22"/>
                <w:szCs w:val="22"/>
                <w:color w:val="0000FF"/>
              </w:rPr>
              <w:t>[Reserved]</w:t>
            </w:r>
          </w:p>
        </w:tc>
        <w:tc>
          <w:tcPr>
            <w:tcW w:w="400" w:type="dxa"/>
            <w:vAlign w:val="bottom"/>
            <w:tcBorders>
              <w:top w:val="single" w:sz="8" w:color="0000FF"/>
            </w:tcBorders>
            <w:gridSpan w:val="3"/>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67</w:t>
            </w: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520" w:type="dxa"/>
            <w:vAlign w:val="bottom"/>
            <w:tcBorders>
              <w:top w:val="single" w:sz="8" w:color="0000FF"/>
            </w:tcBorders>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7.13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13"/>
          </w:tcPr>
          <w:p>
            <w:pPr>
              <w:spacing w:after="0" w:line="237" w:lineRule="exact"/>
              <w:rPr>
                <w:sz w:val="20"/>
                <w:szCs w:val="20"/>
                <w:color w:val="auto"/>
              </w:rPr>
            </w:pPr>
            <w:r>
              <w:rPr>
                <w:rFonts w:ascii="Times New Roman" w:cs="Times New Roman" w:eastAsia="Times New Roman" w:hAnsi="Times New Roman"/>
                <w:sz w:val="22"/>
                <w:szCs w:val="22"/>
                <w:color w:val="0000FF"/>
              </w:rPr>
              <w:t>Cash Management</w:t>
            </w:r>
          </w:p>
        </w:tc>
        <w:tc>
          <w:tcPr>
            <w:tcW w:w="2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67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7.14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14"/>
          </w:tcPr>
          <w:p>
            <w:pPr>
              <w:spacing w:after="0" w:line="237" w:lineRule="exact"/>
              <w:rPr>
                <w:sz w:val="20"/>
                <w:szCs w:val="20"/>
                <w:color w:val="auto"/>
              </w:rPr>
            </w:pPr>
            <w:r>
              <w:rPr>
                <w:rFonts w:ascii="Times New Roman" w:cs="Times New Roman" w:eastAsia="Times New Roman" w:hAnsi="Times New Roman"/>
                <w:sz w:val="22"/>
                <w:szCs w:val="22"/>
                <w:color w:val="0000FF"/>
                <w:w w:val="96"/>
              </w:rPr>
              <w:t>Excluded Subsidiaries</w:t>
            </w:r>
          </w:p>
        </w:tc>
        <w:tc>
          <w:tcPr>
            <w:tcW w:w="42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auto"/>
              </w:rPr>
              <w:t>68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7.15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FF"/>
                <w:w w:val="98"/>
              </w:rPr>
              <w:t>Post-Closing Deliverables</w:t>
            </w:r>
          </w:p>
        </w:tc>
        <w:tc>
          <w:tcPr>
            <w:tcW w:w="480" w:type="dxa"/>
            <w:vAlign w:val="bottom"/>
            <w:gridSpan w:val="8"/>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6"/>
              </w:rPr>
              <w:t>ARTICLE VIII</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Borders>
              <w:bottom w:val="single" w:sz="8" w:color="0000FF"/>
            </w:tcBorders>
            <w:gridSpan w:val="17"/>
          </w:tcPr>
          <w:p>
            <w:pPr>
              <w:jc w:val="right"/>
              <w:ind w:right="60"/>
              <w:spacing w:after="0"/>
              <w:rPr>
                <w:sz w:val="20"/>
                <w:szCs w:val="20"/>
                <w:color w:val="auto"/>
              </w:rPr>
            </w:pPr>
            <w:r>
              <w:rPr>
                <w:rFonts w:ascii="Times New Roman" w:cs="Times New Roman" w:eastAsia="Times New Roman" w:hAnsi="Times New Roman"/>
                <w:sz w:val="22"/>
                <w:szCs w:val="22"/>
                <w:color w:val="0000FF"/>
                <w:w w:val="96"/>
              </w:rPr>
              <w:t>NEGATIVE COVENANTS</w:t>
            </w:r>
          </w:p>
        </w:tc>
        <w:tc>
          <w:tcPr>
            <w:tcW w:w="160" w:type="dxa"/>
            <w:vAlign w:val="bottom"/>
          </w:tcPr>
          <w:p>
            <w:pPr>
              <w:spacing w:after="0"/>
              <w:rPr>
                <w:sz w:val="24"/>
                <w:szCs w:val="24"/>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w w:val="90"/>
              </w:rPr>
              <w:t>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660" w:type="dxa"/>
            <w:vAlign w:val="bottom"/>
          </w:tcPr>
          <w:p>
            <w:pPr>
              <w:spacing w:after="0"/>
              <w:rPr>
                <w:sz w:val="24"/>
                <w:szCs w:val="24"/>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22"/>
                <w:szCs w:val="22"/>
                <w:color w:val="0000FF"/>
              </w:rPr>
              <w:t>SECTION 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14"/>
          </w:tcPr>
          <w:p>
            <w:pPr>
              <w:spacing w:after="0"/>
              <w:rPr>
                <w:sz w:val="20"/>
                <w:szCs w:val="20"/>
                <w:color w:val="auto"/>
              </w:rPr>
            </w:pPr>
            <w:r>
              <w:rPr>
                <w:rFonts w:ascii="Times New Roman" w:cs="Times New Roman" w:eastAsia="Times New Roman" w:hAnsi="Times New Roman"/>
                <w:sz w:val="22"/>
                <w:szCs w:val="22"/>
                <w:color w:val="0000FF"/>
              </w:rPr>
              <w:t>Business Activities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69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280" w:type="dxa"/>
            <w:vAlign w:val="bottom"/>
            <w:tcBorders>
              <w:top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FF"/>
            </w:tcBorders>
            <w:gridSpan w:val="8"/>
          </w:tcPr>
          <w:p>
            <w:pPr>
              <w:spacing w:after="0" w:line="237" w:lineRule="exact"/>
              <w:rPr>
                <w:sz w:val="20"/>
                <w:szCs w:val="20"/>
                <w:color w:val="auto"/>
              </w:rPr>
            </w:pPr>
            <w:r>
              <w:rPr>
                <w:rFonts w:ascii="Times New Roman" w:cs="Times New Roman" w:eastAsia="Times New Roman" w:hAnsi="Times New Roman"/>
                <w:sz w:val="22"/>
                <w:szCs w:val="22"/>
                <w:color w:val="0000FF"/>
              </w:rPr>
              <w:t>Indebtedness</w:t>
            </w:r>
          </w:p>
        </w:tc>
        <w:tc>
          <w:tcPr>
            <w:tcW w:w="400" w:type="dxa"/>
            <w:vAlign w:val="bottom"/>
            <w:tcBorders>
              <w:top w:val="single" w:sz="8" w:color="0000FF"/>
            </w:tcBorders>
            <w:gridSpan w:val="3"/>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70</w:t>
            </w:r>
          </w:p>
        </w:tc>
        <w:tc>
          <w:tcPr>
            <w:tcW w:w="8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tcBorders>
              <w:top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Liens</w:t>
            </w:r>
          </w:p>
        </w:tc>
        <w:tc>
          <w:tcPr>
            <w:tcW w:w="520" w:type="dxa"/>
            <w:vAlign w:val="bottom"/>
            <w:tcBorders>
              <w:top w:val="single" w:sz="8" w:color="0000FF"/>
            </w:tcBorders>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72</w:t>
            </w: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28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0000FF"/>
            </w:tcBorders>
            <w:gridSpan w:val="23"/>
          </w:tcPr>
          <w:p>
            <w:pPr>
              <w:spacing w:after="0" w:line="237" w:lineRule="exact"/>
              <w:rPr>
                <w:sz w:val="20"/>
                <w:szCs w:val="20"/>
                <w:color w:val="auto"/>
              </w:rPr>
            </w:pPr>
            <w:r>
              <w:rPr>
                <w:rFonts w:ascii="Times New Roman" w:cs="Times New Roman" w:eastAsia="Times New Roman" w:hAnsi="Times New Roman"/>
                <w:sz w:val="22"/>
                <w:szCs w:val="22"/>
                <w:color w:val="0000FF"/>
                <w:w w:val="97"/>
              </w:rPr>
              <w:t>Minimum Revenue Covenant</w:t>
            </w:r>
          </w:p>
        </w:tc>
        <w:tc>
          <w:tcPr>
            <w:tcW w:w="80" w:type="dxa"/>
            <w:vAlign w:val="bottom"/>
            <w:gridSpan w:val="2"/>
          </w:tcPr>
          <w:p>
            <w:pPr>
              <w:spacing w:after="0"/>
              <w:rPr>
                <w:sz w:val="20"/>
                <w:szCs w:val="20"/>
                <w:color w:val="auto"/>
              </w:rPr>
            </w:pPr>
          </w:p>
        </w:tc>
        <w:tc>
          <w:tcPr>
            <w:tcW w:w="42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8"/>
          </w:tcPr>
          <w:p>
            <w:pPr>
              <w:spacing w:after="0" w:line="237" w:lineRule="exact"/>
              <w:rPr>
                <w:sz w:val="20"/>
                <w:szCs w:val="20"/>
                <w:color w:val="auto"/>
              </w:rPr>
            </w:pPr>
            <w:r>
              <w:rPr>
                <w:rFonts w:ascii="Times New Roman" w:cs="Times New Roman" w:eastAsia="Times New Roman" w:hAnsi="Times New Roman"/>
                <w:sz w:val="22"/>
                <w:szCs w:val="22"/>
                <w:color w:val="0000FF"/>
              </w:rPr>
              <w:t>Investments</w:t>
            </w:r>
          </w:p>
        </w:tc>
        <w:tc>
          <w:tcPr>
            <w:tcW w:w="400" w:type="dxa"/>
            <w:vAlign w:val="bottom"/>
            <w:gridSpan w:val="3"/>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28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20"/>
          </w:tcPr>
          <w:p>
            <w:pPr>
              <w:spacing w:after="0" w:line="250" w:lineRule="exact"/>
              <w:rPr>
                <w:sz w:val="20"/>
                <w:szCs w:val="20"/>
                <w:color w:val="auto"/>
              </w:rPr>
            </w:pPr>
            <w:r>
              <w:rPr>
                <w:rFonts w:ascii="Times New Roman" w:cs="Times New Roman" w:eastAsia="Times New Roman" w:hAnsi="Times New Roman"/>
                <w:sz w:val="22"/>
                <w:szCs w:val="22"/>
                <w:color w:val="0000FF"/>
              </w:rPr>
              <w:t>Restricted Payments, Etc</w:t>
            </w:r>
          </w:p>
        </w:tc>
        <w:tc>
          <w:tcPr>
            <w:tcW w:w="2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28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5"/>
          </w:tcPr>
          <w:p>
            <w:pPr>
              <w:spacing w:after="0" w:line="237" w:lineRule="exact"/>
              <w:rPr>
                <w:sz w:val="20"/>
                <w:szCs w:val="20"/>
                <w:color w:val="auto"/>
              </w:rPr>
            </w:pPr>
            <w:r>
              <w:rPr>
                <w:rFonts w:ascii="Times New Roman" w:cs="Times New Roman" w:eastAsia="Times New Roman" w:hAnsi="Times New Roman"/>
                <w:sz w:val="22"/>
                <w:szCs w:val="22"/>
                <w:color w:val="0000FF"/>
                <w:w w:val="98"/>
              </w:rPr>
              <w:t>Consolidation, Merger; Permitted Acquisitions, Etc</w:t>
            </w:r>
          </w:p>
        </w:tc>
        <w:tc>
          <w:tcPr>
            <w:tcW w:w="2520" w:type="dxa"/>
            <w:vAlign w:val="bottom"/>
          </w:tcPr>
          <w:p>
            <w:pPr>
              <w:jc w:val="right"/>
              <w:ind w:right="2012"/>
              <w:spacing w:after="0" w:line="237" w:lineRule="exact"/>
              <w:rPr>
                <w:sz w:val="20"/>
                <w:szCs w:val="20"/>
                <w:color w:val="auto"/>
              </w:rPr>
            </w:pPr>
            <w:r>
              <w:rPr>
                <w:rFonts w:ascii="Times New Roman" w:cs="Times New Roman" w:eastAsia="Times New Roman" w:hAnsi="Times New Roman"/>
                <w:sz w:val="22"/>
                <w:szCs w:val="22"/>
                <w:color w:val="auto"/>
              </w:rPr>
              <w:t>78</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280" w:type="dxa"/>
            <w:vAlign w:val="bottom"/>
            <w:tcBorders>
              <w:top w:val="single" w:sz="8" w:color="0000FF"/>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Borders>
              <w:top w:val="single" w:sz="8" w:color="0000FF"/>
              <w:bottom w:val="single" w:sz="8" w:color="0000FF"/>
            </w:tcBorders>
            <w:gridSpan w:val="15"/>
          </w:tcPr>
          <w:p>
            <w:pPr>
              <w:spacing w:after="0" w:line="237" w:lineRule="exact"/>
              <w:rPr>
                <w:sz w:val="20"/>
                <w:szCs w:val="20"/>
                <w:color w:val="auto"/>
              </w:rPr>
            </w:pPr>
            <w:r>
              <w:rPr>
                <w:rFonts w:ascii="Times New Roman" w:cs="Times New Roman" w:eastAsia="Times New Roman" w:hAnsi="Times New Roman"/>
                <w:sz w:val="22"/>
                <w:szCs w:val="22"/>
                <w:color w:val="0000FF"/>
                <w:w w:val="99"/>
              </w:rPr>
              <w:t>Permitted Dispositions</w:t>
            </w:r>
          </w:p>
        </w:tc>
        <w:tc>
          <w:tcPr>
            <w:tcW w:w="420" w:type="dxa"/>
            <w:vAlign w:val="bottom"/>
            <w:tcBorders>
              <w:top w:val="single" w:sz="8" w:color="0000FF"/>
            </w:tcBorders>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auto"/>
              </w:rPr>
              <w:t>78</w:t>
            </w: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Borders>
              <w:bottom w:val="single" w:sz="8" w:color="0000FF"/>
            </w:tcBorders>
            <w:gridSpan w:val="31"/>
          </w:tcPr>
          <w:p>
            <w:pPr>
              <w:spacing w:after="0" w:line="237" w:lineRule="exact"/>
              <w:rPr>
                <w:sz w:val="20"/>
                <w:szCs w:val="20"/>
                <w:color w:val="auto"/>
              </w:rPr>
            </w:pPr>
            <w:r>
              <w:rPr>
                <w:rFonts w:ascii="Times New Roman" w:cs="Times New Roman" w:eastAsia="Times New Roman" w:hAnsi="Times New Roman"/>
                <w:sz w:val="22"/>
                <w:szCs w:val="22"/>
                <w:color w:val="0000FF"/>
                <w:w w:val="97"/>
              </w:rPr>
              <w:t>Modification of Certain Agreements</w:t>
            </w:r>
          </w:p>
        </w:tc>
        <w:tc>
          <w:tcPr>
            <w:tcW w:w="100" w:type="dxa"/>
            <w:vAlign w:val="bottom"/>
          </w:tcPr>
          <w:p>
            <w:pPr>
              <w:spacing w:after="0"/>
              <w:rPr>
                <w:sz w:val="20"/>
                <w:szCs w:val="20"/>
                <w:color w:val="auto"/>
              </w:rPr>
            </w:pPr>
          </w:p>
        </w:tc>
        <w:tc>
          <w:tcPr>
            <w:tcW w:w="1040" w:type="dxa"/>
            <w:vAlign w:val="bottom"/>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79</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8.10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4"/>
          </w:tcPr>
          <w:p>
            <w:pPr>
              <w:spacing w:after="0" w:line="237" w:lineRule="exact"/>
              <w:rPr>
                <w:sz w:val="20"/>
                <w:szCs w:val="20"/>
                <w:color w:val="auto"/>
              </w:rPr>
            </w:pPr>
            <w:r>
              <w:rPr>
                <w:rFonts w:ascii="Times New Roman" w:cs="Times New Roman" w:eastAsia="Times New Roman" w:hAnsi="Times New Roman"/>
                <w:sz w:val="22"/>
                <w:szCs w:val="22"/>
                <w:color w:val="0000FF"/>
              </w:rPr>
              <w:t>Transactions with Affiliates</w:t>
            </w:r>
          </w:p>
        </w:tc>
        <w:tc>
          <w:tcPr>
            <w:tcW w:w="3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38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8.11</w:t>
            </w:r>
          </w:p>
        </w:tc>
        <w:tc>
          <w:tcPr>
            <w:tcW w:w="120" w:type="dxa"/>
            <w:vAlign w:val="bottom"/>
          </w:tcPr>
          <w:p>
            <w:pPr>
              <w:spacing w:after="0"/>
              <w:rPr>
                <w:sz w:val="21"/>
                <w:szCs w:val="21"/>
                <w:color w:val="auto"/>
              </w:rPr>
            </w:pPr>
          </w:p>
        </w:tc>
        <w:tc>
          <w:tcPr>
            <w:tcW w:w="2640" w:type="dxa"/>
            <w:vAlign w:val="bottom"/>
            <w:gridSpan w:val="25"/>
          </w:tcPr>
          <w:p>
            <w:pPr>
              <w:ind w:left="100"/>
              <w:spacing w:after="0" w:line="250" w:lineRule="exact"/>
              <w:rPr>
                <w:sz w:val="20"/>
                <w:szCs w:val="20"/>
                <w:color w:val="auto"/>
              </w:rPr>
            </w:pPr>
            <w:r>
              <w:rPr>
                <w:rFonts w:ascii="Times New Roman" w:cs="Times New Roman" w:eastAsia="Times New Roman" w:hAnsi="Times New Roman"/>
                <w:sz w:val="22"/>
                <w:szCs w:val="22"/>
                <w:color w:val="0000FF"/>
              </w:rPr>
              <w:t>Restrictive Agreements, Etc</w:t>
            </w:r>
          </w:p>
        </w:tc>
        <w:tc>
          <w:tcPr>
            <w:tcW w:w="42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auto"/>
              </w:rPr>
              <w:t>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1380" w:type="dxa"/>
            <w:vAlign w:val="bottom"/>
            <w:tcBorders>
              <w:top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8.12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top w:val="single" w:sz="8" w:color="0000FF"/>
            </w:tcBorders>
            <w:gridSpan w:val="13"/>
          </w:tcPr>
          <w:p>
            <w:pPr>
              <w:spacing w:after="0" w:line="237" w:lineRule="exact"/>
              <w:rPr>
                <w:sz w:val="20"/>
                <w:szCs w:val="20"/>
                <w:color w:val="auto"/>
              </w:rPr>
            </w:pPr>
            <w:r>
              <w:rPr>
                <w:rFonts w:ascii="Times New Roman" w:cs="Times New Roman" w:eastAsia="Times New Roman" w:hAnsi="Times New Roman"/>
                <w:sz w:val="22"/>
                <w:szCs w:val="22"/>
                <w:color w:val="0000FF"/>
              </w:rPr>
              <w:t>Sale and Leaseback</w:t>
            </w:r>
          </w:p>
        </w:tc>
        <w:tc>
          <w:tcPr>
            <w:tcW w:w="400" w:type="dxa"/>
            <w:vAlign w:val="bottom"/>
            <w:tcBorders>
              <w:top w:val="single" w:sz="8" w:color="0000FF"/>
            </w:tcBorders>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81</w:t>
            </w: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8.13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13"/>
          </w:tcPr>
          <w:p>
            <w:pPr>
              <w:spacing w:after="0" w:line="237" w:lineRule="exact"/>
              <w:rPr>
                <w:sz w:val="20"/>
                <w:szCs w:val="20"/>
                <w:color w:val="auto"/>
              </w:rPr>
            </w:pPr>
            <w:r>
              <w:rPr>
                <w:rFonts w:ascii="Times New Roman" w:cs="Times New Roman" w:eastAsia="Times New Roman" w:hAnsi="Times New Roman"/>
                <w:sz w:val="22"/>
                <w:szCs w:val="22"/>
                <w:color w:val="0000FF"/>
                <w:w w:val="96"/>
              </w:rPr>
              <w:t>Product Agreements</w:t>
            </w:r>
          </w:p>
        </w:tc>
        <w:tc>
          <w:tcPr>
            <w:tcW w:w="160" w:type="dxa"/>
            <w:vAlign w:val="bottom"/>
          </w:tcPr>
          <w:p>
            <w:pPr>
              <w:spacing w:after="0"/>
              <w:rPr>
                <w:sz w:val="20"/>
                <w:szCs w:val="20"/>
                <w:color w:val="auto"/>
              </w:rPr>
            </w:pPr>
          </w:p>
        </w:tc>
        <w:tc>
          <w:tcPr>
            <w:tcW w:w="340" w:type="dxa"/>
            <w:vAlign w:val="bottom"/>
            <w:gridSpan w:val="5"/>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48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9420" w:type="dxa"/>
            <w:vAlign w:val="bottom"/>
            <w:gridSpan w:val="45"/>
          </w:tcPr>
          <w:p>
            <w:pPr>
              <w:spacing w:after="0" w:line="237" w:lineRule="exact"/>
              <w:rPr>
                <w:sz w:val="20"/>
                <w:szCs w:val="20"/>
                <w:color w:val="auto"/>
              </w:rPr>
            </w:pPr>
            <w:r>
              <w:rPr>
                <w:rFonts w:ascii="Times New Roman" w:cs="Times New Roman" w:eastAsia="Times New Roman" w:hAnsi="Times New Roman"/>
                <w:sz w:val="22"/>
                <w:szCs w:val="22"/>
                <w:color w:val="0000FF"/>
                <w:w w:val="99"/>
              </w:rPr>
              <w:t>SECTION 8.14   Change in Name, Location, Executive Office or Executive Management; Change in Fiscal</w:t>
            </w:r>
          </w:p>
        </w:tc>
      </w:tr>
      <w:tr>
        <w:trPr>
          <w:trHeight w:val="237"/>
        </w:trPr>
        <w:tc>
          <w:tcPr>
            <w:tcW w:w="66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0000FF"/>
              <w:bottom w:val="single" w:sz="8" w:color="0000FF"/>
            </w:tcBorders>
            <w:gridSpan w:val="2"/>
          </w:tcPr>
          <w:p>
            <w:pPr>
              <w:spacing w:after="0" w:line="237" w:lineRule="exact"/>
              <w:rPr>
                <w:sz w:val="20"/>
                <w:szCs w:val="20"/>
                <w:color w:val="auto"/>
              </w:rPr>
            </w:pPr>
            <w:r>
              <w:rPr>
                <w:rFonts w:ascii="Times New Roman" w:cs="Times New Roman" w:eastAsia="Times New Roman" w:hAnsi="Times New Roman"/>
                <w:sz w:val="22"/>
                <w:szCs w:val="22"/>
                <w:color w:val="0000FF"/>
                <w:w w:val="88"/>
              </w:rPr>
              <w:t>Year</w:t>
            </w:r>
          </w:p>
        </w:tc>
        <w:tc>
          <w:tcPr>
            <w:tcW w:w="520" w:type="dxa"/>
            <w:vAlign w:val="bottom"/>
            <w:tcBorders>
              <w:top w:val="single" w:sz="8" w:color="0000FF"/>
            </w:tcBorders>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81</w:t>
            </w: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52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8.15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8"/>
          </w:tcPr>
          <w:p>
            <w:pPr>
              <w:spacing w:after="0" w:line="237" w:lineRule="exact"/>
              <w:rPr>
                <w:sz w:val="20"/>
                <w:szCs w:val="20"/>
                <w:color w:val="auto"/>
              </w:rPr>
            </w:pPr>
            <w:r>
              <w:rPr>
                <w:rFonts w:ascii="Times New Roman" w:cs="Times New Roman" w:eastAsia="Times New Roman" w:hAnsi="Times New Roman"/>
                <w:sz w:val="22"/>
                <w:szCs w:val="22"/>
                <w:color w:val="0000FF"/>
              </w:rPr>
              <w:t>Benefit Plans and Agreements</w:t>
            </w:r>
          </w:p>
        </w:tc>
        <w:tc>
          <w:tcPr>
            <w:tcW w:w="320" w:type="dxa"/>
            <w:vAlign w:val="bottom"/>
            <w:gridSpan w:val="3"/>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w w:val="90"/>
              </w:rPr>
              <w:t>81</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180" w:type="dxa"/>
            <w:vAlign w:val="bottom"/>
            <w:tcBorders>
              <w:right w:val="single" w:sz="8" w:color="0000FF"/>
            </w:tcBorders>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340" w:type="dxa"/>
            <w:vAlign w:val="bottom"/>
            <w:gridSpan w:val="3"/>
          </w:tcPr>
          <w:p>
            <w:pPr>
              <w:spacing w:after="0"/>
              <w:rPr>
                <w:sz w:val="20"/>
                <w:szCs w:val="20"/>
                <w:color w:val="auto"/>
              </w:rPr>
            </w:pPr>
            <w:r>
              <w:rPr>
                <w:rFonts w:ascii="Times New Roman" w:cs="Times New Roman" w:eastAsia="Times New Roman" w:hAnsi="Times New Roman"/>
                <w:sz w:val="22"/>
                <w:szCs w:val="22"/>
                <w:color w:val="0000FF"/>
              </w:rPr>
              <w:t>ARTICLE IX</w:t>
            </w:r>
          </w:p>
        </w:tc>
        <w:tc>
          <w:tcPr>
            <w:tcW w:w="2420" w:type="dxa"/>
            <w:vAlign w:val="bottom"/>
            <w:gridSpan w:val="16"/>
          </w:tcPr>
          <w:p>
            <w:pPr>
              <w:jc w:val="right"/>
              <w:ind w:right="200"/>
              <w:spacing w:after="0"/>
              <w:rPr>
                <w:sz w:val="20"/>
                <w:szCs w:val="20"/>
                <w:color w:val="auto"/>
              </w:rPr>
            </w:pPr>
            <w:r>
              <w:rPr>
                <w:rFonts w:ascii="Times New Roman" w:cs="Times New Roman" w:eastAsia="Times New Roman" w:hAnsi="Times New Roman"/>
                <w:sz w:val="22"/>
                <w:szCs w:val="22"/>
                <w:color w:val="0000FF"/>
                <w:w w:val="98"/>
              </w:rPr>
              <w:t>EVENTS OF DEFAULT</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w w:val="99"/>
              </w:rPr>
              <w:t>82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520" w:type="dxa"/>
            <w:vAlign w:val="bottom"/>
            <w:tcBorders>
              <w:left w:val="single" w:sz="8" w:color="0000FF"/>
            </w:tcBorders>
            <w:gridSpan w:val="10"/>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22"/>
                <w:szCs w:val="22"/>
                <w:color w:val="0000FF"/>
              </w:rPr>
              <w:t>SECTION 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5"/>
          </w:tcPr>
          <w:p>
            <w:pPr>
              <w:spacing w:after="0"/>
              <w:rPr>
                <w:sz w:val="20"/>
                <w:szCs w:val="20"/>
                <w:color w:val="auto"/>
              </w:rPr>
            </w:pPr>
            <w:r>
              <w:rPr>
                <w:rFonts w:ascii="Times New Roman" w:cs="Times New Roman" w:eastAsia="Times New Roman" w:hAnsi="Times New Roman"/>
                <w:sz w:val="22"/>
                <w:szCs w:val="22"/>
                <w:color w:val="0000FF"/>
              </w:rPr>
              <w:t>Listing of Events of Default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w w:val="90"/>
              </w:rPr>
              <w:t>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280" w:type="dxa"/>
            <w:vAlign w:val="bottom"/>
            <w:tcBorders>
              <w:top w:val="single" w:sz="8" w:color="0000FF"/>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Borders>
              <w:top w:val="single" w:sz="8" w:color="0000FF"/>
              <w:bottom w:val="single" w:sz="8" w:color="0000FF"/>
            </w:tcBorders>
            <w:gridSpan w:val="14"/>
          </w:tcPr>
          <w:p>
            <w:pPr>
              <w:spacing w:after="0" w:line="237" w:lineRule="exact"/>
              <w:rPr>
                <w:sz w:val="20"/>
                <w:szCs w:val="20"/>
                <w:color w:val="auto"/>
              </w:rPr>
            </w:pPr>
            <w:r>
              <w:rPr>
                <w:rFonts w:ascii="Times New Roman" w:cs="Times New Roman" w:eastAsia="Times New Roman" w:hAnsi="Times New Roman"/>
                <w:sz w:val="22"/>
                <w:szCs w:val="22"/>
                <w:color w:val="0000FF"/>
                <w:w w:val="98"/>
              </w:rPr>
              <w:t>Action if Bankruptcy</w:t>
            </w: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gridSpan w:val="3"/>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w w:val="90"/>
              </w:rPr>
              <w:t>84</w:t>
            </w: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28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0000FF"/>
            </w:tcBorders>
            <w:gridSpan w:val="28"/>
          </w:tcPr>
          <w:p>
            <w:pPr>
              <w:spacing w:after="0" w:line="237" w:lineRule="exact"/>
              <w:rPr>
                <w:sz w:val="20"/>
                <w:szCs w:val="20"/>
                <w:color w:val="auto"/>
              </w:rPr>
            </w:pPr>
            <w:r>
              <w:rPr>
                <w:rFonts w:ascii="Times New Roman" w:cs="Times New Roman" w:eastAsia="Times New Roman" w:hAnsi="Times New Roman"/>
                <w:sz w:val="22"/>
                <w:szCs w:val="22"/>
                <w:color w:val="0000FF"/>
                <w:w w:val="98"/>
              </w:rPr>
              <w:t>Action if Other Event of Default</w:t>
            </w:r>
          </w:p>
        </w:tc>
        <w:tc>
          <w:tcPr>
            <w:tcW w:w="80" w:type="dxa"/>
            <w:vAlign w:val="bottom"/>
          </w:tcPr>
          <w:p>
            <w:pPr>
              <w:spacing w:after="0"/>
              <w:rPr>
                <w:sz w:val="20"/>
                <w:szCs w:val="20"/>
                <w:color w:val="auto"/>
              </w:rPr>
            </w:pPr>
          </w:p>
        </w:tc>
        <w:tc>
          <w:tcPr>
            <w:tcW w:w="320" w:type="dxa"/>
            <w:vAlign w:val="bottom"/>
            <w:gridSpan w:val="3"/>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84</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28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Borders>
              <w:bottom w:val="single" w:sz="8" w:color="0000FF"/>
            </w:tcBorders>
            <w:gridSpan w:val="14"/>
          </w:tcPr>
          <w:p>
            <w:pPr>
              <w:spacing w:after="0" w:line="237" w:lineRule="exact"/>
              <w:rPr>
                <w:sz w:val="20"/>
                <w:szCs w:val="20"/>
                <w:color w:val="auto"/>
              </w:rPr>
            </w:pPr>
            <w:r>
              <w:rPr>
                <w:rFonts w:ascii="Times New Roman" w:cs="Times New Roman" w:eastAsia="Times New Roman" w:hAnsi="Times New Roman"/>
                <w:sz w:val="22"/>
                <w:szCs w:val="22"/>
                <w:color w:val="0000FF"/>
                <w:w w:val="98"/>
              </w:rPr>
              <w:t>Application of Funds</w:t>
            </w:r>
          </w:p>
        </w:tc>
        <w:tc>
          <w:tcPr>
            <w:tcW w:w="160" w:type="dxa"/>
            <w:vAlign w:val="bottom"/>
          </w:tcPr>
          <w:p>
            <w:pPr>
              <w:spacing w:after="0"/>
              <w:rPr>
                <w:sz w:val="20"/>
                <w:szCs w:val="20"/>
                <w:color w:val="auto"/>
              </w:rPr>
            </w:pPr>
          </w:p>
        </w:tc>
        <w:tc>
          <w:tcPr>
            <w:tcW w:w="240" w:type="dxa"/>
            <w:vAlign w:val="bottom"/>
            <w:gridSpan w:val="3"/>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w w:val="90"/>
              </w:rPr>
              <w:t>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1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9"/>
              </w:rPr>
              <w:t>ARTICLE X</w:t>
            </w:r>
          </w:p>
        </w:tc>
        <w:tc>
          <w:tcPr>
            <w:tcW w:w="160" w:type="dxa"/>
            <w:vAlign w:val="bottom"/>
          </w:tcPr>
          <w:p>
            <w:pPr>
              <w:spacing w:after="0"/>
              <w:rPr>
                <w:sz w:val="24"/>
                <w:szCs w:val="24"/>
                <w:color w:val="auto"/>
              </w:rPr>
            </w:pPr>
          </w:p>
        </w:tc>
        <w:tc>
          <w:tcPr>
            <w:tcW w:w="31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2"/>
                <w:szCs w:val="22"/>
                <w:color w:val="0000FF"/>
                <w:w w:val="97"/>
              </w:rPr>
              <w:t>MISCELLANEOUS PROVISIONS</w:t>
            </w:r>
          </w:p>
        </w:tc>
        <w:tc>
          <w:tcPr>
            <w:tcW w:w="80" w:type="dxa"/>
            <w:vAlign w:val="bottom"/>
          </w:tcPr>
          <w:p>
            <w:pPr>
              <w:spacing w:after="0"/>
              <w:rPr>
                <w:sz w:val="24"/>
                <w:szCs w:val="24"/>
                <w:color w:val="auto"/>
              </w:rPr>
            </w:pP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22"/>
                <w:szCs w:val="22"/>
                <w:color w:val="0000FF"/>
                <w:w w:val="97"/>
              </w:rPr>
              <w:t>SECTION 10.1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4"/>
          </w:tcPr>
          <w:p>
            <w:pPr>
              <w:spacing w:after="0"/>
              <w:rPr>
                <w:sz w:val="20"/>
                <w:szCs w:val="20"/>
                <w:color w:val="auto"/>
              </w:rPr>
            </w:pPr>
            <w:r>
              <w:rPr>
                <w:rFonts w:ascii="Times New Roman" w:cs="Times New Roman" w:eastAsia="Times New Roman" w:hAnsi="Times New Roman"/>
                <w:sz w:val="22"/>
                <w:szCs w:val="22"/>
                <w:color w:val="0000FF"/>
              </w:rPr>
              <w:t>Waivers, Amendments, Etc</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22"/>
                <w:szCs w:val="22"/>
                <w:color w:val="auto"/>
              </w:rPr>
              <w:t>85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10.2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31"/>
          </w:tcPr>
          <w:p>
            <w:pPr>
              <w:spacing w:after="0" w:line="237" w:lineRule="exact"/>
              <w:rPr>
                <w:sz w:val="20"/>
                <w:szCs w:val="20"/>
                <w:color w:val="auto"/>
              </w:rPr>
            </w:pPr>
            <w:r>
              <w:rPr>
                <w:rFonts w:ascii="Times New Roman" w:cs="Times New Roman" w:eastAsia="Times New Roman" w:hAnsi="Times New Roman"/>
                <w:sz w:val="22"/>
                <w:szCs w:val="22"/>
                <w:color w:val="0000FF"/>
              </w:rPr>
              <w:t>Notices; Time; Inside Information</w:t>
            </w:r>
          </w:p>
        </w:tc>
        <w:tc>
          <w:tcPr>
            <w:tcW w:w="1040" w:type="dxa"/>
            <w:vAlign w:val="bottom"/>
          </w:tcPr>
          <w:p>
            <w:pPr>
              <w:jc w:val="right"/>
              <w:ind w:right="692"/>
              <w:spacing w:after="0" w:line="237" w:lineRule="exact"/>
              <w:rPr>
                <w:sz w:val="20"/>
                <w:szCs w:val="20"/>
                <w:color w:val="auto"/>
              </w:rPr>
            </w:pPr>
            <w:r>
              <w:rPr>
                <w:rFonts w:ascii="Times New Roman" w:cs="Times New Roman" w:eastAsia="Times New Roman" w:hAnsi="Times New Roman"/>
                <w:sz w:val="22"/>
                <w:szCs w:val="22"/>
                <w:color w:val="auto"/>
                <w:w w:val="99"/>
              </w:rPr>
              <w:t>87</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10.3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8"/>
          </w:tcPr>
          <w:p>
            <w:pPr>
              <w:spacing w:after="0" w:line="237" w:lineRule="exact"/>
              <w:rPr>
                <w:sz w:val="20"/>
                <w:szCs w:val="20"/>
                <w:color w:val="auto"/>
              </w:rPr>
            </w:pPr>
            <w:r>
              <w:rPr>
                <w:rFonts w:ascii="Times New Roman" w:cs="Times New Roman" w:eastAsia="Times New Roman" w:hAnsi="Times New Roman"/>
                <w:sz w:val="22"/>
                <w:szCs w:val="22"/>
                <w:color w:val="0000FF"/>
              </w:rPr>
              <w:t>Payment of Costs and Expenses</w:t>
            </w:r>
          </w:p>
        </w:tc>
        <w:tc>
          <w:tcPr>
            <w:tcW w:w="1360" w:type="dxa"/>
            <w:vAlign w:val="bottom"/>
            <w:gridSpan w:val="4"/>
          </w:tcPr>
          <w:p>
            <w:pPr>
              <w:jc w:val="right"/>
              <w:ind w:right="892"/>
              <w:spacing w:after="0" w:line="237" w:lineRule="exact"/>
              <w:rPr>
                <w:sz w:val="20"/>
                <w:szCs w:val="20"/>
                <w:color w:val="auto"/>
              </w:rPr>
            </w:pPr>
            <w:r>
              <w:rPr>
                <w:rFonts w:ascii="Times New Roman" w:cs="Times New Roman" w:eastAsia="Times New Roman" w:hAnsi="Times New Roman"/>
                <w:sz w:val="22"/>
                <w:szCs w:val="22"/>
                <w:color w:val="auto"/>
              </w:rPr>
              <w:t>88</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7"/>
              </w:rPr>
              <w:t>SECTION 10.4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34"/>
          </w:tcPr>
          <w:p>
            <w:pPr>
              <w:spacing w:after="0" w:line="237" w:lineRule="exact"/>
              <w:rPr>
                <w:sz w:val="20"/>
                <w:szCs w:val="20"/>
                <w:color w:val="auto"/>
              </w:rPr>
            </w:pPr>
            <w:r>
              <w:rPr>
                <w:rFonts w:ascii="Times New Roman" w:cs="Times New Roman" w:eastAsia="Times New Roman" w:hAnsi="Times New Roman"/>
                <w:sz w:val="22"/>
                <w:szCs w:val="22"/>
                <w:color w:val="0000FF"/>
              </w:rPr>
              <w:t>Indemnification; Expenses; and Damage Waiver</w:t>
            </w:r>
          </w:p>
        </w:tc>
        <w:tc>
          <w:tcPr>
            <w:tcW w:w="2520" w:type="dxa"/>
            <w:vAlign w:val="bottom"/>
          </w:tcPr>
          <w:p>
            <w:pPr>
              <w:jc w:val="right"/>
              <w:ind w:right="2172"/>
              <w:spacing w:after="0" w:line="237" w:lineRule="exact"/>
              <w:rPr>
                <w:sz w:val="20"/>
                <w:szCs w:val="20"/>
                <w:color w:val="auto"/>
              </w:rPr>
            </w:pPr>
            <w:r>
              <w:rPr>
                <w:rFonts w:ascii="Times New Roman" w:cs="Times New Roman" w:eastAsia="Times New Roman" w:hAnsi="Times New Roman"/>
                <w:sz w:val="22"/>
                <w:szCs w:val="22"/>
                <w:color w:val="auto"/>
                <w:w w:val="99"/>
              </w:rPr>
              <w:t>89</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iii -</w:t>
      </w:r>
    </w:p>
    <w:p>
      <w:pPr>
        <w:sectPr>
          <w:pgSz w:w="11900" w:h="16838" w:orient="portrait"/>
          <w:cols w:equalWidth="0" w:num="1">
            <w:col w:w="10139"/>
          </w:cols>
          <w:pgMar w:left="320" w:top="139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SECTION 10.5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22"/>
                <w:szCs w:val="22"/>
                <w:color w:val="0000FF"/>
              </w:rPr>
              <w:t>Survival</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90</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40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10.6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11"/>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Severability  </w:t>
            </w:r>
            <w:r>
              <w:rPr>
                <w:rFonts w:ascii="Times New Roman" w:cs="Times New Roman" w:eastAsia="Times New Roman" w:hAnsi="Times New Roman"/>
                <w:sz w:val="22"/>
                <w:szCs w:val="22"/>
                <w:color w:val="000000"/>
              </w:rPr>
              <w:t>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40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10.7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Headings</w:t>
            </w:r>
          </w:p>
        </w:tc>
        <w:tc>
          <w:tcPr>
            <w:tcW w:w="720" w:type="dxa"/>
            <w:vAlign w:val="bottom"/>
            <w:gridSpan w:val="2"/>
          </w:tcPr>
          <w:p>
            <w:pPr>
              <w:jc w:val="right"/>
              <w:ind w:right="360"/>
              <w:spacing w:after="0" w:line="237" w:lineRule="exact"/>
              <w:rPr>
                <w:sz w:val="20"/>
                <w:szCs w:val="20"/>
                <w:color w:val="auto"/>
              </w:rPr>
            </w:pPr>
            <w:r>
              <w:rPr>
                <w:rFonts w:ascii="Times New Roman" w:cs="Times New Roman" w:eastAsia="Times New Roman" w:hAnsi="Times New Roman"/>
                <w:sz w:val="22"/>
                <w:szCs w:val="22"/>
                <w:color w:val="auto"/>
              </w:rPr>
              <w:t>91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40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0000FF"/>
              </w:rPr>
              <w:t>SECTION 10.8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60" w:type="dxa"/>
            <w:vAlign w:val="bottom"/>
            <w:gridSpan w:val="24"/>
          </w:tcPr>
          <w:p>
            <w:pPr>
              <w:spacing w:after="0" w:line="250" w:lineRule="exact"/>
              <w:rPr>
                <w:sz w:val="20"/>
                <w:szCs w:val="20"/>
                <w:color w:val="auto"/>
              </w:rPr>
            </w:pPr>
            <w:r>
              <w:rPr>
                <w:rFonts w:ascii="Times New Roman" w:cs="Times New Roman" w:eastAsia="Times New Roman" w:hAnsi="Times New Roman"/>
                <w:sz w:val="22"/>
                <w:szCs w:val="22"/>
                <w:color w:val="0000FF"/>
              </w:rPr>
              <w:t>Execution in Counterparts, Effectiveness, Etc</w:t>
            </w:r>
          </w:p>
        </w:tc>
        <w:tc>
          <w:tcPr>
            <w:tcW w:w="420" w:type="dxa"/>
            <w:vAlign w:val="bottom"/>
            <w:gridSpan w:val="2"/>
          </w:tcPr>
          <w:p>
            <w:pPr>
              <w:jc w:val="right"/>
              <w:ind w:right="200"/>
              <w:spacing w:after="0" w:line="250" w:lineRule="exact"/>
              <w:rPr>
                <w:sz w:val="20"/>
                <w:szCs w:val="20"/>
                <w:color w:val="auto"/>
              </w:rPr>
            </w:pPr>
            <w:r>
              <w:rPr>
                <w:rFonts w:ascii="Times New Roman" w:cs="Times New Roman" w:eastAsia="Times New Roman" w:hAnsi="Times New Roman"/>
                <w:sz w:val="22"/>
                <w:szCs w:val="22"/>
                <w:color w:val="auto"/>
                <w:w w:val="90"/>
              </w:rPr>
              <w:t>91</w:t>
            </w: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6"/>
        </w:trPr>
        <w:tc>
          <w:tcPr>
            <w:tcW w:w="660" w:type="dxa"/>
            <w:vAlign w:val="bottom"/>
          </w:tcPr>
          <w:p>
            <w:pPr>
              <w:spacing w:after="0"/>
              <w:rPr>
                <w:sz w:val="20"/>
                <w:szCs w:val="20"/>
                <w:color w:val="auto"/>
              </w:rPr>
            </w:pPr>
          </w:p>
        </w:tc>
        <w:tc>
          <w:tcPr>
            <w:tcW w:w="1400" w:type="dxa"/>
            <w:vAlign w:val="bottom"/>
            <w:tcBorders>
              <w:top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10.9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Borders>
              <w:top w:val="single" w:sz="8" w:color="0000FF"/>
            </w:tcBorders>
            <w:gridSpan w:val="23"/>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Governing Law; Entire Agreement  </w:t>
            </w:r>
            <w:r>
              <w:rPr>
                <w:rFonts w:ascii="Times New Roman" w:cs="Times New Roman" w:eastAsia="Times New Roman" w:hAnsi="Times New Roman"/>
                <w:sz w:val="22"/>
                <w:szCs w:val="22"/>
                <w:color w:val="000000"/>
              </w:rPr>
              <w:t>91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5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10.10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13"/>
          </w:tcPr>
          <w:p>
            <w:pPr>
              <w:ind w:left="20"/>
              <w:spacing w:after="0" w:line="237" w:lineRule="exact"/>
              <w:rPr>
                <w:sz w:val="20"/>
                <w:szCs w:val="20"/>
                <w:color w:val="auto"/>
              </w:rPr>
            </w:pPr>
            <w:r>
              <w:rPr>
                <w:rFonts w:ascii="Times New Roman" w:cs="Times New Roman" w:eastAsia="Times New Roman" w:hAnsi="Times New Roman"/>
                <w:sz w:val="22"/>
                <w:szCs w:val="22"/>
                <w:color w:val="0000FF"/>
                <w:w w:val="99"/>
              </w:rPr>
              <w:t>Successors and Assigns</w:t>
            </w:r>
          </w:p>
        </w:tc>
        <w:tc>
          <w:tcPr>
            <w:tcW w:w="44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91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50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10.11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0000FF"/>
            </w:tcBorders>
            <w:gridSpan w:val="7"/>
          </w:tcPr>
          <w:p>
            <w:pPr>
              <w:spacing w:after="0" w:line="237" w:lineRule="exact"/>
              <w:rPr>
                <w:sz w:val="20"/>
                <w:szCs w:val="20"/>
                <w:color w:val="auto"/>
              </w:rPr>
            </w:pPr>
            <w:r>
              <w:rPr>
                <w:rFonts w:ascii="Times New Roman" w:cs="Times New Roman" w:eastAsia="Times New Roman" w:hAnsi="Times New Roman"/>
                <w:sz w:val="22"/>
                <w:szCs w:val="22"/>
                <w:color w:val="0000FF"/>
                <w:w w:val="97"/>
              </w:rPr>
              <w:t>Other Transactions</w:t>
            </w:r>
          </w:p>
        </w:tc>
        <w:tc>
          <w:tcPr>
            <w:tcW w:w="180" w:type="dxa"/>
            <w:vAlign w:val="bottom"/>
            <w:gridSpan w:val="3"/>
          </w:tcPr>
          <w:p>
            <w:pPr>
              <w:spacing w:after="0"/>
              <w:rPr>
                <w:sz w:val="20"/>
                <w:szCs w:val="20"/>
                <w:color w:val="auto"/>
              </w:rPr>
            </w:pPr>
          </w:p>
        </w:tc>
        <w:tc>
          <w:tcPr>
            <w:tcW w:w="280" w:type="dxa"/>
            <w:vAlign w:val="bottom"/>
            <w:gridSpan w:val="3"/>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w w:val="99"/>
              </w:rPr>
              <w:t>94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5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10.12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gridSpan w:val="23"/>
          </w:tcPr>
          <w:p>
            <w:pPr>
              <w:ind w:left="20"/>
              <w:spacing w:after="0" w:line="237" w:lineRule="exact"/>
              <w:rPr>
                <w:sz w:val="20"/>
                <w:szCs w:val="20"/>
                <w:color w:val="auto"/>
              </w:rPr>
            </w:pPr>
            <w:r>
              <w:rPr>
                <w:rFonts w:ascii="Times New Roman" w:cs="Times New Roman" w:eastAsia="Times New Roman" w:hAnsi="Times New Roman"/>
                <w:sz w:val="22"/>
                <w:szCs w:val="22"/>
                <w:color w:val="0000FF"/>
              </w:rPr>
              <w:t>Forum Selection and Consent to Jurisdiction</w:t>
            </w:r>
          </w:p>
        </w:tc>
        <w:tc>
          <w:tcPr>
            <w:tcW w:w="420" w:type="dxa"/>
            <w:vAlign w:val="bottom"/>
            <w:gridSpan w:val="2"/>
          </w:tcPr>
          <w:p>
            <w:pPr>
              <w:jc w:val="right"/>
              <w:ind w:right="180"/>
              <w:spacing w:after="0" w:line="237" w:lineRule="exact"/>
              <w:rPr>
                <w:sz w:val="20"/>
                <w:szCs w:val="20"/>
                <w:color w:val="auto"/>
              </w:rPr>
            </w:pPr>
            <w:r>
              <w:rPr>
                <w:rFonts w:ascii="Times New Roman" w:cs="Times New Roman" w:eastAsia="Times New Roman" w:hAnsi="Times New Roman"/>
                <w:sz w:val="22"/>
                <w:szCs w:val="22"/>
                <w:color w:val="auto"/>
                <w:w w:val="99"/>
              </w:rPr>
              <w:t>94</w:t>
            </w: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50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10.13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10"/>
          </w:tcPr>
          <w:p>
            <w:pPr>
              <w:ind w:left="20"/>
              <w:spacing w:after="0" w:line="250" w:lineRule="exact"/>
              <w:rPr>
                <w:sz w:val="20"/>
                <w:szCs w:val="20"/>
                <w:color w:val="auto"/>
              </w:rPr>
            </w:pPr>
            <w:r>
              <w:rPr>
                <w:rFonts w:ascii="Times New Roman" w:cs="Times New Roman" w:eastAsia="Times New Roman" w:hAnsi="Times New Roman"/>
                <w:sz w:val="22"/>
                <w:szCs w:val="22"/>
                <w:color w:val="0000FF"/>
                <w:w w:val="99"/>
              </w:rPr>
              <w:t>Waiver of Jury Trial</w:t>
            </w:r>
          </w:p>
        </w:tc>
        <w:tc>
          <w:tcPr>
            <w:tcW w:w="460" w:type="dxa"/>
            <w:vAlign w:val="bottom"/>
            <w:gridSpan w:val="5"/>
          </w:tcPr>
          <w:p>
            <w:pPr>
              <w:ind w:left="140"/>
              <w:spacing w:after="0" w:line="250" w:lineRule="exact"/>
              <w:rPr>
                <w:sz w:val="20"/>
                <w:szCs w:val="20"/>
                <w:color w:val="auto"/>
              </w:rPr>
            </w:pPr>
            <w:r>
              <w:rPr>
                <w:rFonts w:ascii="Times New Roman" w:cs="Times New Roman" w:eastAsia="Times New Roman" w:hAnsi="Times New Roman"/>
                <w:sz w:val="22"/>
                <w:szCs w:val="22"/>
                <w:color w:val="auto"/>
              </w:rPr>
              <w:t>95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5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10.14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16"/>
          </w:tcPr>
          <w:p>
            <w:pPr>
              <w:ind w:left="20"/>
              <w:spacing w:after="0" w:line="237" w:lineRule="exact"/>
              <w:rPr>
                <w:sz w:val="20"/>
                <w:szCs w:val="20"/>
                <w:color w:val="auto"/>
              </w:rPr>
            </w:pPr>
            <w:r>
              <w:rPr>
                <w:rFonts w:ascii="Times New Roman" w:cs="Times New Roman" w:eastAsia="Times New Roman" w:hAnsi="Times New Roman"/>
                <w:sz w:val="22"/>
                <w:szCs w:val="22"/>
                <w:color w:val="0000FF"/>
              </w:rPr>
              <w:t>Confidential Information</w:t>
            </w:r>
          </w:p>
        </w:tc>
        <w:tc>
          <w:tcPr>
            <w:tcW w:w="34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w w:val="99"/>
              </w:rPr>
              <w:t>95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5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10.15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19"/>
          </w:tcPr>
          <w:p>
            <w:pPr>
              <w:ind w:left="20"/>
              <w:spacing w:after="0" w:line="237" w:lineRule="exact"/>
              <w:rPr>
                <w:sz w:val="20"/>
                <w:szCs w:val="20"/>
                <w:color w:val="auto"/>
              </w:rPr>
            </w:pPr>
            <w:r>
              <w:rPr>
                <w:rFonts w:ascii="Times New Roman" w:cs="Times New Roman" w:eastAsia="Times New Roman" w:hAnsi="Times New Roman"/>
                <w:sz w:val="22"/>
                <w:szCs w:val="22"/>
                <w:color w:val="0000FF"/>
              </w:rPr>
              <w:t>Exceptions to Confidentiality</w:t>
            </w:r>
          </w:p>
        </w:tc>
        <w:tc>
          <w:tcPr>
            <w:tcW w:w="400" w:type="dxa"/>
            <w:vAlign w:val="bottom"/>
            <w:gridSpan w:val="2"/>
          </w:tcPr>
          <w:p>
            <w:pPr>
              <w:jc w:val="right"/>
              <w:ind w:right="180"/>
              <w:spacing w:after="0" w:line="237" w:lineRule="exact"/>
              <w:rPr>
                <w:sz w:val="20"/>
                <w:szCs w:val="20"/>
                <w:color w:val="auto"/>
              </w:rPr>
            </w:pPr>
            <w:r>
              <w:rPr>
                <w:rFonts w:ascii="Times New Roman" w:cs="Times New Roman" w:eastAsia="Times New Roman" w:hAnsi="Times New Roman"/>
                <w:sz w:val="22"/>
                <w:szCs w:val="22"/>
                <w:color w:val="auto"/>
                <w:w w:val="90"/>
              </w:rPr>
              <w:t>96</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5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10.16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gridSpan w:val="28"/>
          </w:tcPr>
          <w:p>
            <w:pPr>
              <w:ind w:left="20"/>
              <w:spacing w:after="0" w:line="237" w:lineRule="exact"/>
              <w:rPr>
                <w:sz w:val="20"/>
                <w:szCs w:val="20"/>
                <w:color w:val="auto"/>
              </w:rPr>
            </w:pPr>
            <w:r>
              <w:rPr>
                <w:rFonts w:ascii="Times New Roman" w:cs="Times New Roman" w:eastAsia="Times New Roman" w:hAnsi="Times New Roman"/>
                <w:sz w:val="22"/>
                <w:szCs w:val="22"/>
                <w:color w:val="0000FF"/>
              </w:rPr>
              <w:t xml:space="preserve">No Waiver; Cumulative Remedies; Enforcement  </w:t>
            </w:r>
            <w:r>
              <w:rPr>
                <w:rFonts w:ascii="Times New Roman" w:cs="Times New Roman" w:eastAsia="Times New Roman" w:hAnsi="Times New Roman"/>
                <w:sz w:val="22"/>
                <w:szCs w:val="22"/>
                <w:color w:val="000000"/>
              </w:rPr>
              <w:t>96</w:t>
            </w: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5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10.17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10"/>
          </w:tcPr>
          <w:p>
            <w:pPr>
              <w:ind w:left="20"/>
              <w:spacing w:after="0" w:line="237" w:lineRule="exact"/>
              <w:rPr>
                <w:sz w:val="20"/>
                <w:szCs w:val="20"/>
                <w:color w:val="auto"/>
              </w:rPr>
            </w:pPr>
            <w:r>
              <w:rPr>
                <w:rFonts w:ascii="Times New Roman" w:cs="Times New Roman" w:eastAsia="Times New Roman" w:hAnsi="Times New Roman"/>
                <w:sz w:val="22"/>
                <w:szCs w:val="22"/>
                <w:color w:val="0000FF"/>
              </w:rPr>
              <w:t>Payments Set Aside</w:t>
            </w:r>
          </w:p>
        </w:tc>
        <w:tc>
          <w:tcPr>
            <w:tcW w:w="340" w:type="dxa"/>
            <w:vAlign w:val="bottom"/>
            <w:gridSpan w:val="4"/>
          </w:tcPr>
          <w:p>
            <w:pPr>
              <w:ind w:left="120"/>
              <w:spacing w:after="0" w:line="237" w:lineRule="exact"/>
              <w:rPr>
                <w:sz w:val="20"/>
                <w:szCs w:val="20"/>
                <w:color w:val="auto"/>
              </w:rPr>
            </w:pPr>
            <w:r>
              <w:rPr>
                <w:rFonts w:ascii="Times New Roman" w:cs="Times New Roman" w:eastAsia="Times New Roman" w:hAnsi="Times New Roman"/>
                <w:sz w:val="22"/>
                <w:szCs w:val="22"/>
                <w:color w:val="auto"/>
                <w:w w:val="90"/>
              </w:rPr>
              <w:t>97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5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10.18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gridSpan w:val="28"/>
          </w:tcPr>
          <w:p>
            <w:pPr>
              <w:ind w:left="20"/>
              <w:spacing w:after="0" w:line="237" w:lineRule="exact"/>
              <w:rPr>
                <w:sz w:val="20"/>
                <w:szCs w:val="20"/>
                <w:color w:val="auto"/>
              </w:rPr>
            </w:pPr>
            <w:r>
              <w:rPr>
                <w:rFonts w:ascii="Times New Roman" w:cs="Times New Roman" w:eastAsia="Times New Roman" w:hAnsi="Times New Roman"/>
                <w:sz w:val="22"/>
                <w:szCs w:val="22"/>
                <w:color w:val="0000FF"/>
                <w:w w:val="99"/>
              </w:rPr>
              <w:t xml:space="preserve">Electronic Execution of Assignments and Certain Other Documents  </w:t>
            </w:r>
            <w:r>
              <w:rPr>
                <w:rFonts w:ascii="Times New Roman" w:cs="Times New Roman" w:eastAsia="Times New Roman" w:hAnsi="Times New Roman"/>
                <w:sz w:val="22"/>
                <w:szCs w:val="22"/>
                <w:color w:val="000000"/>
                <w:w w:val="99"/>
              </w:rPr>
              <w:t>97</w:t>
            </w: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50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10.19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gridSpan w:val="19"/>
          </w:tcPr>
          <w:p>
            <w:pPr>
              <w:ind w:left="20"/>
              <w:spacing w:after="0" w:line="250" w:lineRule="exact"/>
              <w:rPr>
                <w:sz w:val="20"/>
                <w:szCs w:val="20"/>
                <w:color w:val="auto"/>
              </w:rPr>
            </w:pPr>
            <w:r>
              <w:rPr>
                <w:rFonts w:ascii="Times New Roman" w:cs="Times New Roman" w:eastAsia="Times New Roman" w:hAnsi="Times New Roman"/>
                <w:sz w:val="22"/>
                <w:szCs w:val="22"/>
                <w:color w:val="0000FF"/>
                <w:w w:val="99"/>
              </w:rPr>
              <w:t>Independent Nature of Lenders</w:t>
            </w:r>
          </w:p>
        </w:tc>
        <w:tc>
          <w:tcPr>
            <w:tcW w:w="400" w:type="dxa"/>
            <w:vAlign w:val="bottom"/>
            <w:gridSpan w:val="2"/>
          </w:tcPr>
          <w:p>
            <w:pPr>
              <w:jc w:val="right"/>
              <w:ind w:right="40"/>
              <w:spacing w:after="0" w:line="250" w:lineRule="exact"/>
              <w:rPr>
                <w:sz w:val="20"/>
                <w:szCs w:val="20"/>
                <w:color w:val="auto"/>
              </w:rPr>
            </w:pPr>
            <w:r>
              <w:rPr>
                <w:rFonts w:ascii="Times New Roman" w:cs="Times New Roman" w:eastAsia="Times New Roman" w:hAnsi="Times New Roman"/>
                <w:sz w:val="22"/>
                <w:szCs w:val="22"/>
                <w:color w:val="auto"/>
              </w:rPr>
              <w:t>97</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5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10.20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16"/>
          </w:tcPr>
          <w:p>
            <w:pPr>
              <w:ind w:left="20"/>
              <w:spacing w:after="0" w:line="237" w:lineRule="exact"/>
              <w:rPr>
                <w:sz w:val="20"/>
                <w:szCs w:val="20"/>
                <w:color w:val="auto"/>
              </w:rPr>
            </w:pPr>
            <w:r>
              <w:rPr>
                <w:rFonts w:ascii="Times New Roman" w:cs="Times New Roman" w:eastAsia="Times New Roman" w:hAnsi="Times New Roman"/>
                <w:sz w:val="22"/>
                <w:szCs w:val="22"/>
                <w:color w:val="0000FF"/>
              </w:rPr>
              <w:t>No Fiduciary Relationship</w:t>
            </w:r>
          </w:p>
        </w:tc>
        <w:tc>
          <w:tcPr>
            <w:tcW w:w="400" w:type="dxa"/>
            <w:vAlign w:val="bottom"/>
            <w:gridSpan w:val="3"/>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98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18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0000FF"/>
              </w:rPr>
              <w:t>ARTICLE XI</w:t>
            </w:r>
          </w:p>
        </w:tc>
        <w:tc>
          <w:tcPr>
            <w:tcW w:w="2800" w:type="dxa"/>
            <w:vAlign w:val="bottom"/>
            <w:gridSpan w:val="15"/>
          </w:tcPr>
          <w:p>
            <w:pPr>
              <w:spacing w:after="0"/>
              <w:rPr>
                <w:sz w:val="20"/>
                <w:szCs w:val="20"/>
                <w:color w:val="auto"/>
              </w:rPr>
            </w:pPr>
            <w:r>
              <w:rPr>
                <w:rFonts w:ascii="Times New Roman" w:cs="Times New Roman" w:eastAsia="Times New Roman" w:hAnsi="Times New Roman"/>
                <w:sz w:val="22"/>
                <w:szCs w:val="22"/>
                <w:color w:val="0000FF"/>
              </w:rPr>
              <w:t>ADMINISTRATIVE AGENT</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w w:val="99"/>
              </w:rPr>
              <w:t>98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0000FF"/>
                <w:w w:val="99"/>
              </w:rPr>
              <w:t>SECTION 11.1</w:t>
            </w:r>
          </w:p>
        </w:tc>
        <w:tc>
          <w:tcPr>
            <w:tcW w:w="1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17"/>
          </w:tcPr>
          <w:p>
            <w:pPr>
              <w:spacing w:after="0"/>
              <w:rPr>
                <w:sz w:val="20"/>
                <w:szCs w:val="20"/>
                <w:color w:val="auto"/>
              </w:rPr>
            </w:pPr>
            <w:r>
              <w:rPr>
                <w:rFonts w:ascii="Times New Roman" w:cs="Times New Roman" w:eastAsia="Times New Roman" w:hAnsi="Times New Roman"/>
                <w:sz w:val="22"/>
                <w:szCs w:val="22"/>
                <w:color w:val="0000FF"/>
              </w:rPr>
              <w:t>Appointment and Authority</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98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380" w:type="dxa"/>
            <w:vAlign w:val="bottom"/>
            <w:tcBorders>
              <w:top w:val="single" w:sz="8" w:color="0000FF"/>
            </w:tcBorders>
            <w:gridSpan w:val="3"/>
          </w:tcPr>
          <w:p>
            <w:pPr>
              <w:spacing w:after="0" w:line="237" w:lineRule="exact"/>
              <w:rPr>
                <w:sz w:val="20"/>
                <w:szCs w:val="20"/>
                <w:color w:val="auto"/>
              </w:rPr>
            </w:pPr>
            <w:r>
              <w:rPr>
                <w:rFonts w:ascii="Times New Roman" w:cs="Times New Roman" w:eastAsia="Times New Roman" w:hAnsi="Times New Roman"/>
                <w:sz w:val="22"/>
                <w:szCs w:val="22"/>
                <w:color w:val="0000FF"/>
                <w:w w:val="99"/>
              </w:rPr>
              <w:t>SECTION 11.2</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Borders>
              <w:top w:val="single" w:sz="8" w:color="0000FF"/>
            </w:tcBorders>
            <w:gridSpan w:val="14"/>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Rights as a Lender  </w:t>
            </w:r>
            <w:r>
              <w:rPr>
                <w:rFonts w:ascii="Times New Roman" w:cs="Times New Roman" w:eastAsia="Times New Roman" w:hAnsi="Times New Roman"/>
                <w:sz w:val="22"/>
                <w:szCs w:val="22"/>
                <w:color w:val="000000"/>
              </w:rPr>
              <w:t>99</w:t>
            </w: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50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11.3</w:t>
            </w:r>
          </w:p>
        </w:tc>
        <w:tc>
          <w:tcPr>
            <w:tcW w:w="100" w:type="dxa"/>
            <w:vAlign w:val="bottom"/>
          </w:tcPr>
          <w:p>
            <w:pPr>
              <w:spacing w:after="0"/>
              <w:rPr>
                <w:sz w:val="21"/>
                <w:szCs w:val="21"/>
                <w:color w:val="auto"/>
              </w:rPr>
            </w:pPr>
          </w:p>
        </w:tc>
        <w:tc>
          <w:tcPr>
            <w:tcW w:w="222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000FF"/>
              </w:rPr>
              <w:t>Exculpatory Provisions</w:t>
            </w:r>
          </w:p>
        </w:tc>
        <w:tc>
          <w:tcPr>
            <w:tcW w:w="260" w:type="dxa"/>
            <w:vAlign w:val="bottom"/>
            <w:gridSpan w:val="3"/>
          </w:tcPr>
          <w:p>
            <w:pPr>
              <w:jc w:val="right"/>
              <w:ind w:right="20"/>
              <w:spacing w:after="0" w:line="250" w:lineRule="exact"/>
              <w:rPr>
                <w:sz w:val="20"/>
                <w:szCs w:val="20"/>
                <w:color w:val="auto"/>
              </w:rPr>
            </w:pPr>
            <w:r>
              <w:rPr>
                <w:rFonts w:ascii="Times New Roman" w:cs="Times New Roman" w:eastAsia="Times New Roman" w:hAnsi="Times New Roman"/>
                <w:sz w:val="22"/>
                <w:szCs w:val="22"/>
                <w:color w:val="auto"/>
                <w:w w:val="99"/>
              </w:rPr>
              <w:t>99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9"/>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0000FF"/>
                <w:w w:val="99"/>
              </w:rPr>
              <w:t>SECTION 11.4</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24"/>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Reliance by the Administrative Agent  </w:t>
            </w:r>
            <w:r>
              <w:rPr>
                <w:rFonts w:ascii="Times New Roman" w:cs="Times New Roman" w:eastAsia="Times New Roman" w:hAnsi="Times New Roman"/>
                <w:sz w:val="22"/>
                <w:szCs w:val="22"/>
                <w:color w:val="000000"/>
              </w:rPr>
              <w:t>101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380" w:type="dxa"/>
            <w:vAlign w:val="bottom"/>
            <w:tcBorders>
              <w:top w:val="single" w:sz="8" w:color="0000FF"/>
            </w:tcBorders>
            <w:gridSpan w:val="3"/>
          </w:tcPr>
          <w:p>
            <w:pPr>
              <w:spacing w:after="0" w:line="237" w:lineRule="exact"/>
              <w:rPr>
                <w:sz w:val="20"/>
                <w:szCs w:val="20"/>
                <w:color w:val="auto"/>
              </w:rPr>
            </w:pPr>
            <w:r>
              <w:rPr>
                <w:rFonts w:ascii="Times New Roman" w:cs="Times New Roman" w:eastAsia="Times New Roman" w:hAnsi="Times New Roman"/>
                <w:sz w:val="22"/>
                <w:szCs w:val="22"/>
                <w:color w:val="0000FF"/>
                <w:w w:val="99"/>
              </w:rPr>
              <w:t>SECTION 11.5</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0000FF"/>
            </w:tcBorders>
            <w:gridSpan w:val="11"/>
          </w:tcPr>
          <w:p>
            <w:pPr>
              <w:spacing w:after="0" w:line="237" w:lineRule="exact"/>
              <w:rPr>
                <w:sz w:val="20"/>
                <w:szCs w:val="20"/>
                <w:color w:val="auto"/>
              </w:rPr>
            </w:pPr>
            <w:r>
              <w:rPr>
                <w:rFonts w:ascii="Times New Roman" w:cs="Times New Roman" w:eastAsia="Times New Roman" w:hAnsi="Times New Roman"/>
                <w:sz w:val="22"/>
                <w:szCs w:val="22"/>
                <w:color w:val="0000FF"/>
              </w:rPr>
              <w:t>Delegation of Duties</w:t>
            </w:r>
          </w:p>
        </w:tc>
        <w:tc>
          <w:tcPr>
            <w:tcW w:w="460" w:type="dxa"/>
            <w:vAlign w:val="bottom"/>
            <w:tcBorders>
              <w:top w:val="single" w:sz="8" w:color="0000FF"/>
            </w:tcBorders>
            <w:gridSpan w:val="5"/>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102</w:t>
            </w: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38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0000FF"/>
                <w:w w:val="99"/>
              </w:rPr>
              <w:t>SECTION 11.6</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Resignation or Removal of the Administrative Agent  </w:t>
            </w:r>
            <w:r>
              <w:rPr>
                <w:rFonts w:ascii="Times New Roman" w:cs="Times New Roman" w:eastAsia="Times New Roman" w:hAnsi="Times New Roman"/>
                <w:sz w:val="22"/>
                <w:szCs w:val="22"/>
                <w:color w:val="000000"/>
              </w:rPr>
              <w:t>103</w:t>
            </w:r>
          </w:p>
        </w:tc>
      </w:tr>
      <w:tr>
        <w:trPr>
          <w:trHeight w:val="20"/>
        </w:trPr>
        <w:tc>
          <w:tcPr>
            <w:tcW w:w="66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10"/>
            <w:shd w:val="clear" w:color="auto" w:fill="0000FF"/>
          </w:tcPr>
          <w:p>
            <w:pPr>
              <w:spacing w:after="0" w:line="20" w:lineRule="exact"/>
              <w:rPr>
                <w:sz w:val="1"/>
                <w:szCs w:val="1"/>
                <w:color w:val="auto"/>
              </w:rPr>
            </w:pPr>
          </w:p>
        </w:tc>
        <w:tc>
          <w:tcPr>
            <w:tcW w:w="980" w:type="dxa"/>
            <w:vAlign w:val="bottom"/>
            <w:gridSpan w:val="10"/>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138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0000FF"/>
                <w:w w:val="99"/>
              </w:rPr>
              <w:t>SECTION 11.7</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9"/>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Non-Reliance on the Administrative Agent and Other Lenders  </w:t>
            </w:r>
            <w:r>
              <w:rPr>
                <w:rFonts w:ascii="Times New Roman" w:cs="Times New Roman" w:eastAsia="Times New Roman" w:hAnsi="Times New Roman"/>
                <w:sz w:val="22"/>
                <w:szCs w:val="22"/>
                <w:color w:val="000000"/>
              </w:rPr>
              <w:t>103</w:t>
            </w:r>
          </w:p>
        </w:tc>
      </w:tr>
      <w:tr>
        <w:trPr>
          <w:trHeight w:val="250"/>
        </w:trPr>
        <w:tc>
          <w:tcPr>
            <w:tcW w:w="660" w:type="dxa"/>
            <w:vAlign w:val="bottom"/>
          </w:tcPr>
          <w:p>
            <w:pPr>
              <w:spacing w:after="0"/>
              <w:rPr>
                <w:sz w:val="21"/>
                <w:szCs w:val="21"/>
                <w:color w:val="auto"/>
              </w:rPr>
            </w:pPr>
          </w:p>
        </w:tc>
        <w:tc>
          <w:tcPr>
            <w:tcW w:w="1500" w:type="dxa"/>
            <w:vAlign w:val="bottom"/>
            <w:tcBorders>
              <w:top w:val="single" w:sz="8" w:color="0000FF"/>
              <w:bottom w:val="single" w:sz="8" w:color="0000FF"/>
            </w:tcBorders>
            <w:gridSpan w:val="5"/>
          </w:tcPr>
          <w:p>
            <w:pPr>
              <w:spacing w:after="0" w:line="250" w:lineRule="exact"/>
              <w:rPr>
                <w:sz w:val="20"/>
                <w:szCs w:val="20"/>
                <w:color w:val="auto"/>
              </w:rPr>
            </w:pPr>
            <w:r>
              <w:rPr>
                <w:rFonts w:ascii="Times New Roman" w:cs="Times New Roman" w:eastAsia="Times New Roman" w:hAnsi="Times New Roman"/>
                <w:sz w:val="22"/>
                <w:szCs w:val="22"/>
                <w:color w:val="0000FF"/>
              </w:rPr>
              <w:t>SECTION 11.8</w:t>
            </w:r>
          </w:p>
        </w:tc>
        <w:tc>
          <w:tcPr>
            <w:tcW w:w="100" w:type="dxa"/>
            <w:vAlign w:val="bottom"/>
          </w:tcPr>
          <w:p>
            <w:pPr>
              <w:spacing w:after="0"/>
              <w:rPr>
                <w:sz w:val="21"/>
                <w:szCs w:val="21"/>
                <w:color w:val="auto"/>
              </w:rPr>
            </w:pPr>
          </w:p>
        </w:tc>
        <w:tc>
          <w:tcPr>
            <w:tcW w:w="4160" w:type="dxa"/>
            <w:vAlign w:val="bottom"/>
            <w:tcBorders>
              <w:top w:val="single" w:sz="8" w:color="0000FF"/>
              <w:bottom w:val="single" w:sz="8" w:color="0000FF"/>
            </w:tcBorders>
            <w:gridSpan w:val="24"/>
          </w:tcPr>
          <w:p>
            <w:pPr>
              <w:spacing w:after="0" w:line="250" w:lineRule="exact"/>
              <w:rPr>
                <w:sz w:val="20"/>
                <w:szCs w:val="20"/>
                <w:color w:val="auto"/>
              </w:rPr>
            </w:pPr>
            <w:r>
              <w:rPr>
                <w:rFonts w:ascii="Times New Roman" w:cs="Times New Roman" w:eastAsia="Times New Roman" w:hAnsi="Times New Roman"/>
                <w:sz w:val="22"/>
                <w:szCs w:val="22"/>
                <w:color w:val="0000FF"/>
                <w:w w:val="97"/>
              </w:rPr>
              <w:t>Administrative Agent May File Proofs of Claim</w:t>
            </w:r>
          </w:p>
        </w:tc>
        <w:tc>
          <w:tcPr>
            <w:tcW w:w="1220" w:type="dxa"/>
            <w:vAlign w:val="bottom"/>
            <w:tcBorders>
              <w:top w:val="single" w:sz="8" w:color="0000FF"/>
            </w:tcBorders>
            <w:gridSpan w:val="3"/>
          </w:tcPr>
          <w:p>
            <w:pPr>
              <w:jc w:val="right"/>
              <w:ind w:right="680"/>
              <w:spacing w:after="0" w:line="250" w:lineRule="exact"/>
              <w:rPr>
                <w:sz w:val="20"/>
                <w:szCs w:val="20"/>
                <w:color w:val="auto"/>
              </w:rPr>
            </w:pPr>
            <w:r>
              <w:rPr>
                <w:rFonts w:ascii="Times New Roman" w:cs="Times New Roman" w:eastAsia="Times New Roman" w:hAnsi="Times New Roman"/>
                <w:sz w:val="22"/>
                <w:szCs w:val="22"/>
                <w:color w:val="auto"/>
              </w:rPr>
              <w:t>103</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1380" w:type="dxa"/>
            <w:vAlign w:val="bottom"/>
            <w:tcBorders>
              <w:bottom w:val="single" w:sz="8" w:color="0000FF"/>
            </w:tcBorders>
            <w:gridSpan w:val="3"/>
          </w:tcPr>
          <w:p>
            <w:pPr>
              <w:spacing w:after="0" w:line="237" w:lineRule="exact"/>
              <w:rPr>
                <w:sz w:val="20"/>
                <w:szCs w:val="20"/>
                <w:color w:val="auto"/>
              </w:rPr>
            </w:pPr>
            <w:r>
              <w:rPr>
                <w:rFonts w:ascii="Times New Roman" w:cs="Times New Roman" w:eastAsia="Times New Roman" w:hAnsi="Times New Roman"/>
                <w:sz w:val="22"/>
                <w:szCs w:val="22"/>
                <w:color w:val="0000FF"/>
                <w:w w:val="99"/>
              </w:rPr>
              <w:t>SECTION 11.9</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Borders>
              <w:bottom w:val="single" w:sz="8" w:color="0000FF"/>
            </w:tcBorders>
            <w:gridSpan w:val="20"/>
          </w:tcPr>
          <w:p>
            <w:pPr>
              <w:spacing w:after="0" w:line="237" w:lineRule="exact"/>
              <w:rPr>
                <w:sz w:val="20"/>
                <w:szCs w:val="20"/>
                <w:color w:val="auto"/>
              </w:rPr>
            </w:pPr>
            <w:r>
              <w:rPr>
                <w:rFonts w:ascii="Times New Roman" w:cs="Times New Roman" w:eastAsia="Times New Roman" w:hAnsi="Times New Roman"/>
                <w:sz w:val="22"/>
                <w:szCs w:val="22"/>
                <w:color w:val="0000FF"/>
                <w:w w:val="97"/>
              </w:rPr>
              <w:t>Collateral and Guarantee Matters</w:t>
            </w:r>
          </w:p>
        </w:tc>
        <w:tc>
          <w:tcPr>
            <w:tcW w:w="1080" w:type="dxa"/>
            <w:vAlign w:val="bottom"/>
            <w:gridSpan w:val="3"/>
          </w:tcPr>
          <w:p>
            <w:pPr>
              <w:jc w:val="right"/>
              <w:ind w:right="540"/>
              <w:spacing w:after="0" w:line="237" w:lineRule="exact"/>
              <w:rPr>
                <w:sz w:val="20"/>
                <w:szCs w:val="20"/>
                <w:color w:val="auto"/>
              </w:rPr>
            </w:pPr>
            <w:r>
              <w:rPr>
                <w:rFonts w:ascii="Times New Roman" w:cs="Times New Roman" w:eastAsia="Times New Roman" w:hAnsi="Times New Roman"/>
                <w:sz w:val="22"/>
                <w:szCs w:val="22"/>
                <w:color w:val="auto"/>
              </w:rPr>
              <w:t>105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50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rPr>
              <w:t>SECTION 11.10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0000FF"/>
            </w:tcBorders>
            <w:gridSpan w:val="9"/>
          </w:tcPr>
          <w:p>
            <w:pPr>
              <w:spacing w:after="0" w:line="237" w:lineRule="exact"/>
              <w:rPr>
                <w:sz w:val="20"/>
                <w:szCs w:val="20"/>
                <w:color w:val="auto"/>
              </w:rPr>
            </w:pPr>
            <w:r>
              <w:rPr>
                <w:rFonts w:ascii="Times New Roman" w:cs="Times New Roman" w:eastAsia="Times New Roman" w:hAnsi="Times New Roman"/>
                <w:sz w:val="22"/>
                <w:szCs w:val="22"/>
                <w:color w:val="0000FF"/>
                <w:w w:val="98"/>
              </w:rPr>
              <w:t>Erroneous Payments</w:t>
            </w:r>
          </w:p>
        </w:tc>
        <w:tc>
          <w:tcPr>
            <w:tcW w:w="40" w:type="dxa"/>
            <w:vAlign w:val="bottom"/>
          </w:tcPr>
          <w:p>
            <w:pPr>
              <w:spacing w:after="0"/>
              <w:rPr>
                <w:sz w:val="20"/>
                <w:szCs w:val="20"/>
                <w:color w:val="auto"/>
              </w:rPr>
            </w:pPr>
          </w:p>
        </w:tc>
        <w:tc>
          <w:tcPr>
            <w:tcW w:w="540" w:type="dxa"/>
            <w:vAlign w:val="bottom"/>
            <w:gridSpan w:val="6"/>
          </w:tcPr>
          <w:p>
            <w:pPr>
              <w:ind w:left="160"/>
              <w:spacing w:after="0" w:line="237" w:lineRule="exact"/>
              <w:rPr>
                <w:sz w:val="20"/>
                <w:szCs w:val="20"/>
                <w:color w:val="auto"/>
              </w:rPr>
            </w:pPr>
            <w:r>
              <w:rPr>
                <w:rFonts w:ascii="Times New Roman" w:cs="Times New Roman" w:eastAsia="Times New Roman" w:hAnsi="Times New Roman"/>
                <w:sz w:val="22"/>
                <w:szCs w:val="22"/>
                <w:color w:val="auto"/>
              </w:rPr>
              <w:t>106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748"/>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7"/>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1.1</w:t>
            </w:r>
          </w:p>
        </w:tc>
        <w:tc>
          <w:tcPr>
            <w:tcW w:w="176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Specified Matter</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0"/>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2.1</w:t>
            </w:r>
          </w:p>
        </w:tc>
        <w:tc>
          <w:tcPr>
            <w:tcW w:w="2800" w:type="dxa"/>
            <w:vAlign w:val="bottom"/>
            <w:gridSpan w:val="15"/>
          </w:tcPr>
          <w:p>
            <w:pPr>
              <w:ind w:left="160"/>
              <w:spacing w:after="0"/>
              <w:rPr>
                <w:sz w:val="20"/>
                <w:szCs w:val="20"/>
                <w:color w:val="auto"/>
              </w:rPr>
            </w:pPr>
            <w:r>
              <w:rPr>
                <w:rFonts w:ascii="Times New Roman" w:cs="Times New Roman" w:eastAsia="Times New Roman" w:hAnsi="Times New Roman"/>
                <w:sz w:val="22"/>
                <w:szCs w:val="22"/>
                <w:color w:val="auto"/>
                <w:w w:val="98"/>
              </w:rPr>
              <w:t>Initial Applicable Percentages</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6"/>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Schedule 6.7(a)</w:t>
            </w:r>
          </w:p>
        </w:tc>
        <w:tc>
          <w:tcPr>
            <w:tcW w:w="176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Litigation</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Schedule 6.7(b)</w:t>
            </w:r>
          </w:p>
        </w:tc>
        <w:tc>
          <w:tcPr>
            <w:tcW w:w="1760" w:type="dxa"/>
            <w:vAlign w:val="bottom"/>
            <w:gridSpan w:val="9"/>
          </w:tcPr>
          <w:p>
            <w:pPr>
              <w:ind w:left="200"/>
              <w:spacing w:after="0"/>
              <w:rPr>
                <w:sz w:val="20"/>
                <w:szCs w:val="20"/>
                <w:color w:val="auto"/>
              </w:rPr>
            </w:pPr>
            <w:r>
              <w:rPr>
                <w:rFonts w:ascii="Times New Roman" w:cs="Times New Roman" w:eastAsia="Times New Roman" w:hAnsi="Times New Roman"/>
                <w:sz w:val="22"/>
                <w:szCs w:val="22"/>
                <w:color w:val="auto"/>
              </w:rPr>
              <w:t>Labor Matters</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6.8</w:t>
            </w:r>
          </w:p>
        </w:tc>
        <w:tc>
          <w:tcPr>
            <w:tcW w:w="2800" w:type="dxa"/>
            <w:vAlign w:val="bottom"/>
            <w:gridSpan w:val="15"/>
          </w:tcPr>
          <w:p>
            <w:pPr>
              <w:ind w:left="160"/>
              <w:spacing w:after="0"/>
              <w:rPr>
                <w:sz w:val="20"/>
                <w:szCs w:val="20"/>
                <w:color w:val="auto"/>
              </w:rPr>
            </w:pPr>
            <w:r>
              <w:rPr>
                <w:rFonts w:ascii="Times New Roman" w:cs="Times New Roman" w:eastAsia="Times New Roman" w:hAnsi="Times New Roman"/>
                <w:sz w:val="22"/>
                <w:szCs w:val="22"/>
                <w:color w:val="auto"/>
              </w:rPr>
              <w:t>Existing Subsidiaries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1"/>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6.11</w:t>
            </w:r>
          </w:p>
        </w:tc>
        <w:tc>
          <w:tcPr>
            <w:tcW w:w="2800" w:type="dxa"/>
            <w:vAlign w:val="bottom"/>
            <w:gridSpan w:val="15"/>
          </w:tcPr>
          <w:p>
            <w:pPr>
              <w:ind w:left="260"/>
              <w:spacing w:after="0"/>
              <w:rPr>
                <w:sz w:val="20"/>
                <w:szCs w:val="20"/>
                <w:color w:val="auto"/>
              </w:rPr>
            </w:pPr>
            <w:r>
              <w:rPr>
                <w:rFonts w:ascii="Times New Roman" w:cs="Times New Roman" w:eastAsia="Times New Roman" w:hAnsi="Times New Roman"/>
                <w:sz w:val="22"/>
                <w:szCs w:val="22"/>
                <w:color w:val="auto"/>
              </w:rPr>
              <w:t>Benefit Plans, Etc.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ind w:right="3259"/>
        <w:spacing w:after="0" w:line="247" w:lineRule="auto"/>
        <w:rPr>
          <w:sz w:val="20"/>
          <w:szCs w:val="20"/>
          <w:color w:val="auto"/>
        </w:rPr>
      </w:pPr>
      <w:r>
        <w:rPr>
          <w:rFonts w:ascii="Times New Roman" w:cs="Times New Roman" w:eastAsia="Times New Roman" w:hAnsi="Times New Roman"/>
          <w:sz w:val="22"/>
          <w:szCs w:val="22"/>
          <w:color w:val="auto"/>
        </w:rPr>
        <w:t>Schedule 6.15(a) Intellectual Property (Registrations and Applications) Schedule 6.15(b) Intellectual Property (In-Bound Licenses and Sub-Licenses) Schedule 6.15(f) Proceedings Challenging Owned Intellectual Property Schedule 6.15(g) Validity of Owned and Licensed Intellectual Property Schedule 6.15(j)(1) Infringement Notices</w:t>
      </w:r>
    </w:p>
    <w:p>
      <w:pPr>
        <w:sectPr>
          <w:pgSz w:w="11900" w:h="16838" w:orient="portrait"/>
          <w:cols w:equalWidth="0" w:num="1">
            <w:col w:w="10139"/>
          </w:cols>
          <w:pgMar w:left="32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iv -</w:t>
      </w:r>
    </w:p>
    <w:p>
      <w:pPr>
        <w:sectPr>
          <w:pgSz w:w="11900" w:h="16838" w:orient="portrait"/>
          <w:cols w:equalWidth="0" w:num="1">
            <w:col w:w="10139"/>
          </w:cols>
          <w:pgMar w:left="320" w:top="1399" w:right="1440" w:bottom="1440" w:gutter="0" w:footer="0" w:header="0"/>
          <w:type w:val="continuous"/>
        </w:sectPr>
      </w:pPr>
    </w:p>
    <w:bookmarkStart w:id="9" w:name="page10"/>
    <w:bookmarkEnd w:id="9"/>
    <w:p>
      <w:pPr>
        <w:spacing w:after="0"/>
        <w:tabs>
          <w:tab w:leader="none" w:pos="1880" w:val="left"/>
        </w:tabs>
        <w:rPr>
          <w:sz w:val="20"/>
          <w:szCs w:val="20"/>
          <w:color w:val="auto"/>
        </w:rPr>
      </w:pPr>
      <w:r>
        <w:rPr>
          <w:rFonts w:ascii="Times New Roman" w:cs="Times New Roman" w:eastAsia="Times New Roman" w:hAnsi="Times New Roman"/>
          <w:sz w:val="22"/>
          <w:szCs w:val="22"/>
          <w:color w:val="auto"/>
        </w:rPr>
        <w:t>Schedule 6.15(j)(2)</w:t>
      </w:r>
      <w:r>
        <w:rPr>
          <w:sz w:val="20"/>
          <w:szCs w:val="20"/>
          <w:color w:val="auto"/>
        </w:rPr>
        <w:tab/>
      </w:r>
      <w:r>
        <w:rPr>
          <w:rFonts w:ascii="Times New Roman" w:cs="Times New Roman" w:eastAsia="Times New Roman" w:hAnsi="Times New Roman"/>
          <w:sz w:val="21"/>
          <w:szCs w:val="21"/>
          <w:color w:val="auto"/>
        </w:rPr>
        <w:t>Infringement of Third Party Intellectual Property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Schedule 6.16</w:t>
            </w:r>
          </w:p>
        </w:tc>
        <w:tc>
          <w:tcPr>
            <w:tcW w:w="260" w:type="dxa"/>
            <w:vAlign w:val="bottom"/>
          </w:tcPr>
          <w:p>
            <w:pPr>
              <w:spacing w:after="0"/>
              <w:rPr>
                <w:sz w:val="22"/>
                <w:szCs w:val="22"/>
                <w:color w:val="auto"/>
              </w:rPr>
            </w:pPr>
          </w:p>
        </w:tc>
        <w:tc>
          <w:tcPr>
            <w:tcW w:w="3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Material Agreements</w:t>
            </w:r>
          </w:p>
        </w:tc>
      </w:tr>
      <w:tr>
        <w:trPr>
          <w:trHeight w:val="270"/>
        </w:trPr>
        <w:tc>
          <w:tcPr>
            <w:tcW w:w="48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6.18(f)  Violation of Fraud and Abuse Laws</w:t>
            </w:r>
          </w:p>
        </w:tc>
      </w:tr>
      <w:tr>
        <w:trPr>
          <w:trHeight w:val="257"/>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Schedule 6.19</w:t>
            </w:r>
          </w:p>
        </w:tc>
        <w:tc>
          <w:tcPr>
            <w:tcW w:w="260" w:type="dxa"/>
            <w:vAlign w:val="bottom"/>
          </w:tcPr>
          <w:p>
            <w:pPr>
              <w:spacing w:after="0"/>
              <w:rPr>
                <w:sz w:val="22"/>
                <w:szCs w:val="22"/>
                <w:color w:val="auto"/>
              </w:rPr>
            </w:pPr>
          </w:p>
        </w:tc>
        <w:tc>
          <w:tcPr>
            <w:tcW w:w="3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Transactions with Affiliates</w:t>
            </w:r>
          </w:p>
        </w:tc>
      </w:tr>
      <w:tr>
        <w:trPr>
          <w:trHeight w:val="257"/>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Schedule 6.22</w:t>
            </w:r>
          </w:p>
        </w:tc>
        <w:tc>
          <w:tcPr>
            <w:tcW w:w="260" w:type="dxa"/>
            <w:vAlign w:val="bottom"/>
          </w:tcPr>
          <w:p>
            <w:pPr>
              <w:spacing w:after="0"/>
              <w:rPr>
                <w:sz w:val="22"/>
                <w:szCs w:val="22"/>
                <w:color w:val="auto"/>
              </w:rPr>
            </w:pPr>
          </w:p>
        </w:tc>
        <w:tc>
          <w:tcPr>
            <w:tcW w:w="33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Deposit and Disbursement Accounts</w:t>
            </w:r>
          </w:p>
        </w:tc>
      </w:tr>
      <w:tr>
        <w:trPr>
          <w:trHeight w:val="257"/>
        </w:trPr>
        <w:tc>
          <w:tcPr>
            <w:tcW w:w="1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6.23(a)</w:t>
            </w:r>
          </w:p>
        </w:tc>
        <w:tc>
          <w:tcPr>
            <w:tcW w:w="3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HIPAA</w:t>
            </w:r>
          </w:p>
        </w:tc>
      </w:tr>
      <w:tr>
        <w:trPr>
          <w:trHeight w:val="256"/>
        </w:trPr>
        <w:tc>
          <w:tcPr>
            <w:tcW w:w="48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8.2(b)  Indebtedness to be Paid</w:t>
            </w:r>
          </w:p>
        </w:tc>
      </w:tr>
      <w:tr>
        <w:trPr>
          <w:trHeight w:val="270"/>
        </w:trPr>
        <w:tc>
          <w:tcPr>
            <w:tcW w:w="1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8.2(c)</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Existing Indebtedness</w:t>
            </w:r>
          </w:p>
        </w:tc>
      </w:tr>
      <w:tr>
        <w:trPr>
          <w:trHeight w:val="257"/>
        </w:trPr>
        <w:tc>
          <w:tcPr>
            <w:tcW w:w="1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8.3(c)</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Existing Liens</w:t>
            </w:r>
          </w:p>
        </w:tc>
      </w:tr>
      <w:tr>
        <w:trPr>
          <w:trHeight w:val="257"/>
        </w:trPr>
        <w:tc>
          <w:tcPr>
            <w:tcW w:w="1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8.5(a)</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Investments</w:t>
            </w:r>
          </w:p>
        </w:tc>
      </w:tr>
      <w:tr>
        <w:trPr>
          <w:trHeight w:val="257"/>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8.8</w:t>
            </w:r>
          </w:p>
        </w:tc>
        <w:tc>
          <w:tcPr>
            <w:tcW w:w="26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Specified Dispositions</w:t>
            </w:r>
          </w:p>
        </w:tc>
      </w:tr>
      <w:tr>
        <w:trPr>
          <w:trHeight w:val="282"/>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Schedule 10.2</w:t>
            </w:r>
          </w:p>
        </w:tc>
        <w:tc>
          <w:tcPr>
            <w:tcW w:w="260" w:type="dxa"/>
            <w:vAlign w:val="bottom"/>
          </w:tcPr>
          <w:p>
            <w:pPr>
              <w:spacing w:after="0"/>
              <w:rPr>
                <w:sz w:val="24"/>
                <w:szCs w:val="24"/>
                <w:color w:val="auto"/>
              </w:rPr>
            </w:pPr>
          </w:p>
        </w:tc>
        <w:tc>
          <w:tcPr>
            <w:tcW w:w="3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Information</w:t>
            </w:r>
          </w:p>
        </w:tc>
      </w:tr>
      <w:tr>
        <w:trPr>
          <w:trHeight w:val="499"/>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EXHIBITS:</w:t>
            </w:r>
          </w:p>
        </w:tc>
        <w:tc>
          <w:tcPr>
            <w:tcW w:w="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6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Form of Promissory Note</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Exhibit B</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Form of Loan Request</w:t>
            </w:r>
          </w:p>
        </w:tc>
      </w:tr>
      <w:tr>
        <w:trPr>
          <w:trHeight w:val="256"/>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Form of Compliance Certificate</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Form of Guarantee</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Exhibit E</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3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Form of Security Agreement</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Exhibit F</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35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Exhibit G</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Form of Solvency Certificate</w:t>
            </w:r>
          </w:p>
        </w:tc>
      </w:tr>
      <w:tr>
        <w:trPr>
          <w:trHeight w:val="256"/>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H-1-4</w:t>
            </w:r>
          </w:p>
        </w:tc>
        <w:tc>
          <w:tcPr>
            <w:tcW w:w="35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  Forms of Tax Certificates</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Exhibit I</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Form of Monthly KPI Report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v -</w:t>
      </w:r>
    </w:p>
    <w:p>
      <w:pPr>
        <w:sectPr>
          <w:pgSz w:w="11900" w:h="16838" w:orient="portrait"/>
          <w:cols w:equalWidth="0" w:num="1">
            <w:col w:w="10139"/>
          </w:cols>
          <w:pgMar w:left="320" w:top="1422"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2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THIS CREDIT AGREEMENT dated as of July 31, 2025 (as amended, supplemented or otherwise modified from time to time,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by and among MYRIAD GENETICS,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ORBIMED ROYALTY &amp; CREDIT OPPORTUNITIES IV, LP, a Delaware limited partnership (the “</w:t>
      </w:r>
      <w:r>
        <w:rPr>
          <w:rFonts w:ascii="Times New Roman" w:cs="Times New Roman" w:eastAsia="Times New Roman" w:hAnsi="Times New Roman"/>
          <w:sz w:val="21"/>
          <w:szCs w:val="21"/>
          <w:u w:val="single" w:color="auto"/>
          <w:color w:val="auto"/>
        </w:rPr>
        <w:t>Initial Lender</w:t>
      </w:r>
      <w:r>
        <w:rPr>
          <w:rFonts w:ascii="Times New Roman" w:cs="Times New Roman" w:eastAsia="Times New Roman" w:hAnsi="Times New Roman"/>
          <w:sz w:val="21"/>
          <w:szCs w:val="21"/>
          <w:color w:val="auto"/>
        </w:rPr>
        <w:t>”) and each other lender that may from time to time become a party hereto (each, including the Initial Lender, and together with their Affiliates, successors, transferees and assignees,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ORBIMED ROYALTY &amp; CREDIT OPPORTUNITIES IV, LP (in such capacity, together with its successors, transferees and assignees,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The Borrower, the Lenders and the Administrative Agent are sometimes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21"/>
          <w:szCs w:val="21"/>
          <w:color w:val="auto"/>
        </w:rPr>
        <w:t>WHEREAS, the Borrower has requested that the Lenders provide a senior term loan facility to the Borrower in an aggregate principal amount of $200,000,000 (with $125,000,000 available on the Closing Date and an additional $75,000,000 available on or prior to the Delayed Draw Unavailability Date), subject to the terms and conditions set forth herein; and</w:t>
      </w:r>
    </w:p>
    <w:p>
      <w:pPr>
        <w:spacing w:after="0" w:line="155" w:lineRule="exact"/>
        <w:rPr>
          <w:sz w:val="20"/>
          <w:szCs w:val="20"/>
          <w:color w:val="auto"/>
        </w:rPr>
      </w:pPr>
    </w:p>
    <w:p>
      <w:pPr>
        <w:ind w:right="740" w:firstLine="648"/>
        <w:spacing w:after="0" w:line="271" w:lineRule="auto"/>
        <w:rPr>
          <w:sz w:val="20"/>
          <w:szCs w:val="20"/>
          <w:color w:val="auto"/>
        </w:rPr>
      </w:pPr>
      <w:r>
        <w:rPr>
          <w:rFonts w:ascii="Times New Roman" w:cs="Times New Roman" w:eastAsia="Times New Roman" w:hAnsi="Times New Roman"/>
          <w:sz w:val="22"/>
          <w:szCs w:val="22"/>
          <w:color w:val="auto"/>
        </w:rPr>
        <w:t>WHEREAS, the Lenders are willing, on the terms and subject to the conditions hereinafter set forth, to extend the Commitment and make the Loans to the Borrower;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1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w:t>
      </w:r>
    </w:p>
    <w:p>
      <w:pPr>
        <w:jc w:val="center"/>
        <w:ind w:right="-19"/>
        <w:spacing w:after="0"/>
        <w:rPr>
          <w:sz w:val="20"/>
          <w:szCs w:val="20"/>
          <w:color w:val="auto"/>
        </w:rPr>
      </w:pPr>
      <w:r>
        <w:rPr>
          <w:rFonts w:ascii="Times New Roman" w:cs="Times New Roman" w:eastAsia="Times New Roman" w:hAnsi="Times New Roman"/>
          <w:sz w:val="22"/>
          <w:szCs w:val="22"/>
          <w:color w:val="auto"/>
        </w:rPr>
        <w:t>DEFINITIONS AND ACCOUNTING TERMS</w:t>
      </w:r>
    </w:p>
    <w:p>
      <w:pPr>
        <w:spacing w:after="0" w:line="155" w:lineRule="exact"/>
        <w:rPr>
          <w:sz w:val="20"/>
          <w:szCs w:val="20"/>
          <w:color w:val="auto"/>
        </w:rPr>
      </w:pPr>
    </w:p>
    <w:p>
      <w:pPr>
        <w:ind w:right="3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The following terms (whether or not underscored) when used in this Agreement, including its preamble and recitals, shall, except where the context otherwise requires, have the following meanings (such meanings to be equally applicable to the singular and plural forms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Administration Fee</w:t>
      </w:r>
      <w:r>
        <w:rPr>
          <w:rFonts w:ascii="Times New Roman" w:cs="Times New Roman" w:eastAsia="Times New Roman" w:hAnsi="Times New Roman"/>
          <w:sz w:val="22"/>
          <w:szCs w:val="22"/>
          <w:color w:val="auto"/>
        </w:rPr>
        <w:t>” has the meaning set forth in the Fee Letter.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jc w:val="both"/>
        <w:ind w:right="20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means the Administrative Agent’s address and, as appropriate, account as set forth on Schedule 10.2 or such other address or account as the Administrative Agent may from time to time notify the Borrower and the Lenders.</w:t>
      </w:r>
    </w:p>
    <w:p>
      <w:pPr>
        <w:spacing w:after="0" w:line="1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Person means any other Person which, directly or indirectly, Controls, is Controlled by or is under common Control with such Person.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(and its correlatives) by any Person means (a) the power of such Person, directly or indirectly, (i) to vote 15% or more of the Voting Securities (determined on a fully diluted basis) of another Person or (ii) to direct or cause the direction of the management and policies of such other Person (whether by contract or otherwise), or (b) the ownership by such Person of 15% or more of the Capital Securities of another Person.</w:t>
      </w:r>
    </w:p>
    <w:p>
      <w:pPr>
        <w:sectPr>
          <w:pgSz w:w="11900" w:h="16838" w:orient="portrait"/>
          <w:cols w:equalWidth="0" w:num="1">
            <w:col w:w="11220"/>
          </w:cols>
          <w:pgMar w:left="320" w:top="1422" w:right="35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6.50%.</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Lender at any time, (a) with respect to such Lender’s portion of the outstanding Loans at any time, the percentage of the outstanding principal amount of the Loans held by such Lender at such time and (b) with respect to such Lender’s portion of the outstanding Commitments at any time, the percentage of the Commitment Amount held by such Lender at such time. The initial Applicable Percentage of each Lender is set forth opposite the name of such Lender on </w:t>
      </w:r>
      <w:r>
        <w:rPr>
          <w:rFonts w:ascii="Times New Roman" w:cs="Times New Roman" w:eastAsia="Times New Roman" w:hAnsi="Times New Roman"/>
          <w:sz w:val="22"/>
          <w:szCs w:val="22"/>
          <w:u w:val="single" w:color="auto"/>
          <w:color w:val="auto"/>
        </w:rPr>
        <w:t>Schedule 2.1</w:t>
      </w:r>
      <w:r>
        <w:rPr>
          <w:rFonts w:ascii="Times New Roman" w:cs="Times New Roman" w:eastAsia="Times New Roman" w:hAnsi="Times New Roman"/>
          <w:sz w:val="22"/>
          <w:szCs w:val="22"/>
          <w:color w:val="auto"/>
        </w:rPr>
        <w:t xml:space="preserve"> or in the Assignment and Assumption pursuant to which such Lender becomes a party hereto, as applicable.</w:t>
      </w:r>
    </w:p>
    <w:p>
      <w:pPr>
        <w:spacing w:after="0" w:line="195"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2"/>
          <w:szCs w:val="22"/>
          <w:u w:val="single" w:color="auto"/>
          <w:color w:val="auto"/>
        </w:rPr>
        <w:t>Section 10.10(b)</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10.10(a)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120"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Authorized Officer</w:t>
      </w:r>
      <w:r>
        <w:rPr>
          <w:rFonts w:ascii="Times New Roman" w:cs="Times New Roman" w:eastAsia="Times New Roman" w:hAnsi="Times New Roman"/>
          <w:sz w:val="21"/>
          <w:szCs w:val="21"/>
          <w:color w:val="auto"/>
        </w:rPr>
        <w:t xml:space="preserve">” means, relative to the Borrower or any of the Guarantors, those of its officers, general partners or managing members (as applicable) whose signatures and incumbency shall have been certified to the Administrative Agent and the Lenders pursuant to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or in a duly executed updated incumbency certificate delivered to Administrative Agent.</w:t>
      </w:r>
    </w:p>
    <w:p>
      <w:pPr>
        <w:spacing w:after="0" w:line="155"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any employee benefit plan, as defined in section 3(3) of ERISA, that is either (i) a “multiemployer plan,” as defined in section 3(37) of ERISA, (ii) subject to section 412 of the Code, section 302 of ERISA or Title IV of ERISA,</w:t>
      </w:r>
    </w:p>
    <w:p>
      <w:pPr>
        <w:spacing w:after="0" w:line="2" w:lineRule="exact"/>
        <w:rPr>
          <w:sz w:val="20"/>
          <w:szCs w:val="20"/>
          <w:color w:val="auto"/>
        </w:rPr>
      </w:pPr>
    </w:p>
    <w:p>
      <w:pPr>
        <w:ind w:right="220" w:firstLine="8"/>
        <w:spacing w:after="0" w:line="247" w:lineRule="auto"/>
        <w:tabs>
          <w:tab w:leader="none" w:pos="37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assets that are invested in Capital Securities of the Borrower or any Subsidiaries or any of their respective ERISA Affiliates, (iv) provides welfare benefits to terminated employees, other than to the extent required by section 4980B(f) of the Code and the corresponding provisions of ERISA or similar local law, (v) provides medical insurance, dental insurance, vision insurance, life insurance or long-term disability benefits and is not fully insured by a third-party insurance company, or (vi) provides benefits to employees whose primary place of employment is outside the United States.</w:t>
      </w:r>
    </w:p>
    <w:p>
      <w:pPr>
        <w:spacing w:after="0" w:line="19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Bona Fide Lending Affiliate</w:t>
      </w:r>
      <w:r>
        <w:rPr>
          <w:rFonts w:ascii="Times New Roman" w:cs="Times New Roman" w:eastAsia="Times New Roman" w:hAnsi="Times New Roman"/>
          <w:sz w:val="22"/>
          <w:szCs w:val="22"/>
          <w:color w:val="auto"/>
        </w:rPr>
        <w:t>” means any bona fide debt fund, investment vehicle, regulated banking entity, non-regulated lending entity or other similar entity (in each case, other than a Person that is explicitly excluded pursuant to clause (a) of the definition of “Disqualified Institution”) that is primarily engaged in commercial loans and similar extensions of credit in the ordinary course of business.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1422" w:right="419" w:bottom="1440" w:gutter="0" w:footer="0" w:header="0"/>
        </w:sectPr>
      </w:pPr>
    </w:p>
    <w:bookmarkStart w:id="12" w:name="page13"/>
    <w:bookmarkEnd w:id="12"/>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means information, reports, financial statements and other materials delivered by the Borrower to the Administrative Agent and the Lenders hereunder, as well as other reports and information provided by the Administrative Agent to the Lenders.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Associate</w:t>
      </w:r>
      <w:r>
        <w:rPr>
          <w:rFonts w:ascii="Times New Roman" w:cs="Times New Roman" w:eastAsia="Times New Roman" w:hAnsi="Times New Roman"/>
          <w:sz w:val="22"/>
          <w:szCs w:val="22"/>
          <w:color w:val="auto"/>
        </w:rPr>
        <w:t>” has the same meaning as the term “business associate” in 45 C.F.R. § 160.103.</w:t>
      </w:r>
    </w:p>
    <w:p>
      <w:pPr>
        <w:spacing w:after="0" w:line="220"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which is neither a Saturday or Sunday nor a legal holiday on which banks are authorized or required to be closed in New York, New York.</w:t>
      </w:r>
    </w:p>
    <w:p>
      <w:pPr>
        <w:spacing w:after="0" w:line="158"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Securities</w:t>
      </w:r>
      <w:r>
        <w:rPr>
          <w:rFonts w:ascii="Times New Roman" w:cs="Times New Roman" w:eastAsia="Times New Roman" w:hAnsi="Times New Roman"/>
          <w:sz w:val="22"/>
          <w:szCs w:val="22"/>
          <w:color w:val="auto"/>
        </w:rPr>
        <w:t>” means, with respect to any Person, all shares of, interests or participations in, or other equivalents in respect of (in each case however designated, whether voting or non-voting), of such Person’s capital stock, and any warrants, options or other rights entitling the holder thereof to purchase or acquire any such capital stock, in each case, whether now outstanding or issued on or after the Closing Date. Notwithstanding the foregoing, none of Permitted Convertible Indebtedness, any other convertible Indebtedness permitted by this Agreement or Permitted Call Spread Swap Agreements shall constitute Capital Securities unless and until so converted into Capital Securities.</w:t>
      </w:r>
    </w:p>
    <w:p>
      <w:pPr>
        <w:spacing w:after="0" w:line="181"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Liabilities</w:t>
      </w:r>
      <w:r>
        <w:rPr>
          <w:rFonts w:ascii="Times New Roman" w:cs="Times New Roman" w:eastAsia="Times New Roman" w:hAnsi="Times New Roman"/>
          <w:sz w:val="22"/>
          <w:szCs w:val="22"/>
          <w:color w:val="auto"/>
        </w:rPr>
        <w:t>” means, with respect to any Person, all monetary obligations of such Person and its Subsidiaries under any leasing or similar arrangement which have been (or, in accordance with GAAP, should be) classified as finance leases, and for purposes of each Loan Document the amount of such obligations shall be the capitalized amount thereof, determined in accordance with GAAP, and the stated maturity thereof shall be the date of the last payment of rent or any other amount due under such lease prior to the first date upon which such lease may be terminated by the lessee without payment of a premium or a penalty.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 Investment</w:t>
      </w:r>
      <w:r>
        <w:rPr>
          <w:rFonts w:ascii="Times New Roman" w:cs="Times New Roman" w:eastAsia="Times New Roman" w:hAnsi="Times New Roman"/>
          <w:sz w:val="22"/>
          <w:szCs w:val="22"/>
          <w:color w:val="auto"/>
        </w:rPr>
        <w:t>” means, at any time:</w:t>
      </w:r>
    </w:p>
    <w:p>
      <w:pPr>
        <w:spacing w:after="0" w:line="233" w:lineRule="exact"/>
        <w:rPr>
          <w:sz w:val="20"/>
          <w:szCs w:val="20"/>
          <w:color w:val="auto"/>
        </w:rPr>
      </w:pPr>
    </w:p>
    <w:p>
      <w:pPr>
        <w:ind w:left="660" w:right="80" w:firstLine="644"/>
        <w:spacing w:after="0" w:line="257" w:lineRule="auto"/>
        <w:tabs>
          <w:tab w:leader="none" w:pos="195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obligation of (or unconditionally guaranteed by) the United States (or any agency or political subdivision thereof, to the extent such obligations are supported by the full faith and credit of the United States) maturing not more than one year after such time;</w:t>
      </w:r>
    </w:p>
    <w:p>
      <w:pPr>
        <w:spacing w:after="0" w:line="172" w:lineRule="exact"/>
        <w:rPr>
          <w:rFonts w:ascii="Times New Roman" w:cs="Times New Roman" w:eastAsia="Times New Roman" w:hAnsi="Times New Roman"/>
          <w:sz w:val="22"/>
          <w:szCs w:val="22"/>
          <w:color w:val="auto"/>
        </w:rPr>
      </w:pPr>
    </w:p>
    <w:p>
      <w:pPr>
        <w:ind w:left="660" w:right="40" w:firstLine="644"/>
        <w:spacing w:after="0" w:line="263" w:lineRule="auto"/>
        <w:tabs>
          <w:tab w:leader="none" w:pos="195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maturing not more than one year from the date of issue, which is issued by a corporation (other than an Affiliate of the Borrower or any of its Subsidiaries) organized under the laws of any state of the United States or of the District of Columbia and rated A-1 or higher by S&amp;P or P-1 or higher by Moody’s; or</w:t>
      </w:r>
    </w:p>
    <w:p>
      <w:pPr>
        <w:spacing w:after="0" w:line="167" w:lineRule="exact"/>
        <w:rPr>
          <w:rFonts w:ascii="Times New Roman" w:cs="Times New Roman" w:eastAsia="Times New Roman" w:hAnsi="Times New Roman"/>
          <w:sz w:val="22"/>
          <w:szCs w:val="22"/>
          <w:color w:val="auto"/>
        </w:rPr>
      </w:pPr>
    </w:p>
    <w:p>
      <w:pPr>
        <w:ind w:left="660" w:firstLine="644"/>
        <w:spacing w:after="0" w:line="252" w:lineRule="auto"/>
        <w:tabs>
          <w:tab w:leader="none" w:pos="195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certificate of deposit, demand or time deposit or bankers’ acceptance, maturing not more than 180 days after its date of issuance, which is issued by or placed with any bank or trust company organized under the laws of the United States (or any state thereof) and which has (x) a credit rating of A2 or higher from Moody’s or A or higher from S&amp;P and (y) a combined capital and surplus greater than $500,000,000;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13" w:name="page14"/>
    <w:bookmarkEnd w:id="13"/>
    <w:p>
      <w:pPr>
        <w:ind w:left="660" w:right="140" w:firstLine="644"/>
        <w:spacing w:after="0" w:line="271" w:lineRule="auto"/>
        <w:tabs>
          <w:tab w:leader="none" w:pos="1951"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market mutual funds at least 95% of the assets of which are comprised of securities of the types described in clauses (a) through (c) of this definition;</w:t>
      </w:r>
    </w:p>
    <w:p>
      <w:pPr>
        <w:spacing w:after="0" w:line="157" w:lineRule="exact"/>
        <w:rPr>
          <w:rFonts w:ascii="Times New Roman" w:cs="Times New Roman" w:eastAsia="Times New Roman" w:hAnsi="Times New Roman"/>
          <w:sz w:val="22"/>
          <w:szCs w:val="22"/>
          <w:color w:val="auto"/>
        </w:rPr>
      </w:pPr>
    </w:p>
    <w:p>
      <w:pPr>
        <w:ind w:left="660" w:right="20" w:hanging="4"/>
        <w:spacing w:after="0" w:line="256" w:lineRule="auto"/>
        <w:tabs>
          <w:tab w:leader="none" w:pos="130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other investments of the Borrower and its Subsidiaries existing as of the Closing Date that are consistent with the Borrower’s Investment Policy, as provided to the Administrative Agent prior to the Closing Date, shall constitute Cash Equivalent Investments until each such investment matures on its stated maturity date (or until the earlier repurchase, redemption or other Disposition of each such investment).</w:t>
      </w:r>
    </w:p>
    <w:p>
      <w:pPr>
        <w:spacing w:after="0" w:line="17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means the damage, destruction or condemnation, as the case may be, of property of the Borrower or any of the Subsidiaries.</w:t>
      </w:r>
    </w:p>
    <w:p>
      <w:pPr>
        <w:spacing w:after="0" w:line="171"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and shall be deemed to have occurred if (i) any “person” or “group” (within the meaning of Rule 13d-5 of the Exchange Act), shall own, directly or indirectly, beneficially or of record, determined on a fully diluted basis, more than 35% of the Voting Securities of the Borrower; (ii) a majority of the seats (other than vacant seats) on the board of directors (or equivalent) of the Borrower shall at any time be occupied by persons (x) who were not members of such board of directors (or equivalent) on the first day of such period, (y) whose election or nomination to such board was not approved by individuals referred to in clause (x) above constituting at the time of such election or nomination at least a majority of such board or (z) whose election or nomination to such board was not approved by individuals referred to in clauses (x) and (y) above; or</w:t>
      </w:r>
    </w:p>
    <w:p>
      <w:pPr>
        <w:spacing w:after="0" w:line="2" w:lineRule="exact"/>
        <w:rPr>
          <w:sz w:val="20"/>
          <w:szCs w:val="20"/>
          <w:color w:val="auto"/>
        </w:rPr>
      </w:pPr>
    </w:p>
    <w:p>
      <w:pPr>
        <w:ind w:right="100" w:firstLine="8"/>
        <w:spacing w:after="0" w:line="245"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a result of any transaction permitted under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8.8(m)</w:t>
      </w:r>
      <w:r>
        <w:rPr>
          <w:rFonts w:ascii="Times New Roman" w:cs="Times New Roman" w:eastAsia="Times New Roman" w:hAnsi="Times New Roman"/>
          <w:sz w:val="22"/>
          <w:szCs w:val="22"/>
          <w:color w:val="auto"/>
        </w:rPr>
        <w:t>, the Borrower shall cease to own, directly or indirectly through other wholly-owned Subsidiaries, beneficially and of record, 100% of the issued and outstanding Capital Securities of its Subsidiaries.</w:t>
      </w:r>
    </w:p>
    <w:p>
      <w:pPr>
        <w:spacing w:after="0" w:line="18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0"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CLIA</w:t>
      </w:r>
      <w:r>
        <w:rPr>
          <w:rFonts w:ascii="Times New Roman" w:cs="Times New Roman" w:eastAsia="Times New Roman" w:hAnsi="Times New Roman"/>
          <w:sz w:val="22"/>
          <w:szCs w:val="22"/>
          <w:color w:val="auto"/>
        </w:rPr>
        <w:t xml:space="preserve"> ” means the Clinical Laboratory Improvement Amendments of 1988 (42 U.S.C. § 263a, et. seq.), together with implementing regulations (42 C.F.R. § 493) and interpretative guidelines issued by CMS.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14" w:name="page15"/>
    <w:bookmarkEnd w:id="14"/>
    <w:p>
      <w:pPr>
        <w:ind w:righ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Certificate</w:t>
      </w:r>
      <w:r>
        <w:rPr>
          <w:rFonts w:ascii="Times New Roman" w:cs="Times New Roman" w:eastAsia="Times New Roman" w:hAnsi="Times New Roman"/>
          <w:sz w:val="22"/>
          <w:szCs w:val="22"/>
          <w:color w:val="auto"/>
        </w:rPr>
        <w:t>” means a closing date certificate executed and delivered by an Authorized Officer of the Borrower in form and substance reasonably satisfactory to the Administrative Agent and the Lenders.</w:t>
      </w:r>
    </w:p>
    <w:p>
      <w:pPr>
        <w:spacing w:after="0" w:line="158"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Transactions</w:t>
      </w:r>
      <w:r>
        <w:rPr>
          <w:rFonts w:ascii="Times New Roman" w:cs="Times New Roman" w:eastAsia="Times New Roman" w:hAnsi="Times New Roman"/>
          <w:sz w:val="22"/>
          <w:szCs w:val="22"/>
          <w:color w:val="auto"/>
        </w:rPr>
        <w:t>” means, collectively, (a) the execution and delivery of the Loan Documents on the Closing Date and the funding of the Initial Loans hereunder on the Closing Date, (b) the consummation of the Existing Debt Refinancing and (c) the payment of all fees, premiums, expenses and other transaction costs incurred in connection therewith.</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CMS</w:t>
      </w:r>
      <w:r>
        <w:rPr>
          <w:rFonts w:ascii="Times New Roman" w:cs="Times New Roman" w:eastAsia="Times New Roman" w:hAnsi="Times New Roman"/>
          <w:sz w:val="22"/>
          <w:szCs w:val="22"/>
          <w:color w:val="auto"/>
        </w:rPr>
        <w:t>” means the U.S. Centers for Medicare and Medicaid Services.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set forth in the Security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as to each Lender, such Lender’s obligation (if any) to make Loans hereunder.</w:t>
      </w:r>
    </w:p>
    <w:p>
      <w:pPr>
        <w:spacing w:after="0" w:line="220" w:lineRule="exact"/>
        <w:rPr>
          <w:sz w:val="20"/>
          <w:szCs w:val="20"/>
          <w:color w:val="auto"/>
        </w:rPr>
      </w:pPr>
    </w:p>
    <w:p>
      <w:pPr>
        <w:ind w:right="24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 Amount</w:t>
      </w:r>
      <w:r>
        <w:rPr>
          <w:rFonts w:ascii="Times New Roman" w:cs="Times New Roman" w:eastAsia="Times New Roman" w:hAnsi="Times New Roman"/>
          <w:sz w:val="21"/>
          <w:szCs w:val="21"/>
          <w:color w:val="auto"/>
        </w:rPr>
        <w:t>” means the Initial Commitment Amount plus the Delayed Draw Commitment Amount. The aggregate principal amount of the Commitment Amount of all of the Lenders as in effect on the Closing Date is $200,000,000.</w:t>
      </w:r>
    </w:p>
    <w:p>
      <w:pPr>
        <w:spacing w:after="0" w:line="13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Competitor</w:t>
      </w:r>
      <w:r>
        <w:rPr>
          <w:rFonts w:ascii="Times New Roman" w:cs="Times New Roman" w:eastAsia="Times New Roman" w:hAnsi="Times New Roman"/>
          <w:sz w:val="22"/>
          <w:szCs w:val="22"/>
          <w:color w:val="auto"/>
        </w:rPr>
        <w:t>” means any Person that competes with the business of the Borrower and its Subsidiaries from time to time.</w:t>
      </w:r>
    </w:p>
    <w:p>
      <w:pPr>
        <w:spacing w:after="0" w:line="158"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duly completed and executed by an Authorized Officer of the Borrower,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w:t>
      </w:r>
    </w:p>
    <w:p>
      <w:pPr>
        <w:spacing w:after="0" w:line="144"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Business Information</w:t>
      </w:r>
      <w:r>
        <w:rPr>
          <w:rFonts w:ascii="Times New Roman" w:cs="Times New Roman" w:eastAsia="Times New Roman" w:hAnsi="Times New Roman"/>
          <w:sz w:val="22"/>
          <w:szCs w:val="22"/>
          <w:color w:val="auto"/>
        </w:rPr>
        <w:t>” means, whether patentable or unpatentable and whether or not reduced to practice, confidential business information, including trade secrets, proprietary information, technical data, laboratory notebooks, clinical data, know-how, inventions, manufacturing processes and techniques, financial, marketing and business data, pricing and cost information, business, finance and marketing plans, customer and prospective customer lists and information, and supplier and prospective supplier lists and information, research and development information, data and other information included in or supporting Regulatory Authorizations.</w:t>
      </w:r>
    </w:p>
    <w:p>
      <w:pPr>
        <w:spacing w:after="0" w:line="1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non-public information or material (whether written or oral, or in electronic or other form) that, at any time before, on or after the Closing Date, has been or is provided or communicated to the Receiving Party by or on behalf of the Disclosing Party pursuant to this Agreement or in connection with the transactions contemplated 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means for the Borrower and its Subsidiaries, for any period, an amount equal to 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422" w:right="379" w:bottom="1440" w:gutter="0" w:footer="0" w:header="0"/>
        </w:sectPr>
      </w:pPr>
    </w:p>
    <w:bookmarkStart w:id="15" w:name="page16"/>
    <w:bookmarkEnd w:id="15"/>
    <w:p>
      <w:pPr>
        <w:ind w:left="820" w:hanging="636"/>
        <w:spacing w:after="0"/>
        <w:tabs>
          <w:tab w:leader="none" w:pos="8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net income determined on a consolidated basis in accordance with GAAP for such period; plus</w:t>
      </w:r>
    </w:p>
    <w:p>
      <w:pPr>
        <w:spacing w:after="0" w:line="21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to the extent deducted in determining clause (a) for such period, and without duplication:</w:t>
      </w:r>
    </w:p>
    <w:p>
      <w:pPr>
        <w:spacing w:after="0" w:line="219"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w:t>
      </w:r>
    </w:p>
    <w:p>
      <w:pPr>
        <w:spacing w:after="0" w:line="233" w:lineRule="exact"/>
        <w:rPr>
          <w:rFonts w:ascii="Times New Roman" w:cs="Times New Roman" w:eastAsia="Times New Roman" w:hAnsi="Times New Roman"/>
          <w:sz w:val="22"/>
          <w:szCs w:val="22"/>
          <w:color w:val="auto"/>
        </w:rPr>
      </w:pPr>
    </w:p>
    <w:p>
      <w:pPr>
        <w:ind w:left="180" w:right="620" w:firstLine="652"/>
        <w:spacing w:after="0" w:line="271" w:lineRule="auto"/>
        <w:tabs>
          <w:tab w:leader="none" w:pos="147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for taxes based on income, profits or capital, including state, franchise, excise and similar taxes and foreign withholding taxes paid or accrued;</w:t>
      </w:r>
    </w:p>
    <w:p>
      <w:pPr>
        <w:spacing w:after="0" w:line="157"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and amortization;</w:t>
      </w:r>
    </w:p>
    <w:p>
      <w:pPr>
        <w:spacing w:after="0" w:line="219"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charges relating to stock option awards or other equity compensation;</w:t>
      </w:r>
    </w:p>
    <w:p>
      <w:pPr>
        <w:spacing w:after="0" w:line="219"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extraordinary, unusual or non-recurring (A) non-cash charges, fees, expenses or losses incurred and</w:t>
      </w:r>
    </w:p>
    <w:p>
      <w:pPr>
        <w:spacing w:after="0" w:line="40" w:lineRule="exact"/>
        <w:rPr>
          <w:rFonts w:ascii="Times New Roman" w:cs="Times New Roman" w:eastAsia="Times New Roman" w:hAnsi="Times New Roman"/>
          <w:sz w:val="21"/>
          <w:szCs w:val="21"/>
          <w:color w:val="auto"/>
        </w:rPr>
      </w:pPr>
    </w:p>
    <w:p>
      <w:pPr>
        <w:ind w:left="18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(B) cash charges, fees, expenses or losses incurred, including, in each case, without limitation, any fees and expenses incurred in connection with Permitted Acquisitions, offering or issuance of Capital Securities, Dispositions, Restricted Payments, recapitalization, restructurings, integration of acquisitions, incurrence of Indebtedness (including pursuant to the Loan Documents and any amendments, waivers, consents, supplements, modifications or any refinancings of any Indebtedness), other investments and litigation, in each case, to the extent not prohibited by this Agreement and whether or not such transactions are consummated;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charges, expenses or losses added back pursuant to the foregoing clause (v)(B) may not exceed 15% of Consolidated EBITDA (calculated without giving effect to cost savings addbacks under such clause (v)(B) during any rolling four-quarter period);</w:t>
      </w:r>
    </w:p>
    <w:p>
      <w:pPr>
        <w:spacing w:after="0" w:line="191" w:lineRule="exact"/>
        <w:rPr>
          <w:rFonts w:ascii="Times New Roman" w:cs="Times New Roman" w:eastAsia="Times New Roman" w:hAnsi="Times New Roman"/>
          <w:sz w:val="21"/>
          <w:szCs w:val="21"/>
          <w:color w:val="auto"/>
        </w:rPr>
      </w:pPr>
    </w:p>
    <w:p>
      <w:pPr>
        <w:ind w:left="1460" w:hanging="628"/>
        <w:spacing w:after="0"/>
        <w:tabs>
          <w:tab w:leader="none" w:pos="146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and expenses paid to the Secured Parties under the Loan Documents;</w:t>
      </w:r>
    </w:p>
    <w:p>
      <w:pPr>
        <w:spacing w:after="0" w:line="219"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losses from currency exchange transactions;</w:t>
      </w:r>
    </w:p>
    <w:p>
      <w:pPr>
        <w:spacing w:after="0" w:line="233" w:lineRule="exact"/>
        <w:rPr>
          <w:rFonts w:ascii="Times New Roman" w:cs="Times New Roman" w:eastAsia="Times New Roman" w:hAnsi="Times New Roman"/>
          <w:sz w:val="22"/>
          <w:szCs w:val="22"/>
          <w:color w:val="auto"/>
        </w:rPr>
      </w:pPr>
    </w:p>
    <w:p>
      <w:pPr>
        <w:ind w:left="180" w:right="480" w:firstLine="652"/>
        <w:spacing w:after="0" w:line="271" w:lineRule="auto"/>
        <w:tabs>
          <w:tab w:leader="none" w:pos="147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and expenses incurred in connection with the transaction under this Agreement prior to or within 30 days after the Effective Date;</w:t>
      </w:r>
    </w:p>
    <w:p>
      <w:pPr>
        <w:spacing w:after="0" w:line="157"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charges, fees, expenses or losses incurred in connection with relocations;</w:t>
      </w:r>
    </w:p>
    <w:p>
      <w:pPr>
        <w:spacing w:after="0" w:line="219" w:lineRule="exact"/>
        <w:rPr>
          <w:rFonts w:ascii="Times New Roman" w:cs="Times New Roman" w:eastAsia="Times New Roman" w:hAnsi="Times New Roman"/>
          <w:sz w:val="22"/>
          <w:szCs w:val="22"/>
          <w:color w:val="auto"/>
        </w:rPr>
      </w:pPr>
    </w:p>
    <w:p>
      <w:pPr>
        <w:ind w:left="180" w:right="220" w:firstLine="652"/>
        <w:spacing w:after="0" w:line="263" w:lineRule="auto"/>
        <w:tabs>
          <w:tab w:leader="none" w:pos="1471"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net cost savings, operating expense reductions and cost synergies projected by the Loan Parties in good faith to result from Permitted Acquisitions within 12 months after the consummation of the applicable Permitted Acquisition (which net cost savings, operating expense reductions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20"/>
          </w:cols>
          <w:pgMar w:left="1440" w:top="1422" w:right="339" w:bottom="1440" w:gutter="0" w:footer="0" w:header="0"/>
        </w:sectPr>
      </w:pPr>
    </w:p>
    <w:bookmarkStart w:id="16" w:name="page17"/>
    <w:bookmarkEnd w:id="16"/>
    <w:p>
      <w:pPr>
        <w:ind w:left="640"/>
        <w:spacing w:after="0" w:line="247" w:lineRule="auto"/>
        <w:rPr>
          <w:sz w:val="20"/>
          <w:szCs w:val="20"/>
          <w:color w:val="auto"/>
        </w:rPr>
      </w:pPr>
      <w:r>
        <w:rPr>
          <w:rFonts w:ascii="Times New Roman" w:cs="Times New Roman" w:eastAsia="Times New Roman" w:hAnsi="Times New Roman"/>
          <w:sz w:val="22"/>
          <w:szCs w:val="22"/>
          <w:color w:val="auto"/>
        </w:rPr>
        <w:t xml:space="preserve">cost synergies shall be (A) reasonably identifiable, factually supportable and subject to certification by a financial officer of a Loan Party, (B) attributable to such Permitted Acquisition and (C) calculated on a pro forma basis), net of the amount of actual benefits realized during such period with respect to any such net cost savings, operating expense reductions and cost synergies from the applicable Permitted Acquisitions;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such cost savings, operating expense reductions and cost synergies included in the calculation of Consolidated EBITDA pursuant to this clause (x) may not exceed 10% of Consolidated EBITDA (calculated without giving effect to additions to Consolidated EBITDA under this clause (x)) during any such period, minus, to the extent included in determining total net income, the sum of (1) interest income, (2) income tax credits and refunds (to the extent not netted from tax expense), (3) any cash payments made during such period in respect of items described in clauses (v)(A) or (vi) above subsequent to the fiscal quarter in which the relevant non-cash expenses or losses were incurred, (4) extraordinary, unusual or non-recurring income or gains realized other than in the ordinary course of business and (5) gains from currency exchange transactions, all calculated for the Borrower and the other Loan Parties (except as otherwise expressly set forth herein) in accordance with GAAP on a consolidated basis; and</w:t>
      </w:r>
    </w:p>
    <w:p>
      <w:pPr>
        <w:spacing w:after="0" w:line="203" w:lineRule="exact"/>
        <w:rPr>
          <w:sz w:val="20"/>
          <w:szCs w:val="20"/>
          <w:color w:val="auto"/>
        </w:rPr>
      </w:pPr>
    </w:p>
    <w:p>
      <w:pPr>
        <w:ind w:left="640" w:right="300" w:firstLine="652"/>
        <w:spacing w:after="0" w:line="257" w:lineRule="auto"/>
        <w:tabs>
          <w:tab w:leader="none" w:pos="192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other non-cash charges, expenses and costs approved by the Administrative Agent in its sole discretion and (B) all other charges, expenses and costs approved by the Administrative Agent in its sole discretion;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each case of clauses (i) through (xi) above, for such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for any period, without duplication, the sum of:</w:t>
      </w:r>
    </w:p>
    <w:p>
      <w:pPr>
        <w:spacing w:after="0" w:line="233" w:lineRule="exact"/>
        <w:rPr>
          <w:sz w:val="20"/>
          <w:szCs w:val="20"/>
          <w:color w:val="auto"/>
        </w:rPr>
      </w:pPr>
    </w:p>
    <w:p>
      <w:pPr>
        <w:ind w:right="20" w:firstLine="644"/>
        <w:spacing w:after="0" w:line="262" w:lineRule="auto"/>
        <w:tabs>
          <w:tab w:leader="none" w:pos="129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total interest expense of such Person for such period, whether paid or accrued and whether or not capitalized, (including, without limitation (and without duplication), interest on Indebtedness owed to Affiliates, amortization of debt issuance costs and original issue discount, premiums paid to obtain payment, financial assurance or similar bonds, interest capitalized during construction, non-cash interest payments, the interest component of any deferred payment obligations, the interest component of all payments under Capitalized Lease Liabilities and the implied interest component of Synthetic Lease obligations (regardless of whether accounted for as interest expense under GAAP), all commissions, discounts and other fees and charges owed with respect to letters of credit and bankers’ acceptances and net costs in respect of any Hedging Obligations requiring payments contingent upon interest rates of such Person); plus</w:t>
      </w:r>
    </w:p>
    <w:p>
      <w:pPr>
        <w:spacing w:after="0" w:line="172" w:lineRule="exact"/>
        <w:rPr>
          <w:rFonts w:ascii="Times New Roman" w:cs="Times New Roman" w:eastAsia="Times New Roman" w:hAnsi="Times New Roman"/>
          <w:sz w:val="21"/>
          <w:szCs w:val="21"/>
          <w:color w:val="auto"/>
        </w:rPr>
      </w:pPr>
    </w:p>
    <w:p>
      <w:pPr>
        <w:jc w:val="both"/>
        <w:ind w:right="20" w:firstLine="644"/>
        <w:spacing w:after="0" w:line="256" w:lineRule="auto"/>
        <w:tabs>
          <w:tab w:leader="none" w:pos="129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dividends paid or payable on preferred Disqualified Capital Securities of such Person during such period other than to such Person or the Borrower or a Guarantor, less (in the case of gains) or plus (in the cases of losses), as applicable, to the extent they would otherwise be included in interest expense under GAAP, unrealized gains and losses arising from derivative financial instruments issued by such Person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980" w:top="1422" w:right="35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2"/>
          <w:szCs w:val="22"/>
          <w:color w:val="auto"/>
        </w:rPr>
        <w:t>the benefit of such Person or its Subsidiaries, in each case determined on a consolidated basis for such period.</w:t>
      </w:r>
    </w:p>
    <w:p>
      <w:pPr>
        <w:spacing w:after="0" w:line="220" w:lineRule="exact"/>
        <w:rPr>
          <w:sz w:val="20"/>
          <w:szCs w:val="20"/>
          <w:color w:val="auto"/>
        </w:rPr>
      </w:pPr>
    </w:p>
    <w:p>
      <w:pPr>
        <w:ind w:right="560" w:firstLine="648"/>
        <w:spacing w:after="0" w:line="295" w:lineRule="auto"/>
        <w:rPr>
          <w:sz w:val="20"/>
          <w:szCs w:val="20"/>
          <w:color w:val="auto"/>
        </w:rPr>
      </w:pPr>
      <w:r>
        <w:rPr>
          <w:rFonts w:ascii="Times New Roman" w:cs="Times New Roman" w:eastAsia="Times New Roman" w:hAnsi="Times New Roman"/>
          <w:sz w:val="21"/>
          <w:szCs w:val="21"/>
          <w:color w:val="auto"/>
        </w:rPr>
        <w:t>For purposes of this definition, Capitalized Lease Liabilities shall be deemed to accrue at an interest rate reasonably determined by such Person to be the rate of interest implicit in the applicable finance lease in accordance with GAAP.</w:t>
      </w:r>
    </w:p>
    <w:p>
      <w:pPr>
        <w:spacing w:after="0" w:line="149"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Liability</w:t>
      </w:r>
      <w:r>
        <w:rPr>
          <w:rFonts w:ascii="Times New Roman" w:cs="Times New Roman" w:eastAsia="Times New Roman" w:hAnsi="Times New Roman"/>
          <w:sz w:val="22"/>
          <w:szCs w:val="22"/>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Capital Securities of any other Person. The amount of any Person’s obligation under any Contingent Liability shall (subject to any limitation set forth therein) be deemed to be the outstanding amount of the debt, obligation or other liability guaranteed thereby, unless pursuant to the terms of the instrument embodying such Contingent Liability, the amount of such Contingent Liability shall be limited under such instrument, in which case the amount of such Contingent Liability shall be equal to the maximum amount as permitted by such instrument.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is defined within the definition of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 Security Agreement</w:t>
      </w:r>
      <w:r>
        <w:rPr>
          <w:rFonts w:ascii="Times New Roman" w:cs="Times New Roman" w:eastAsia="Times New Roman" w:hAnsi="Times New Roman"/>
          <w:sz w:val="22"/>
          <w:szCs w:val="22"/>
          <w:color w:val="auto"/>
        </w:rPr>
        <w:t>” means any Copyright Security Agreement executed and delivered to the Administrative Agent by the Borrower or any of the Guarantors in substantially the form of Exhibit C to the Security Agreement, as amended, supplemented, amended and restated or otherwise modified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Copyrights</w:t>
      </w:r>
      <w:r>
        <w:rPr>
          <w:rFonts w:ascii="Times New Roman" w:cs="Times New Roman" w:eastAsia="Times New Roman" w:hAnsi="Times New Roman"/>
          <w:sz w:val="21"/>
          <w:szCs w:val="21"/>
          <w:color w:val="auto"/>
        </w:rPr>
        <w:t>” means all registered and unregistered copyrights, whether statutory or common law, along with any and all</w:t>
      </w:r>
    </w:p>
    <w:p>
      <w:pPr>
        <w:spacing w:after="0" w:line="39" w:lineRule="exact"/>
        <w:rPr>
          <w:sz w:val="20"/>
          <w:szCs w:val="20"/>
          <w:color w:val="auto"/>
        </w:rPr>
      </w:pPr>
    </w:p>
    <w:p>
      <w:pPr>
        <w:ind w:firstLine="8"/>
        <w:spacing w:after="0" w:line="249"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renewals, revisions, extensions, derivative works, enhancements, modifications, updates and new releases thereof, (ii) rights in works of authorship, including all rights of authorship of any type and in all forms of media, use, publication, reproduction, distribution, performance, preparation of derivative works, transformation, moral and economic rights of authors, design rights and registered designs and (iii) foreign copyrights and any other rights corresponding thereto throughout the world.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has the same meaning as the term “covered entity” in 45 C.F.R. §160.103.</w:t>
      </w:r>
    </w:p>
    <w:p>
      <w:pPr>
        <w:spacing w:after="0" w:line="220"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Processors</w:t>
      </w:r>
      <w:r>
        <w:rPr>
          <w:rFonts w:ascii="Times New Roman" w:cs="Times New Roman" w:eastAsia="Times New Roman" w:hAnsi="Times New Roman"/>
          <w:sz w:val="22"/>
          <w:szCs w:val="22"/>
          <w:color w:val="auto"/>
        </w:rPr>
        <w:t>” means any Third Party service providers, software developers, outsourcers, or others to which the Borrower or any of the Subsidiaries engage and allow access to Personal Data or IT Assets (including, for clarity, all information and transactions stored or contained therein or transmitted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22" w:right="359" w:bottom="1440" w:gutter="0" w:footer="0" w:header="0"/>
        </w:sectPr>
      </w:pPr>
    </w:p>
    <w:bookmarkStart w:id="18" w:name="page19"/>
    <w:bookmarkEnd w:id="18"/>
    <w:p>
      <w:pPr>
        <w:ind w:right="5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of Default or any condition, occurrence or event which, after notice or lapse of time or both, would constitute an Event of Default.</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4.7(b)</w:t>
      </w:r>
      <w:r>
        <w:rPr>
          <w:rFonts w:ascii="Times New Roman" w:cs="Times New Roman" w:eastAsia="Times New Roman" w:hAnsi="Times New Roman"/>
          <w:sz w:val="22"/>
          <w:szCs w:val="22"/>
          <w:color w:val="auto"/>
        </w:rPr>
        <w:t xml:space="preserve">, any Lender that (i) has refused or failed to (a) fund all or any portion of its Loans, which refusal or failure is not cured within one Business Day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waived, or (b) pay to the Administrative Agent or any other Lender any other amount required to be paid by it hereunder within one Business Day of the date when due, (ii)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(iii) has failed to confirm in a manner reasonably satisfactory to the Administrative Agent that it will comply with its funding obligations under this Agreement, or (iv) has, or has a direct or indirect parent company that has, (a) become the subject of a proceeding under any Debtor Relief Law, or (b)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 Lender shall not be a Defaulting Lender solely by virtue of the ownership or acquisition of any equity interest in such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clauses (i) through (iv) above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4.7(b)</w:t>
      </w:r>
      <w:r>
        <w:rPr>
          <w:rFonts w:ascii="Times New Roman" w:cs="Times New Roman" w:eastAsia="Times New Roman" w:hAnsi="Times New Roman"/>
          <w:sz w:val="22"/>
          <w:szCs w:val="22"/>
          <w:color w:val="auto"/>
        </w:rPr>
        <w:t>) upon delivery of written notice of such determination to the Borrower and each Lender.</w:t>
      </w:r>
    </w:p>
    <w:p>
      <w:pPr>
        <w:spacing w:after="0" w:line="203"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Closing Date</w:t>
      </w:r>
      <w:r>
        <w:rPr>
          <w:rFonts w:ascii="Times New Roman" w:cs="Times New Roman" w:eastAsia="Times New Roman" w:hAnsi="Times New Roman"/>
          <w:sz w:val="22"/>
          <w:szCs w:val="22"/>
          <w:color w:val="auto"/>
        </w:rPr>
        <w:t>” means each (or any) of the First Delayed Draw Closing Date and the Second Delayed Draw Closing Date.</w:t>
      </w:r>
    </w:p>
    <w:p>
      <w:pPr>
        <w:spacing w:after="0" w:line="144"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Commitment Amount</w:t>
      </w:r>
      <w:r>
        <w:rPr>
          <w:rFonts w:ascii="Times New Roman" w:cs="Times New Roman" w:eastAsia="Times New Roman" w:hAnsi="Times New Roman"/>
          <w:sz w:val="22"/>
          <w:szCs w:val="22"/>
          <w:color w:val="auto"/>
        </w:rPr>
        <w:t xml:space="preserve">” as to each Lender, means its obligation to make Delayed Draw Loans to the Borrower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in the principal amount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22" w:right="339" w:bottom="1440" w:gutter="0" w:footer="0" w:header="0"/>
        </w:sectPr>
      </w:pPr>
    </w:p>
    <w:bookmarkStart w:id="19" w:name="page20"/>
    <w:bookmarkEnd w:id="19"/>
    <w:p>
      <w:pPr>
        <w:ind w:right="80"/>
        <w:spacing w:after="0" w:line="250" w:lineRule="auto"/>
        <w:rPr>
          <w:sz w:val="20"/>
          <w:szCs w:val="20"/>
          <w:color w:val="auto"/>
        </w:rPr>
      </w:pPr>
      <w:r>
        <w:rPr>
          <w:rFonts w:ascii="Times New Roman" w:cs="Times New Roman" w:eastAsia="Times New Roman" w:hAnsi="Times New Roman"/>
          <w:sz w:val="22"/>
          <w:szCs w:val="22"/>
          <w:color w:val="auto"/>
        </w:rPr>
        <w:t xml:space="preserve">such Lender’s Applicable Percentage of Delayed Draw Loans requested by the Borrower in the Loan Request delivered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The aggregate principal amount of the Delayed Draw Commitment Amount of all of the Lenders as in effect on the Closing Date is $75,000,000;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upon the making of the Delayed Draw Loans on the First Delayed Draw Closing Date, the Delayed Draw Commitment Amount shall be reduced by the aggregate principal amount of Delayed Draw Loans made on such date and (ii) on and subject to the occurrence of the Second Delayed Draw Closing Date, the Delayed Draw Commitment Amount shall be reduced to $0;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Delayed Draw Commitment Amount shall be reduced to $0 pursuant to and in accordance with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Commitment Termination Date</w:t>
      </w:r>
      <w:r>
        <w:rPr>
          <w:rFonts w:ascii="Times New Roman" w:cs="Times New Roman" w:eastAsia="Times New Roman" w:hAnsi="Times New Roman"/>
          <w:sz w:val="22"/>
          <w:szCs w:val="22"/>
          <w:color w:val="auto"/>
        </w:rPr>
        <w:t xml:space="preserve">” means the earliest to occur of (i) the Second Delayed Draw Closing Date or, if the Delayed Draw Commitment Amount is equal to $0 after the First Delayed Draw Closing Date, the First Delayed Draw Closing Date (in either case, immediately after the making of the Delayed Draw Loans on such date), (ii) the Delayed Draw Unavailability Date, (iii) the date upon which the Delayed Draw Commitment Amount is terminated or otherwise reduced to $0 pursuant to and in accordance with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 xml:space="preserve"> and (iv) the Closing Date, if the Initial Loan shall not have been made hereunder on or prior to such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Unavailability Date</w:t>
      </w:r>
      <w:r>
        <w:rPr>
          <w:rFonts w:ascii="Times New Roman" w:cs="Times New Roman" w:eastAsia="Times New Roman" w:hAnsi="Times New Roman"/>
          <w:sz w:val="22"/>
          <w:szCs w:val="22"/>
          <w:color w:val="auto"/>
        </w:rPr>
        <w:t>” means June 30, 2027.</w:t>
      </w:r>
    </w:p>
    <w:p>
      <w:pPr>
        <w:spacing w:after="0" w:line="220"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means, at any time, a country or territory that is itself the target of comprehensive Sanctions (as of the Closing Date, Cuba, Iran, North Korea, Syria, the Crimea region of Ukraine, the so-called Donetsk People’s Republic, and the so-called Luhansk People’s Republic).</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means the Party disclosing Confidential Information.</w:t>
      </w:r>
    </w:p>
    <w:p>
      <w:pPr>
        <w:spacing w:after="0" w:line="233"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similar words such as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any sale, transfer, lease, license, contribution or other conveyance (including by way of merger) of, or the granting of options, warrants or other rights to, any of such Person’s assets (including accounts receivable and Capital Securities) to any other Person (other than to the Borrower or any of its Subsidiaries) in a single transaction or series of transactions. For the avoidance of doubt, the issuance of any Capital Securities by the Borrower (or by a Subsidiary to the Borrower or another Wholly Owned Subsidiary of the Borrower) shall not constitute a “Disposition” for purposes of this Agreement.</w:t>
      </w:r>
    </w:p>
    <w:p>
      <w:pPr>
        <w:spacing w:after="0" w:line="181"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Capital Securities</w:t>
      </w:r>
      <w:r>
        <w:rPr>
          <w:rFonts w:ascii="Times New Roman" w:cs="Times New Roman" w:eastAsia="Times New Roman" w:hAnsi="Times New Roman"/>
          <w:sz w:val="21"/>
          <w:szCs w:val="21"/>
          <w:color w:val="auto"/>
        </w:rPr>
        <w:t>” means any Capital Securities that, by their terms (or by the terms of any security or other Capital Securities into which they are convertible or for which they are exchangeable) or upon the happening of any event or condition, (a) mature or are mandatorily redeemable (other than solely for Qualified Capital Securities), pursuant to a sinking fund obligation or otherwise (except as a result of a Change in Control or asset sale so long as any rights of the holders thereof upon the occurrence of a Change in Control or asset sale event shall be subject to the prior repayment in full of the Loans and all other Obligations that are accrued and payable and the termination of the Commitment), (b) are redeemable at the option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22" w:right="339" w:bottom="1440" w:gutter="0" w:footer="0" w:header="0"/>
        </w:sectPr>
      </w:pPr>
    </w:p>
    <w:bookmarkStart w:id="20" w:name="page21"/>
    <w:bookmarkEnd w:id="20"/>
    <w:p>
      <w:pPr>
        <w:ind w:right="40"/>
        <w:spacing w:after="0" w:line="250" w:lineRule="auto"/>
        <w:rPr>
          <w:sz w:val="20"/>
          <w:szCs w:val="20"/>
          <w:color w:val="auto"/>
        </w:rPr>
      </w:pPr>
      <w:r>
        <w:rPr>
          <w:rFonts w:ascii="Times New Roman" w:cs="Times New Roman" w:eastAsia="Times New Roman" w:hAnsi="Times New Roman"/>
          <w:sz w:val="22"/>
          <w:szCs w:val="22"/>
          <w:color w:val="auto"/>
        </w:rPr>
        <w:t xml:space="preserve">the holder thereof (other than solely for Qualified Capital Securities) (except as a result of a Change in Control or asset sale so long as any rights of the holders thereof upon the occurrence of a Change in Control or asset sale event shall be subject to the prior repayment in full of the Loans and all other Obligations that are accrued and payable and the termination of the Commitment), in whole or in part, (c) provide for the scheduled payment of dividends in cash or (d) are or become convertible into or exchangeable for Indebtedness or any other Capital Securities that would constitute Disqualified Capital Securities, in each case, prior to the date that is 91 days after the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Capital Securities are issued pursuant to a plan for the benefit of employees of the Borrower or any of its Subsidiaries, or by any such plan to such employees, such Capital Securities shall not constitute Disqualified Capital Securities solely because they may be required to be repurchased by the Borrower or its Subsidiaries in order to satisfy applicable statutory or regulatory obligations.</w:t>
      </w:r>
    </w:p>
    <w:p>
      <w:pPr>
        <w:spacing w:after="0" w:line="18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Institution</w:t>
      </w:r>
      <w:r>
        <w:rPr>
          <w:rFonts w:ascii="Times New Roman" w:cs="Times New Roman" w:eastAsia="Times New Roman" w:hAnsi="Times New Roman"/>
          <w:sz w:val="22"/>
          <w:szCs w:val="22"/>
          <w:color w:val="auto"/>
        </w:rPr>
        <w:t>” means, on any date, (a) any Company Competitor identified on the list delivered to the Administrative Agent by the Borrower prior to the Closing Date, (b) any Company Competitor that is designated by the Borrower as a Disqualified Institution by prior notice to the Administrative Agent after the Closing Date and approved by the Required Lenders (such approval not to be unreasonably withheld or delayed) in their sole discretion acting reasonably (such designation will become effective three Business Days after approval by the Required Lenders and will not apply retroactively to disqualify the transfer of, or agreement to transfer, an interest in the Commitments or Loans, as applicable, that was effective prior to the effective date of such supplement), and (c) any Disqualified Institution’s known Affiliates or Affiliates identified in writing to the Administrative Agent from time to time or otherwise readily identifiable as such by name. Notwithstanding the foregoing, in no event will a Bona Fide Lending Affiliate be a Disqualified Institution, unless such Bona Fide Lending Affiliate is explicitly identified under clause (a) of the definition of “Disqualified Institution” above.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except to the extent resulting from the Administrative Agent’s own gross negligence or willful misconduct as determined by a final non-appealable judgment by a court of competent jurisdiction.</w:t>
      </w:r>
    </w:p>
    <w:p>
      <w:pPr>
        <w:spacing w:after="0" w:line="19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Division/Series Transaction</w:t>
      </w:r>
      <w:r>
        <w:rPr>
          <w:rFonts w:ascii="Times New Roman" w:cs="Times New Roman" w:eastAsia="Times New Roman" w:hAnsi="Times New Roman"/>
          <w:sz w:val="22"/>
          <w:szCs w:val="22"/>
          <w:color w:val="auto"/>
        </w:rPr>
        <w:t>” means, with respect to any Person that is a limited liability company organized under the Laws of the State of Delaware, that any such Person (a) divides into two or more Persons (whether or not the original Person survives such division) or (b) creates, or reorganizes into, one or more series, in each case, as contemplated under the Laws of the State of Delaware.</w:t>
      </w:r>
    </w:p>
    <w:p>
      <w:pPr>
        <w:spacing w:after="0" w:line="1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any Person that meets the requirements to be an assignee under </w:t>
      </w:r>
      <w:r>
        <w:rPr>
          <w:rFonts w:ascii="Times New Roman" w:cs="Times New Roman" w:eastAsia="Times New Roman" w:hAnsi="Times New Roman"/>
          <w:sz w:val="22"/>
          <w:szCs w:val="22"/>
          <w:u w:val="single" w:color="auto"/>
          <w:color w:val="auto"/>
        </w:rPr>
        <w:t>Section 10.10(b)(iii)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(subject to such consents, if any, as may be required under </w:t>
      </w:r>
      <w:r>
        <w:rPr>
          <w:rFonts w:ascii="Times New Roman" w:cs="Times New Roman" w:eastAsia="Times New Roman" w:hAnsi="Times New Roman"/>
          <w:sz w:val="22"/>
          <w:szCs w:val="22"/>
          <w:u w:val="single" w:color="auto"/>
          <w:color w:val="auto"/>
        </w:rPr>
        <w:t>Section 10.10(b)(iii)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Defaulting Lender or Disqualified Institution shall be an Eligible Assignee (but only to the extent no Event of Default has occurred and is continuing at the time of such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2"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EMA</w:t>
      </w:r>
      <w:r>
        <w:rPr>
          <w:rFonts w:ascii="Times New Roman" w:cs="Times New Roman" w:eastAsia="Times New Roman" w:hAnsi="Times New Roman"/>
          <w:sz w:val="22"/>
          <w:szCs w:val="22"/>
          <w:color w:val="auto"/>
        </w:rPr>
        <w:t>” means the European Medicines Agency or any successor entity.</w:t>
      </w:r>
    </w:p>
    <w:p>
      <w:pPr>
        <w:spacing w:after="0" w:line="220"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Laws relating to the protection of the environment or natural resources, Hazardous Materials or, with respect to exposure to Hazardous Materials, health and safety matters.</w:t>
      </w:r>
    </w:p>
    <w:p>
      <w:pPr>
        <w:spacing w:after="0" w:line="17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loss, claim, suit, action, investigation, proceeding, damage, commitment or obligation, contingent or otherwise (including any liability for damages, costs of environmental remediation, fines, penalties or indemnities), of or affecting the Borrower or any Subsidiary arising from, in connection with or based upon (i) any Environmental Law or Environmental Permit, (ii) the generation, use, handling, transportation, storage, treatment, recycling, presence, disposal, Release or threatened Release of, or exposure to, any Hazardous Materials, or (iii) any contract, agreement, penalty, order, decree, settlement, injunction or other arrangement (including operation of law) pursuant to which liability is assumed, entered into, inherited or imposed with respect to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as applied to any Person, (i) any corporation that is a member of a controlled group of corporations within the meaning of section 414(b) of the Code of which that Person is a member, (ii) any trade or business (whether or not incorporated) that is a member of a group of trades or businesses under common control within the meaning of section 414(c) of the Code of which that Person is a member, or (iii) any member of an affiliated service group within the meaning of section 414(m) or 414(o) of the Code of which that Person, any corporation described in clause (i) above or any trade or business described in clause (ii) above is a member.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11.10(a)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has the meaning set forth in the Security Agreement.</w:t>
      </w:r>
    </w:p>
    <w:p>
      <w:pPr>
        <w:spacing w:after="0" w:line="220"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means (A) any Subsidiary that: (i) does not hold right, title or interest in any material Intellectual Property, (ii) does not hold or maintain any material Regulatory Authorization, whether now in effect or hereafter issued by any Regulatory Agency, including any Key Permits received from the FDA, (iii) is not party to any Material Agreement, other than ordinary course contracts or agreements (including leases of or licenses to use real property) that are not material to the business of the Borrower and the Guarantors (taken as a whole), (iv) does not, individually or together with all Excluded Subsidiaries, have cash 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22" w:right="379" w:bottom="1440" w:gutter="0" w:footer="0" w:header="0"/>
        </w:sectPr>
      </w:pPr>
    </w:p>
    <w:bookmarkStart w:id="22" w:name="page23"/>
    <w:bookmarkEnd w:id="22"/>
    <w:p>
      <w:pPr>
        <w:ind w:right="40"/>
        <w:spacing w:after="0" w:line="247" w:lineRule="auto"/>
        <w:rPr>
          <w:sz w:val="20"/>
          <w:szCs w:val="20"/>
          <w:color w:val="auto"/>
        </w:rPr>
      </w:pPr>
      <w:r>
        <w:rPr>
          <w:rFonts w:ascii="Times New Roman" w:cs="Times New Roman" w:eastAsia="Times New Roman" w:hAnsi="Times New Roman"/>
          <w:sz w:val="22"/>
          <w:szCs w:val="22"/>
          <w:color w:val="auto"/>
        </w:rPr>
        <w:t xml:space="preserve">Equivalent Investments exceeding $8,000,000 in the aggregate at any time from the Closing Date up to and including March 31, 2026 (or such later date as the Administrative Agent may agree in its discretion), and $5,000,000 thereafter, (v) as of the last day of the most recent Fiscal Quarter for which financial statements have been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if prior to the date of the delivery of the first financial statements to be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the most recent financial statements referred to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for the period of four consecutive Fiscal Quarters then ended, individually contributed less than 5.0% of Revenue for such period and, together with all other Excluded Subsidiaries, contributed less than 7.5% of Revenue for such period, and (vi) as of the last day of the most recent Fiscal Quarter for which financial statements have been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if prior to the date of the delivery of the first financial statements to be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the most recent financial statements referred to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for the period of four consecutive Fiscal Quarters then ended, individually contributed less than 5.0% of the consolidated total assets of the Borrower and its Subsidiaries for such period, and together with all other Excluded Subsidiaries, contributed less than 7.5% of the consolidated total assets of the Borrower and its Subsidiaries for such period, (B) any Foreign Subsidiary if the Borrower in good faith after consulting with its tax or other relevant advisors and subject to the Lenders’ consent (not to be unreasonably withheld, conditioned or delayed) determines that the burden or cost (including any adverse tax consequences to the Borrower or any of its Subsidiaries, which are not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of providing a guarantee by such Foreign Subsidiary will outweigh the benefits to be obtained by the Lenders therefrom, including by taking into account the overall collateral package under the Loan Documents and the amount of the Loans or (C) any newly acquired non-Wholly Owned Subsidiary that is prohibited by its Organic Documents or contractual obligations in existence at the time of acquisition (but not entered into in contemplation thereof) for so long as such prohibition or contractual obligation remains in effect from guaranteeing or granting Liens to secure the Obligations.</w:t>
      </w:r>
    </w:p>
    <w:p>
      <w:pPr>
        <w:spacing w:after="0" w:line="193"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any of the following Taxes imposed on or with respect to a recipient or required to be withheld or deducted from a payment to a recipient, (a) Taxes imposed on or measured by net income, franchise Taxes, and branch profits Taxes, in each case, (i) imposed as a result of such recipient being organized under the laws of or, in the case of any Lender, having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 4.3(e)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any withholding Taxes imposed under FATCA.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Debt Refinancing</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Exit Fee</w:t>
      </w:r>
      <w:r>
        <w:rPr>
          <w:rFonts w:ascii="Times New Roman" w:cs="Times New Roman" w:eastAsia="Times New Roman" w:hAnsi="Times New Roman"/>
          <w:sz w:val="22"/>
          <w:szCs w:val="22"/>
          <w:color w:val="auto"/>
        </w:rPr>
        <w:t>” has the meaning set forth in the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22" w:right="339" w:bottom="1440" w:gutter="0" w:footer="0" w:header="0"/>
        </w:sectPr>
      </w:pPr>
    </w:p>
    <w:bookmarkStart w:id="23" w:name="page24"/>
    <w:bookmarkEnd w:id="23"/>
    <w:p>
      <w:pPr>
        <w:ind w:right="18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9"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FD&amp;C Act</w:t>
      </w:r>
      <w:r>
        <w:rPr>
          <w:rFonts w:ascii="Times New Roman" w:cs="Times New Roman" w:eastAsia="Times New Roman" w:hAnsi="Times New Roman"/>
          <w:sz w:val="22"/>
          <w:szCs w:val="22"/>
          <w:color w:val="auto"/>
        </w:rPr>
        <w:t>” means the U.S. Federal Food, Drug, and Cosmetic Act (or any successor thereto), as amended from time to time, and the rules, regulations, compliance requirements issued or promulgated thereunder.</w:t>
      </w:r>
    </w:p>
    <w:p>
      <w:pPr>
        <w:spacing w:after="0" w:line="158" w:lineRule="exact"/>
        <w:rPr>
          <w:sz w:val="20"/>
          <w:szCs w:val="20"/>
          <w:color w:val="auto"/>
        </w:rPr>
      </w:pPr>
    </w:p>
    <w:p>
      <w:pPr>
        <w:ind w:right="360"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means the U.S. Food and Drug Administration, any comparable state or local Governmental Authority, and comparable Governmental Authority in any non-United States jurisdiction and any successor agency of any of the foregoing.</w:t>
      </w:r>
    </w:p>
    <w:p>
      <w:pPr>
        <w:spacing w:after="0" w:line="12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day is not a Business Day, the Federal Funds Rate for such day shall be such rate on such transactions on the next preceding Business Day as so published on the next succeeding Business Day.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Fee Letter</w:t>
      </w:r>
      <w:r>
        <w:rPr>
          <w:rFonts w:ascii="Times New Roman" w:cs="Times New Roman" w:eastAsia="Times New Roman" w:hAnsi="Times New Roman"/>
          <w:sz w:val="21"/>
          <w:szCs w:val="21"/>
          <w:color w:val="auto"/>
        </w:rPr>
        <w:t>” means the Fee Letter, dated as of the Closing Date, among the Borrower, the Lenders and the Administrative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Delayed Draw Closing Date</w:t>
      </w:r>
      <w:r>
        <w:rPr>
          <w:rFonts w:ascii="Times New Roman" w:cs="Times New Roman" w:eastAsia="Times New Roman" w:hAnsi="Times New Roman"/>
          <w:sz w:val="22"/>
          <w:szCs w:val="22"/>
          <w:color w:val="auto"/>
        </w:rPr>
        <w:t>” means the first date upon which any Delayed Draw Loans are made hereunder, which shall (i) consist of Delayed Draw Loans in a minimum aggregate principal amount of at least $25,000,000 and (ii) occur no later than the Delayed Draw Unavailability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a quarter ending on the last day of March, June, September or December.</w:t>
      </w:r>
    </w:p>
    <w:p>
      <w:pPr>
        <w:spacing w:after="0" w:line="220"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any period of twelve consecutive calendar months ending on December 31; references to a Fiscal Year with a number corresponding to any calendar year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the “2024 Fiscal Year”) refer to the Fiscal Year ending on December 31 of such calendar year.</w:t>
      </w:r>
    </w:p>
    <w:p>
      <w:pPr>
        <w:spacing w:after="0" w:line="173" w:lineRule="exact"/>
        <w:rPr>
          <w:sz w:val="20"/>
          <w:szCs w:val="20"/>
          <w:color w:val="auto"/>
        </w:rPr>
      </w:pPr>
    </w:p>
    <w:p>
      <w:pPr>
        <w:ind w:right="66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Fixture Locations</w:t>
      </w:r>
      <w:r>
        <w:rPr>
          <w:rFonts w:ascii="Times New Roman" w:cs="Times New Roman" w:eastAsia="Times New Roman" w:hAnsi="Times New Roman"/>
          <w:sz w:val="22"/>
          <w:szCs w:val="22"/>
          <w:color w:val="auto"/>
        </w:rPr>
        <w:t>” means each owned or leased location of any Loan Party on or after the Closing Date in which Collateral in excess of $1,000,000 is located.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Lender that is organized under the laws of a jurisdiction outside of the United States.</w:t>
      </w:r>
    </w:p>
    <w:p>
      <w:pPr>
        <w:spacing w:after="0" w:line="220"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 Subsidiary of the Borrower that is not organized under the laws of the United States, any state thereof,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80"/>
          </w:cols>
          <w:pgMar w:left="320" w:top="1422" w:right="39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F.R.S. Board</w:t>
      </w:r>
      <w:r>
        <w:rPr>
          <w:rFonts w:ascii="Times New Roman" w:cs="Times New Roman" w:eastAsia="Times New Roman" w:hAnsi="Times New Roman"/>
          <w:sz w:val="22"/>
          <w:szCs w:val="22"/>
          <w:color w:val="auto"/>
        </w:rPr>
        <w:t>” means the Board of Governors of the Federal Reserve System or any successor thereto.</w:t>
      </w:r>
    </w:p>
    <w:p>
      <w:pPr>
        <w:spacing w:after="0" w:line="220"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Funded Indebtedness</w:t>
      </w:r>
      <w:r>
        <w:rPr>
          <w:rFonts w:ascii="Times New Roman" w:cs="Times New Roman" w:eastAsia="Times New Roman" w:hAnsi="Times New Roman"/>
          <w:sz w:val="22"/>
          <w:szCs w:val="22"/>
          <w:color w:val="auto"/>
        </w:rPr>
        <w:t xml:space="preserve">” means, as of any date of measurement, all Indebtedness of Borrower and its Subsidiaries as of the date of measurement (other than Indebtedness of the type described in clauses (d) and (f) of the definition of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outstanding commitments in respect of any Permitted Revolving Credit Facility Indebtedness shall be deemed to be fully drawn for purposes of calculating Funded Indebtedness.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w:t>
      </w:r>
    </w:p>
    <w:p>
      <w:pPr>
        <w:spacing w:after="0" w:line="233" w:lineRule="exact"/>
        <w:rPr>
          <w:sz w:val="20"/>
          <w:szCs w:val="20"/>
          <w:color w:val="auto"/>
        </w:rPr>
      </w:pPr>
    </w:p>
    <w:p>
      <w:pPr>
        <w:jc w:val="both"/>
        <w:ind w:right="30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GCP</w:t>
      </w:r>
      <w:r>
        <w:rPr>
          <w:rFonts w:ascii="Times New Roman" w:cs="Times New Roman" w:eastAsia="Times New Roman" w:hAnsi="Times New Roman"/>
          <w:sz w:val="22"/>
          <w:szCs w:val="22"/>
          <w:color w:val="auto"/>
        </w:rPr>
        <w:t>” means the Good Clinical Practices that establish the national and international ethical, regulatory and scientific quality standards for designing, conducting, recording and reporting clinical trials that are enforced by the FDA (including 21 CFR Parts 50, 54, 56 and 312) and by comparable foreign Governmental Authorities.</w:t>
      </w:r>
    </w:p>
    <w:p>
      <w:pPr>
        <w:spacing w:after="0" w:line="173" w:lineRule="exact"/>
        <w:rPr>
          <w:sz w:val="20"/>
          <w:szCs w:val="20"/>
          <w:color w:val="auto"/>
        </w:rPr>
      </w:pPr>
    </w:p>
    <w:p>
      <w:pPr>
        <w:ind w:right="5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GLP</w:t>
      </w:r>
      <w:r>
        <w:rPr>
          <w:rFonts w:ascii="Times New Roman" w:cs="Times New Roman" w:eastAsia="Times New Roman" w:hAnsi="Times New Roman"/>
          <w:sz w:val="22"/>
          <w:szCs w:val="22"/>
          <w:color w:val="auto"/>
        </w:rPr>
        <w:t>” means the Good Clinical Laboratory Practices and regulatory requirements for or concerning the conduct of nonclinical research that are enforced by the FDA (including 21 CFR Part 58) and by comparable foreign Governmental Authorities.</w:t>
      </w:r>
    </w:p>
    <w:p>
      <w:pPr>
        <w:spacing w:after="0" w:line="18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national, supranational, federal, state, county, provincial, local, municipal or other government or political subdivision thereof (including any Regulatory Agency), whether domestic or foreign, and any agency, authority, commission, ministry, instrumentality, regulatory body, court, tribunal, arbitrator, central bank or other Person exercising executive, legislative, judicial, taxing, regulatory or administrative powers or functions of or pertaining to any such government.</w:t>
      </w:r>
    </w:p>
    <w:p>
      <w:pPr>
        <w:spacing w:after="0" w:line="19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Payor</w:t>
      </w:r>
      <w:r>
        <w:rPr>
          <w:rFonts w:ascii="Times New Roman" w:cs="Times New Roman" w:eastAsia="Times New Roman" w:hAnsi="Times New Roman"/>
          <w:sz w:val="22"/>
          <w:szCs w:val="22"/>
          <w:color w:val="auto"/>
        </w:rPr>
        <w:t>” means Medicare, Medicaid, TRICARE, CHAMPVA, any state health plan adopted pursuant to Title XIX or Title XXI of the Social Security Act any other state or federal health care program and any other Governmental Authority which presently or in the future maintains a third party payor program, as well as any fiscal intermediary, contractor or similar claims processing and payment agent acting on behalf of the foregoing programs.</w:t>
      </w:r>
    </w:p>
    <w:p>
      <w:pPr>
        <w:spacing w:after="0" w:line="179"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xml:space="preserve">” means the guarantee executed and delivered by an Authorized Officer of each Guarantor,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as amended, supplemented, amended and restated or otherwise modified from time to time.</w:t>
      </w:r>
    </w:p>
    <w:p>
      <w:pPr>
        <w:spacing w:after="0" w:line="144"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xml:space="preserve">” means each existing and each subsequently acquired or organized Subsidiary (other than any Excluded Subsidiary) that shall have executed the Guarantee pursuant to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320" w:top="1422" w:right="379" w:bottom="1440" w:gutter="0" w:footer="0" w:header="0"/>
        </w:sectPr>
      </w:pPr>
    </w:p>
    <w:bookmarkStart w:id="25" w:name="page26"/>
    <w:bookmarkEnd w:id="25"/>
    <w:p>
      <w:pPr>
        <w:ind w:right="18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any pollutant, contaminant, hazardous substance, hazardous waste, medical waste, special waste, toxic substance, or toxic chemical, including petroleum or petroleum products, byproducts or distillates, asbestos or asbestos-containing materials, urea formaldehyde, polychlorinated biphenyls, radon gas, ozone-depleting substances, and all other substances or wastes of any nature regulated pursuant to any Environmental Law or as to which any Governmental Authority requires investigation, reporting or remedial action under any Environmental Law.</w:t>
      </w:r>
    </w:p>
    <w:p>
      <w:pPr>
        <w:spacing w:after="0" w:line="179"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Hedging Obligations</w:t>
      </w:r>
      <w:r>
        <w:rPr>
          <w:rFonts w:ascii="Times New Roman" w:cs="Times New Roman" w:eastAsia="Times New Roman" w:hAnsi="Times New Roman"/>
          <w:sz w:val="21"/>
          <w:szCs w:val="21"/>
          <w:color w:val="auto"/>
        </w:rPr>
        <w:t>” means, with respect to any Person, all liabilities of such Person under currency exchange agreements, interest rate swap agreements, interest rate cap agreements and interest rate collar agreements, and all other agreements or arrangements designed to protect such Person against fluctuations in interest rates or currency exchange rates.</w:t>
      </w:r>
    </w:p>
    <w:p>
      <w:pPr>
        <w:spacing w:after="0" w:line="169" w:lineRule="exact"/>
        <w:rPr>
          <w:sz w:val="20"/>
          <w:szCs w:val="20"/>
          <w:color w:val="auto"/>
        </w:rPr>
      </w:pPr>
    </w:p>
    <w:p>
      <w:pPr>
        <w:ind w:right="8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herein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hereof</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hereto</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hereunder</w:t>
      </w:r>
      <w:r>
        <w:rPr>
          <w:rFonts w:ascii="Times New Roman" w:cs="Times New Roman" w:eastAsia="Times New Roman" w:hAnsi="Times New Roman"/>
          <w:sz w:val="22"/>
          <w:szCs w:val="22"/>
          <w:color w:val="auto"/>
        </w:rPr>
        <w:t>” and similar terms contained in any Loan Document refer to such Loan Document as a whole and not to any particular Section, paragraph or provision of such Loan Document.</w:t>
      </w:r>
    </w:p>
    <w:p>
      <w:pPr>
        <w:spacing w:after="0" w:line="15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HIPAA</w:t>
      </w:r>
      <w:r>
        <w:rPr>
          <w:rFonts w:ascii="Times New Roman" w:cs="Times New Roman" w:eastAsia="Times New Roman" w:hAnsi="Times New Roman"/>
          <w:sz w:val="22"/>
          <w:szCs w:val="22"/>
          <w:color w:val="auto"/>
        </w:rPr>
        <w:t xml:space="preserve"> ” means, collectively, the Health Insurance Portability and Accountability Act of 1996, Public Law 104-191, as amended by the Health Information Technology for Economic and Clinical Health Act, enacted as Title XIII of the American Recovery and Reinvestment Act of 2009, Public Law 111-5, and their implementing regulations, including but not limited to, the Standards for Privacy of Individually Identifiable Health Information at 45 C.F.R. Parts 160 and 164, Subparts A and E, the Security Standards for the Protection of Electronic Protected Health Information at 45 C.F.R. Parts 160 and 164, Subparts A and C, and the Notification of Breach of Unsecured Protected Health Information requirements at 45 C.F.R. Part 160 and 164, Subparts A and D.</w:t>
      </w:r>
    </w:p>
    <w:p>
      <w:pPr>
        <w:spacing w:after="0" w:line="180"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Impermissible Qualification</w:t>
      </w:r>
      <w:r>
        <w:rPr>
          <w:rFonts w:ascii="Times New Roman" w:cs="Times New Roman" w:eastAsia="Times New Roman" w:hAnsi="Times New Roman"/>
          <w:sz w:val="21"/>
          <w:szCs w:val="21"/>
          <w:color w:val="auto"/>
        </w:rPr>
        <w:t>” means any qualification or exception to the opinion or certification of any independent public accountant as to any financial statement of the Borrower or any Subsidiary (i) which is of a “going concern” or similar nature other than any such qualification that is related solely to the occurrence of the Maturity Date as a result of the Loans maturing during such Fiscal Year, (ii) which relates to the limited scope of examination of matters relevant to such financial statement or (iii) which relates to the treatment or classification of any item in such financial statement and which, as a condition to its removal, would require an adjustment to such item the effect of which would be to cause the Borrower to be in Default.</w:t>
      </w:r>
    </w:p>
    <w:p>
      <w:pPr>
        <w:spacing w:after="0" w:line="16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include</w:t>
      </w:r>
      <w:r>
        <w:rPr>
          <w:rFonts w:ascii="Times New Roman" w:cs="Times New Roman" w:eastAsia="Times New Roman" w:hAnsi="Times New Roman"/>
          <w:sz w:val="22"/>
          <w:szCs w:val="22"/>
          <w:color w:val="auto"/>
        </w:rPr>
        <w:t>” means including without limiting the generality of any description preceding such term, and, for purposes of each Loan Document, the parties hereto agree that the rule of ejusdem generis shall not be applicable to limit a general statement, which is followed by or referable to an enumeration of specific matters, to matters similar to the matters specifically mentioned.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means:</w:t>
      </w:r>
    </w:p>
    <w:p>
      <w:pPr>
        <w:spacing w:after="0" w:line="220" w:lineRule="exact"/>
        <w:rPr>
          <w:sz w:val="20"/>
          <w:szCs w:val="20"/>
          <w:color w:val="auto"/>
        </w:rPr>
      </w:pPr>
    </w:p>
    <w:p>
      <w:pPr>
        <w:ind w:left="660" w:right="780" w:firstLine="644"/>
        <w:spacing w:after="0" w:line="271" w:lineRule="auto"/>
        <w:tabs>
          <w:tab w:leader="none" w:pos="195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or advances and all obligations of such Person evidenced by bonds, debentures, notes or similar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1422" w:right="419" w:bottom="1440" w:gutter="0" w:footer="0" w:header="0"/>
        </w:sectPr>
      </w:pPr>
    </w:p>
    <w:bookmarkStart w:id="26" w:name="page27"/>
    <w:bookmarkEnd w:id="26"/>
    <w:p>
      <w:pPr>
        <w:ind w:left="660" w:right="260" w:firstLine="644"/>
        <w:spacing w:after="0" w:line="271" w:lineRule="auto"/>
        <w:tabs>
          <w:tab w:leader="none" w:pos="195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contingent or otherwise, relative to the face amount of all letters of credit, whether or not drawn, and banker’s acceptances issued for the account of such Person;</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Lease Liabilities of such Person and all obligations of such Person arising under Synthetic</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w:t>
      </w:r>
    </w:p>
    <w:p>
      <w:pPr>
        <w:spacing w:after="0" w:line="207" w:lineRule="exact"/>
        <w:rPr>
          <w:rFonts w:ascii="Times New Roman" w:cs="Times New Roman" w:eastAsia="Times New Roman" w:hAnsi="Times New Roman"/>
          <w:sz w:val="22"/>
          <w:szCs w:val="22"/>
          <w:color w:val="auto"/>
        </w:rPr>
      </w:pPr>
    </w:p>
    <w:p>
      <w:pPr>
        <w:ind w:left="660" w:right="160" w:firstLine="644"/>
        <w:spacing w:after="0" w:line="271" w:lineRule="auto"/>
        <w:tabs>
          <w:tab w:leader="none" w:pos="195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Hedging Obligations of such Person to the extent such obligations would appear as a net liability on a balance sheet of such Person (other than in the footnotes) prepared in accordance with GAAP;</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in respect of Disqualified Capital Securities;</w:t>
      </w:r>
    </w:p>
    <w:p>
      <w:pPr>
        <w:spacing w:after="0" w:line="219" w:lineRule="exact"/>
        <w:rPr>
          <w:rFonts w:ascii="Times New Roman" w:cs="Times New Roman" w:eastAsia="Times New Roman" w:hAnsi="Times New Roman"/>
          <w:sz w:val="22"/>
          <w:szCs w:val="22"/>
          <w:color w:val="auto"/>
        </w:rPr>
      </w:pPr>
    </w:p>
    <w:p>
      <w:pPr>
        <w:ind w:left="660" w:firstLine="644"/>
        <w:spacing w:after="0" w:line="248" w:lineRule="auto"/>
        <w:tabs>
          <w:tab w:leader="none" w:pos="195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so included as liabilities in accordance with GAAP, all obligations of such Person to pay the deferred purchase price of property or services, including any earn-outs or other deferred payment obligations in connection with an acquisition (excluding (i) any purchase price adjustment, royalty, earn-out, or contingent payment of a similar nature incurred in connection with an acquisition that are paid within 30 days after the conditions to such payment (other than any conditions that are simply the passage of time or the giving of notice) are met, and (ii) trade accounts payable in the ordinary course of business which are not overdue for a period of more than 90 days or, if overdue for more than 90 days, as to which a dispute exists and adequate reserves in conformity with GAAP have been established on the books of such Person), and indebtedness secured by (or for which the holder of such indebtedness has an existing right, contingent or otherwise, to be secured by) a Lien on property owned or being acquired by such Person (including indebtedness arising under conditional sales or other title retention agreements), whether or not such indebtedness shall have been assumed by such Person or is limited in recourse; and</w:t>
      </w:r>
    </w:p>
    <w:p>
      <w:pPr>
        <w:spacing w:after="0" w:line="18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Contingent Liabilities of such Person in respect of any of the foregoing.</w:t>
      </w:r>
    </w:p>
    <w:p>
      <w:pPr>
        <w:spacing w:after="0" w:line="233"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22"/>
          <w:szCs w:val="22"/>
          <w:color w:val="auto"/>
        </w:rPr>
        <w:t>The Indebtedness of any Person shall include the Indebtedness of any other Person (including any partnership in which such Person is a general partner) to the extent such Person is liable therefor as a result of such Person’s ownership interest in or other relationship with such Person, except to the extent the terms of such Indebtedness provide that such Person is not liable therefor.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422" w:right="359" w:bottom="1440" w:gutter="0" w:footer="0" w:header="0"/>
        </w:sectPr>
      </w:pPr>
    </w:p>
    <w:bookmarkStart w:id="27" w:name="page28"/>
    <w:bookmarkEnd w:id="27"/>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Infringement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Infringes</w:t>
      </w:r>
      <w:r>
        <w:rPr>
          <w:rFonts w:ascii="Times New Roman" w:cs="Times New Roman" w:eastAsia="Times New Roman" w:hAnsi="Times New Roman"/>
          <w:sz w:val="22"/>
          <w:szCs w:val="22"/>
          <w:color w:val="auto"/>
        </w:rPr>
        <w:t>” mean the infringement, misappropriation or other violation of know-how, trade secrets, confidential information, or Intellectual Property.</w:t>
      </w:r>
    </w:p>
    <w:p>
      <w:pPr>
        <w:spacing w:after="0" w:line="15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Commitment Amount</w:t>
      </w:r>
      <w:r>
        <w:rPr>
          <w:rFonts w:ascii="Times New Roman" w:cs="Times New Roman" w:eastAsia="Times New Roman" w:hAnsi="Times New Roman"/>
          <w:sz w:val="22"/>
          <w:szCs w:val="22"/>
          <w:color w:val="auto"/>
        </w:rPr>
        <w:t xml:space="preserve">” means the obligation of the Initial Lender to make Initial Loans to the Borrower on the Closing Date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in the principal amount equal to such Lender’s Applicable Percentage of Initial Loans. The aggregate principal amount of the Initial Commitment Amount of all of the Lenders as in effect on the Closing Date is $125,000,000.</w:t>
      </w:r>
    </w:p>
    <w:p>
      <w:pPr>
        <w:spacing w:after="0" w:line="176"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Commitment Termination Date</w:t>
      </w:r>
      <w:r>
        <w:rPr>
          <w:rFonts w:ascii="Times New Roman" w:cs="Times New Roman" w:eastAsia="Times New Roman" w:hAnsi="Times New Roman"/>
          <w:sz w:val="22"/>
          <w:szCs w:val="22"/>
          <w:color w:val="auto"/>
        </w:rPr>
        <w:t>” means the Closing Date (immediately after the making of the Initial Loans on such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Lender</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9.1(h)(iv)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all intellectual property and other proprietary rights of any kind or nature, in any jurisdiction in the world, whether registered or unregistered and whether registrable or not, protected, created or arising under any law, including any and all rights in: (i) Patents; (ii) Trademarks; (iii) Copyrights; (iv) computer software, databases, data, compilations of data, and documentation; (v) Confidential Business Information; (vi) other intellectual property; (vii) any and all improvements, developments, refinements, additions or subtractions to any of the foregoing which is owned or assigned to the Borrower, its Subsidiaries or their agents and; (viii) rights to sue for past, present and future infringements of any of the foregoing.</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 initially, the period beginning on (and including) the date on which the Initial Loan is made hereunder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ending on (and including) the last day of the month in which the Initial Loan was made, and (b) thereafter, the period beginning on (and including) the first day of each succeeding month and ending on (and including) the earlier of (x) the last day of such month and (y) the Maturity Date.</w:t>
      </w:r>
    </w:p>
    <w:p>
      <w:pPr>
        <w:spacing w:after="0" w:line="176"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relative to any Person, (i) any loan, advance or extension of credit made by such Person to any other Person, including the purchase by such Person of any bonds, notes, debentures or other debt securities of any other Person, (ii) Contingent Liabilities in favor of any other Person, and (iii) any Capital Securities held by such Person in any other Person. The amount of any Investment shall be the original principal or capital amount thereof less all returns of principal or equity thereon and shall, if made by the transfer or exchange of property other than cash, be deemed to have been made in an original principal or capital amount equal to the fair market value of such property at the time of such Investment.</w:t>
      </w:r>
    </w:p>
    <w:p>
      <w:pPr>
        <w:spacing w:after="0" w:line="181"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 Assets</w:t>
      </w:r>
      <w:r>
        <w:rPr>
          <w:rFonts w:ascii="Times New Roman" w:cs="Times New Roman" w:eastAsia="Times New Roman" w:hAnsi="Times New Roman"/>
          <w:sz w:val="22"/>
          <w:szCs w:val="22"/>
          <w:color w:val="auto"/>
        </w:rPr>
        <w:t>” means the computers and other information technology infrastructure and assets used by the Borrower or any of the Subsidiaries in the conduct of their business as currently operated.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22" w:right="339" w:bottom="1440" w:gutter="0" w:footer="0" w:header="0"/>
        </w:sectPr>
      </w:pPr>
    </w:p>
    <w:bookmarkStart w:id="28" w:name="page29"/>
    <w:bookmarkEnd w:id="28"/>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IVD</w:t>
      </w:r>
      <w:r>
        <w:rPr>
          <w:rFonts w:ascii="Times New Roman" w:cs="Times New Roman" w:eastAsia="Times New Roman" w:hAnsi="Times New Roman"/>
          <w:sz w:val="22"/>
          <w:szCs w:val="22"/>
          <w:color w:val="auto"/>
        </w:rPr>
        <w:t>” means an in vitro diagnostic test subject to FDA regulation as a medical device pursuant to Section 201(h) and 21 C.F.R. Part 809.</w:t>
      </w:r>
    </w:p>
    <w:p>
      <w:pPr>
        <w:spacing w:after="0" w:line="158" w:lineRule="exact"/>
        <w:rPr>
          <w:sz w:val="20"/>
          <w:szCs w:val="20"/>
          <w:color w:val="auto"/>
        </w:rPr>
      </w:pPr>
    </w:p>
    <w:p>
      <w:pPr>
        <w:ind w:right="12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Permits</w:t>
      </w:r>
      <w:r>
        <w:rPr>
          <w:rFonts w:ascii="Times New Roman" w:cs="Times New Roman" w:eastAsia="Times New Roman" w:hAnsi="Times New Roman"/>
          <w:sz w:val="22"/>
          <w:szCs w:val="22"/>
          <w:color w:val="auto"/>
        </w:rPr>
        <w:t>” means all Permits relating to, and material to, the Products, including all material Regulatory Authorizations.</w:t>
      </w:r>
    </w:p>
    <w:p>
      <w:pPr>
        <w:spacing w:after="0" w:line="144"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of the Borrower means the actual and real knowledge after reasonable inquiry of any executive officer or senior vice president of the Borrower or any Subsidiary.</w:t>
      </w:r>
    </w:p>
    <w:p>
      <w:pPr>
        <w:spacing w:after="0" w:line="158"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all applicable U.S. federal, state, local or foreign laws, statutes, ordinances, rules, regulations, judgments, orders, injunctions, decrees, arbitration awards issued by any Governmental Authority, including Privacy Laws.</w:t>
      </w:r>
    </w:p>
    <w:p>
      <w:pPr>
        <w:spacing w:after="0" w:line="171" w:lineRule="exact"/>
        <w:rPr>
          <w:sz w:val="20"/>
          <w:szCs w:val="20"/>
          <w:color w:val="auto"/>
        </w:rPr>
      </w:pPr>
    </w:p>
    <w:p>
      <w:pPr>
        <w:ind w:righ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LDT</w:t>
      </w:r>
      <w:r>
        <w:rPr>
          <w:rFonts w:ascii="Times New Roman" w:cs="Times New Roman" w:eastAsia="Times New Roman" w:hAnsi="Times New Roman"/>
          <w:sz w:val="22"/>
          <w:szCs w:val="22"/>
          <w:color w:val="auto"/>
        </w:rPr>
        <w:t>” means a laboratory developed test that is designed, developed, validated and performed by a single clinical laboratory authorized to perform high complexity testing under CLIA.</w:t>
      </w:r>
    </w:p>
    <w:p>
      <w:pPr>
        <w:spacing w:after="0" w:line="158"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means each Person identified as a “Lender” on the signature pages hereto and its successors and permitted assigns.</w:t>
      </w:r>
    </w:p>
    <w:p>
      <w:pPr>
        <w:spacing w:after="0" w:line="158"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Intellectual Property</w:t>
      </w:r>
      <w:r>
        <w:rPr>
          <w:rFonts w:ascii="Times New Roman" w:cs="Times New Roman" w:eastAsia="Times New Roman" w:hAnsi="Times New Roman"/>
          <w:sz w:val="22"/>
          <w:szCs w:val="22"/>
          <w:color w:val="auto"/>
        </w:rPr>
        <w:t>” means all Intellectual Property that is not Owned Intellectual Property, which is licensed to, or otherwise used or held for use by, the Borrower or any Subsidiary.</w:t>
      </w:r>
    </w:p>
    <w:p>
      <w:pPr>
        <w:spacing w:after="0" w:line="17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security interest, mortgage, pledge, hypothecation, assignment, deposit arrangement, encumbrance, lien (statutory or otherwise), charge against or interest in property, or other priority or preferential arrangement in the nature of a security interest to secure payment of a debt or performance of an obligation.</w:t>
      </w:r>
    </w:p>
    <w:p>
      <w:pPr>
        <w:spacing w:after="0" w:line="173"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xml:space="preserve">” means, collectively, this Agreement, the Notes, the Security Agreement, the Fee Letter, each other agreement pursuant to which the Secured Parties are granted a Lien in the Collateral to secure the Obligations (including any mortgages entered into pursuant to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the Guarantee and each other agreement, certificate, document or instrument executed and delivered to or in favor of Administrative Agent or any Lender in connection with any Loan Document, whether or not specifically mentioned herein or therein. For the avoidance of doubt, the Organic Documents shall not constitute “Loan Documents”.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means, collectively, the Borrower and the Guarantors.</w:t>
      </w:r>
    </w:p>
    <w:p>
      <w:pPr>
        <w:spacing w:after="0" w:line="233" w:lineRule="exact"/>
        <w:rPr>
          <w:sz w:val="20"/>
          <w:szCs w:val="20"/>
          <w:color w:val="auto"/>
        </w:rPr>
      </w:pPr>
    </w:p>
    <w:p>
      <w:pPr>
        <w:ind w:right="10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Request</w:t>
      </w:r>
      <w:r>
        <w:rPr>
          <w:rFonts w:ascii="Times New Roman" w:cs="Times New Roman" w:eastAsia="Times New Roman" w:hAnsi="Times New Roman"/>
          <w:sz w:val="22"/>
          <w:szCs w:val="22"/>
          <w:color w:val="auto"/>
        </w:rPr>
        <w:t xml:space="preserve">” means a Loan request and certificate duly executed by an Authorized Officer of the Borrower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Initial Loan and the Delayed Draw Loans.</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(i) the business, financial condition, operations, performance, properties of the Borrower and the Subsidiaries taken as a whole, (ii) the rights and remedies of the Secured Parties under any Loan Document or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22"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ability of the Borrower and the Guarantors to perform their Obligations under any Loan Document.</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Agreements</w:t>
      </w:r>
      <w:r>
        <w:rPr>
          <w:rFonts w:ascii="Times New Roman" w:cs="Times New Roman" w:eastAsia="Times New Roman" w:hAnsi="Times New Roman"/>
          <w:sz w:val="22"/>
          <w:szCs w:val="22"/>
          <w:color w:val="auto"/>
        </w:rPr>
        <w:t>” means (i) each contract or agreement to which the Borrower or any Subsidiary is a party involving aggregate payments in the immediately preceding calendar year of more than $20,000,000, whether such payments are being made by the Borrower or any Subsidiary to a non-Affiliated Person, or by a non-Affiliated Person to the Borrower or any Subsidiary, and (ii) all other contracts or agreements the termination of which could reasonably be expected to result in a Material Adverse Effect.</w:t>
      </w:r>
    </w:p>
    <w:p>
      <w:pPr>
        <w:spacing w:after="0" w:line="179"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Product Agreement</w:t>
      </w:r>
      <w:r>
        <w:rPr>
          <w:rFonts w:ascii="Times New Roman" w:cs="Times New Roman" w:eastAsia="Times New Roman" w:hAnsi="Times New Roman"/>
          <w:sz w:val="21"/>
          <w:szCs w:val="21"/>
          <w:color w:val="auto"/>
        </w:rPr>
        <w:t>” means each agreement, license, document, instrument, interest (equity or otherwise) or the like (i) which is a Material Agreement, and (ii) under which one or more parties grants or receives any right, title or interest with respect to any Product Development and Commercialization Activities in respect of one or more Products specified therein or to exclude third parties from engaging in, or otherwise restricting any right, title or interest as to any Product Development and Commercialization Activities with respect thereto, including each contract or agreement with suppliers, manufacturers, distributors, hospitals, group purchasing organizations, wholesalers or any other Person related to any such entity.</w:t>
      </w:r>
    </w:p>
    <w:p>
      <w:pPr>
        <w:spacing w:after="0" w:line="169"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Real Property</w:t>
      </w:r>
      <w:r>
        <w:rPr>
          <w:rFonts w:ascii="Times New Roman" w:cs="Times New Roman" w:eastAsia="Times New Roman" w:hAnsi="Times New Roman"/>
          <w:sz w:val="22"/>
          <w:szCs w:val="22"/>
          <w:color w:val="auto"/>
        </w:rPr>
        <w:t>” means any individual real property in the United States that is owned in fee by any Loan Party with a fair market value (as reasonably determined by the Borrower) in excess of $5,000,000.</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July 31, 2030.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KPI Report</w:t>
      </w:r>
      <w:r>
        <w:rPr>
          <w:rFonts w:ascii="Times New Roman" w:cs="Times New Roman" w:eastAsia="Times New Roman" w:hAnsi="Times New Roman"/>
          <w:sz w:val="22"/>
          <w:szCs w:val="22"/>
          <w:color w:val="auto"/>
        </w:rPr>
        <w:t xml:space="preserve">” means a report duly completed by the Borrower substantially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20"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Asset Sales Proceeds</w:t>
      </w:r>
      <w:r>
        <w:rPr>
          <w:rFonts w:ascii="Times New Roman" w:cs="Times New Roman" w:eastAsia="Times New Roman" w:hAnsi="Times New Roman"/>
          <w:sz w:val="22"/>
          <w:szCs w:val="22"/>
          <w:color w:val="auto"/>
        </w:rPr>
        <w:t xml:space="preserve">” means, with respect to a Disposition (other than (i) Dispositions permitted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8.8(b)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8.8(e)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8.8(i)</w:t>
      </w:r>
      <w:r>
        <w:rPr>
          <w:rFonts w:ascii="Times New Roman" w:cs="Times New Roman" w:eastAsia="Times New Roman" w:hAnsi="Times New Roman"/>
          <w:sz w:val="22"/>
          <w:szCs w:val="22"/>
          <w:color w:val="auto"/>
        </w:rPr>
        <w:t xml:space="preserve"> and (ii) the Specified Transaction) after the Closing Date by the Borrower or any Subsidiary to any Person of any assets of the Borrower or any Subsidiary, the excess of gross cash proceeds received by the Borrower or any Subsidiary from such Disposition in excess of $2,000,000, in each case individually or in the aggregate in any Fiscal Year (in each case net of all reasonable and customary costs and expenses, and including Taxes payable by the recipient of such proceeds, incurred in connection with such Disposition which have not been paid to Affiliates of the Borrower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so long as (i) the Borrower has delivered Administrative Agent prior written notice of its intention to apply such monies (the “</w:t>
      </w:r>
      <w:r>
        <w:rPr>
          <w:rFonts w:ascii="Times New Roman" w:cs="Times New Roman" w:eastAsia="Times New Roman" w:hAnsi="Times New Roman"/>
          <w:sz w:val="22"/>
          <w:szCs w:val="22"/>
          <w:u w:val="single" w:color="auto"/>
          <w:color w:val="auto"/>
        </w:rPr>
        <w:t>Reinvestment Amounts</w:t>
      </w:r>
      <w:r>
        <w:rPr>
          <w:rFonts w:ascii="Times New Roman" w:cs="Times New Roman" w:eastAsia="Times New Roman" w:hAnsi="Times New Roman"/>
          <w:sz w:val="22"/>
          <w:szCs w:val="22"/>
          <w:color w:val="auto"/>
        </w:rPr>
        <w:t>”) to the costs of purchase of other assets used or useful in the business of the Borrower and its Subsidiaries (but which shall not include current assets (other than inventory in the ordinary course of business)) and (ii) the Borrower or any Subsidiary completes such purchase within 180 days (or, in the case of a binding commitment in respect of the application of such Reinvestment Amounts within such 180 days, 360 days) after the initial receipt of such monies, the Borrower or any Subsidiary shall have the option to apply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22" w:right="33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22"/>
          <w:szCs w:val="22"/>
          <w:color w:val="auto"/>
        </w:rPr>
        <w:t xml:space="preserve">monies to the costs of purchase of other assets used or useful in the business of the Borrower or such Subsidiary (but which shall not include current assets (other than inventory in the ordinary course of business)), unless and to the extent that such applicable period shall have expired without such purchase being made or completed, in which case, any amounts remaining shall be paid to Administrative Agent and applied in accordance with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Casualty Proceeds</w:t>
      </w:r>
      <w:r>
        <w:rPr>
          <w:rFonts w:ascii="Times New Roman" w:cs="Times New Roman" w:eastAsia="Times New Roman" w:hAnsi="Times New Roman"/>
          <w:sz w:val="21"/>
          <w:szCs w:val="21"/>
          <w:color w:val="auto"/>
        </w:rPr>
        <w:t xml:space="preserve">” means, with respect to any Casualty Event, the amount of any insurance proceeds or condemnation awards received by the Borrower or any of the Subsidiaries in connection with such Casualty Event, other than proceeds that are used to repair or replace the assets subject to such Casualty Event within 180 days of receipt of such proceeds with respect to such Casualty Event with like or similar assets (or, in the case of a binding commitment in respect of the application of such amounts within such 180 days, 360 days), in excess of $1,000,000 individually or in the aggregate in any Fiscal Year (in each case net of all reasonable and customary collection expenses thereof), but excluding any proceeds or awards required to be paid to a creditor (other than to the Administrative Agent or the Lenders) which holds a first priority Lien permitted by </w:t>
      </w:r>
      <w:r>
        <w:rPr>
          <w:rFonts w:ascii="Times New Roman" w:cs="Times New Roman" w:eastAsia="Times New Roman" w:hAnsi="Times New Roman"/>
          <w:sz w:val="21"/>
          <w:szCs w:val="21"/>
          <w:u w:val="single" w:color="auto"/>
          <w:color w:val="auto"/>
        </w:rPr>
        <w:t>Section 8.3(e)</w:t>
      </w:r>
      <w:r>
        <w:rPr>
          <w:rFonts w:ascii="Times New Roman" w:cs="Times New Roman" w:eastAsia="Times New Roman" w:hAnsi="Times New Roman"/>
          <w:sz w:val="21"/>
          <w:szCs w:val="21"/>
          <w:color w:val="auto"/>
        </w:rPr>
        <w:t xml:space="preserve"> on the property which is the subject of such Casualty Event (it being understood and agreed that the Borrower or such Subsidiary may retain such insurance proceeds or condemnation awards pending such reinvestment).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each Lender that is not a Defaulting Lender at such time.</w:t>
      </w:r>
    </w:p>
    <w:p>
      <w:pPr>
        <w:spacing w:after="0" w:line="233"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xml:space="preserve">” means a promissory note of the Borrower payable to a Lender,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(as such promissory note may be amended, endorsed or otherwise modified from time to time), evidencing the aggregate Indebtedness of the Borrower to such Lender resulting from the outstanding amount of the Loans, and also means all other promissory notes accepted from time to time in substitution therefor or renewal thereof.</w:t>
      </w:r>
    </w:p>
    <w:p>
      <w:pPr>
        <w:spacing w:after="0" w:line="1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means all obligations (monetary or otherwise, whether absolute or contingent, matured or unmatured) of the Borrower and each Guarantor arising under or in connection with a Loan Document and the principal of and premium, if any, and interest (including interest accruing during the pendency of any proceeding of the type described in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 whether or not allowed in such proceeding) on the Loans.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2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Organic Document</w:t>
      </w:r>
      <w:r>
        <w:rPr>
          <w:rFonts w:ascii="Times New Roman" w:cs="Times New Roman" w:eastAsia="Times New Roman" w:hAnsi="Times New Roman"/>
          <w:sz w:val="22"/>
          <w:szCs w:val="22"/>
          <w:color w:val="auto"/>
        </w:rPr>
        <w:t>” means, relative to the Borrower or any Subsidiary, its certificate of incorporation, by-laws, certificate of partnership, partnership agreement, certificate of formation, limited liability agreement, operating agreement and all shareholder agreements, voting trusts and similar arrangements applicable to the Borrower’s or any Subsidiary’s Capital Securities.</w:t>
      </w:r>
    </w:p>
    <w:p>
      <w:pPr>
        <w:spacing w:after="0" w:line="17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Administrative Proceeding</w:t>
      </w:r>
      <w:r>
        <w:rPr>
          <w:rFonts w:ascii="Times New Roman" w:cs="Times New Roman" w:eastAsia="Times New Roman" w:hAnsi="Times New Roman"/>
          <w:sz w:val="22"/>
          <w:szCs w:val="22"/>
          <w:color w:val="auto"/>
        </w:rPr>
        <w:t>” means any administrative proceeding relating to a dispute involving a patent office, trademark office, copyright office or other relevant intellectual property registry which relates to validity, opposition, revocation, ownership or enforceability of the relevant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22" w:right="379" w:bottom="1440" w:gutter="0" w:footer="0" w:header="0"/>
        </w:sectPr>
      </w:pPr>
    </w:p>
    <w:bookmarkStart w:id="31" w:name="page32"/>
    <w:bookmarkEnd w:id="31"/>
    <w:p>
      <w:pPr>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of any payment hereunder,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stamp, court or documentary, intangible, recording, filing or similar Taxes that arise on account of any payment made or required to be made under any Loan Document or from the execution, delivery, registration, recording or enforcement of, or otherwise with respect to, any Loan Document, except any such Taxes that are Other Connection Taxes imposed with respect to an assignment, grant of a participation, designation of a new office for receiving payments by or on account of the Borrower or other transfer.</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Outside Counsel</w:t>
      </w:r>
      <w:r>
        <w:rPr>
          <w:rFonts w:ascii="Times New Roman" w:cs="Times New Roman" w:eastAsia="Times New Roman" w:hAnsi="Times New Roman"/>
          <w:sz w:val="22"/>
          <w:szCs w:val="22"/>
          <w:color w:val="auto"/>
        </w:rPr>
        <w:t>” means, in respect of any Lender, such Lender’s outside counsel as may be designated from time to time by such Lender for purposes hereof and the other Loan Documents (including, to the extent applicable, receiving notices and communications hereunder and under the other Loan Documents).</w:t>
      </w:r>
    </w:p>
    <w:p>
      <w:pPr>
        <w:spacing w:after="0" w:line="173" w:lineRule="exact"/>
        <w:rPr>
          <w:sz w:val="20"/>
          <w:szCs w:val="20"/>
          <w:color w:val="auto"/>
        </w:rPr>
      </w:pPr>
    </w:p>
    <w:p>
      <w:pPr>
        <w:ind w:right="86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Intellectual Property</w:t>
      </w:r>
      <w:r>
        <w:rPr>
          <w:rFonts w:ascii="Times New Roman" w:cs="Times New Roman" w:eastAsia="Times New Roman" w:hAnsi="Times New Roman"/>
          <w:sz w:val="22"/>
          <w:szCs w:val="22"/>
          <w:color w:val="auto"/>
        </w:rPr>
        <w:t>” means all Intellectual Property that is owned (solely or jointly with others) by the Borrower or any Subsidiary.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have the meanings set forth in the preamble.</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w:t>
      </w:r>
      <w:r>
        <w:rPr>
          <w:rFonts w:ascii="Times New Roman" w:cs="Times New Roman" w:eastAsia="Times New Roman" w:hAnsi="Times New Roman"/>
          <w:sz w:val="22"/>
          <w:szCs w:val="22"/>
          <w:color w:val="auto"/>
        </w:rPr>
        <w:t>” means any issued national, regional and international patent and any application or invention disclosure therefor (whether pending, provisional applications, non-provisional applications, divisionals, continuations, continuations in-part, and continued prosecution applications), and which for purposes of this Agreement, shall be deemed to include any substitutions, reissues, reexaminations, renewals, extensions, adjustments, restorations, supplemental protection certificates and patent rights in any form and other additions in connection therewith, whether in or related to the United States or any foreign country or other jurisdiction.</w:t>
      </w:r>
    </w:p>
    <w:p>
      <w:pPr>
        <w:spacing w:after="0" w:line="181"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Security Agreement</w:t>
      </w:r>
      <w:r>
        <w:rPr>
          <w:rFonts w:ascii="Times New Roman" w:cs="Times New Roman" w:eastAsia="Times New Roman" w:hAnsi="Times New Roman"/>
          <w:sz w:val="22"/>
          <w:szCs w:val="22"/>
          <w:color w:val="auto"/>
        </w:rPr>
        <w:t>” means any Patent Security Agreement executed and delivered to the Administrative Agent by the Borrower or any of the Guarantors in substantially the form of Exhibit A to the Security Agreement, as amended, supplemented, amended and restated or otherwise modified from time to time</w:t>
      </w:r>
      <w:r>
        <w:rPr>
          <w:rFonts w:ascii="Times New Roman" w:cs="Times New Roman" w:eastAsia="Times New Roman" w:hAnsi="Times New Roman"/>
          <w:sz w:val="22"/>
          <w:szCs w:val="22"/>
          <w:b w:val="1"/>
          <w:bCs w:val="1"/>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means all permits, licenses, registrations, certificates, orders, approvals, authorizations, consents, clearances, waivers, franchises, variances and similar rights issued by or obtained from any Governmental Authority, including, without limitation, those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2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Environmental Laws and Regulatory Authorizations or to clinical laboratory certification or accreditation.</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xml:space="preserve">” means the purchase or other acquisition of all of the Capital Securities (other than qualifying directors’ shares) in any, or all or substantially all of the property of, or all or substantially all of any business, business or product line, unit or division of, any Person (other than any joint venture owned by another Person that is purchased or acquired) that, upon the consummation thereof, will be owned by a direct or indirect Wholly Owned Subsidiary of the Borrower (including as a result of a merger or consolidation);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each Permitted Acquisition:</w:t>
      </w:r>
    </w:p>
    <w:p>
      <w:pPr>
        <w:spacing w:after="0" w:line="179" w:lineRule="exact"/>
        <w:rPr>
          <w:sz w:val="20"/>
          <w:szCs w:val="20"/>
          <w:color w:val="auto"/>
        </w:rPr>
      </w:pPr>
    </w:p>
    <w:p>
      <w:pPr>
        <w:ind w:left="660" w:right="280" w:firstLine="644"/>
        <w:spacing w:after="0" w:line="253" w:lineRule="auto"/>
        <w:tabs>
          <w:tab w:leader="none" w:pos="176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and its Subsidiaries (including any newly acquired or acquired Subsidiary in such Permitted Acquisition) shall comply with the requirements of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to the extent required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consideration for all newly-created or acquired Subsidiaries that are Excluded Subsidiaries and all assets acquired in Permitted Acquisition that are not directly owned by one or more Loan Parties and included in the Collateral shall not exceed $5,000,000 in the aggregate (to be measured without duplication);</w:t>
      </w:r>
    </w:p>
    <w:p>
      <w:pPr>
        <w:spacing w:after="0" w:line="178" w:lineRule="exact"/>
        <w:rPr>
          <w:rFonts w:ascii="Times New Roman" w:cs="Times New Roman" w:eastAsia="Times New Roman" w:hAnsi="Times New Roman"/>
          <w:sz w:val="22"/>
          <w:szCs w:val="22"/>
          <w:color w:val="auto"/>
        </w:rPr>
      </w:pPr>
    </w:p>
    <w:p>
      <w:pPr>
        <w:ind w:left="660" w:right="760" w:firstLine="644"/>
        <w:spacing w:after="0" w:line="271" w:lineRule="auto"/>
        <w:tabs>
          <w:tab w:leader="none" w:pos="177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lines of business of the Person to be (or the property of which is to be) so purchased or otherwise acquired shall be permitted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60" w:right="420" w:firstLine="644"/>
        <w:spacing w:after="0" w:line="263" w:lineRule="auto"/>
        <w:tabs>
          <w:tab w:leader="none" w:pos="176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purchase or other acquisition of the Capital Securities of another Person, the board of directors (or other comparable governing body) of such other Person shall have duly approved such purchase or other acquisition (to the extent required by applicable Laws);</w:t>
      </w:r>
    </w:p>
    <w:p>
      <w:pPr>
        <w:spacing w:after="0" w:line="167" w:lineRule="exact"/>
        <w:rPr>
          <w:rFonts w:ascii="Times New Roman" w:cs="Times New Roman" w:eastAsia="Times New Roman" w:hAnsi="Times New Roman"/>
          <w:sz w:val="22"/>
          <w:szCs w:val="22"/>
          <w:color w:val="auto"/>
        </w:rPr>
      </w:pPr>
    </w:p>
    <w:p>
      <w:pPr>
        <w:ind w:left="660" w:right="140" w:firstLine="644"/>
        <w:spacing w:after="0" w:line="253" w:lineRule="auto"/>
        <w:tabs>
          <w:tab w:leader="none" w:pos="177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before and after giving effect to any such purchase or other acquisition, no Default or Event of Default, shall exist or result therefrom;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Borrower’s option, this clause (d) may be satisfied if there is no Default or Event of Default in existence at the time of execution and effectiveness of the definitive documentation for such purchase or other acquisition, so long as the closing thereof occurs no more than 90 days after the execution and effectiveness of such definitive documentation;</w:t>
      </w:r>
    </w:p>
    <w:p>
      <w:pPr>
        <w:spacing w:after="0" w:line="178" w:lineRule="exact"/>
        <w:rPr>
          <w:rFonts w:ascii="Times New Roman" w:cs="Times New Roman" w:eastAsia="Times New Roman" w:hAnsi="Times New Roman"/>
          <w:sz w:val="22"/>
          <w:szCs w:val="22"/>
          <w:color w:val="auto"/>
        </w:rPr>
      </w:pPr>
    </w:p>
    <w:p>
      <w:pPr>
        <w:ind w:left="660" w:right="40" w:firstLine="644"/>
        <w:spacing w:after="0" w:line="249" w:lineRule="auto"/>
        <w:tabs>
          <w:tab w:leader="none" w:pos="176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before and after giving effect to any such purchase or other acquisition, the Borrower shall be in compliance with the financial covenant set forth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Borrower’s option, this clause (e) may be satisfied if, at the time of execution and effectiveness of the definitive documentation for such purchase or other acquisition, the financial covenant set forth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would be satisfied after giving pro forma effect to such purchase or other acquisition (including any incurrence of Indebtedness relating thereto and the use of proceeds thereof) as if such purchase or other acquisition had occurred on the first day of the most recent Test Period ending prior to the date of the execution of a binding purchase agreement for such purchase or other acquisition for which consolidated financial statements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22" w:right="339" w:bottom="1440" w:gutter="0" w:footer="0" w:header="0"/>
        </w:sectPr>
      </w:pPr>
    </w:p>
    <w:bookmarkStart w:id="33" w:name="page34"/>
    <w:bookmarkEnd w:id="33"/>
    <w:p>
      <w:pPr>
        <w:ind w:left="660" w:right="80"/>
        <w:spacing w:after="0" w:line="271" w:lineRule="auto"/>
        <w:rPr>
          <w:sz w:val="20"/>
          <w:szCs w:val="20"/>
          <w:color w:val="auto"/>
        </w:rPr>
      </w:pPr>
      <w:r>
        <w:rPr>
          <w:rFonts w:ascii="Times New Roman" w:cs="Times New Roman" w:eastAsia="Times New Roman" w:hAnsi="Times New Roman"/>
          <w:sz w:val="22"/>
          <w:szCs w:val="22"/>
          <w:color w:val="auto"/>
        </w:rPr>
        <w:t>are available, so long as the closing of such purchase or other acquisition occurs no more than 90 days after the execution and effectiveness of such definitive documentation;</w:t>
      </w:r>
    </w:p>
    <w:p>
      <w:pPr>
        <w:spacing w:after="0" w:line="158" w:lineRule="exact"/>
        <w:rPr>
          <w:sz w:val="20"/>
          <w:szCs w:val="20"/>
          <w:color w:val="auto"/>
        </w:rPr>
      </w:pPr>
    </w:p>
    <w:p>
      <w:pPr>
        <w:ind w:left="660" w:right="20" w:firstLine="644"/>
        <w:spacing w:after="0" w:line="248" w:lineRule="auto"/>
        <w:tabs>
          <w:tab w:leader="none" w:pos="17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delivered to the Administrative Agent and the Lenders, at least 10 Business Days prior to the date on which any such purchase or other acquisition is anticipated to be consummated (or such shorter period of time as agreed by the Administrative Agent in its reasonable discretion), a written notice describing such transaction, and concurrently with the delivery of such notice, for any such transaction involving consideration in excess of the greater of (x) $15,000,000 and (y) 100% of Consolidated EBITDA for the period of four consecutive Fiscal Quarters most recently ended as to which financial statements were required to be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either (i) historical audited financial statements of or related to the Person or assets to be acquired for the three immediately preceding fiscal years prior to the consummation of the purchase or acquisition and historical unaudited financial statements of or related to the Person or assets to be acquired for the most recent interim period that is available, or (ii) a quality of earnings report of a scope reasonably acceptable to the Administrative Agent by an accounting or valuation firm of recognized national standing or otherwise reasonably acceptable to the Administrative Agent, and (iii) material documentation and other information relating to such transaction to the extent reasonably requested by the Administrative Agent;</w:t>
      </w:r>
    </w:p>
    <w:p>
      <w:pPr>
        <w:spacing w:after="0" w:line="192" w:lineRule="exact"/>
        <w:rPr>
          <w:rFonts w:ascii="Times New Roman" w:cs="Times New Roman" w:eastAsia="Times New Roman" w:hAnsi="Times New Roman"/>
          <w:sz w:val="22"/>
          <w:szCs w:val="22"/>
          <w:color w:val="auto"/>
        </w:rPr>
      </w:pPr>
    </w:p>
    <w:p>
      <w:pPr>
        <w:ind w:left="660" w:right="880" w:firstLine="644"/>
        <w:spacing w:after="0" w:line="271" w:lineRule="auto"/>
        <w:tabs>
          <w:tab w:leader="none" w:pos="177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purchase or other acquisition shall be undertaken and consummated in accordance with and in compliance in all material respects with all applicable Laws;</w:t>
      </w:r>
    </w:p>
    <w:p>
      <w:pPr>
        <w:spacing w:after="0" w:line="157" w:lineRule="exact"/>
        <w:rPr>
          <w:rFonts w:ascii="Times New Roman" w:cs="Times New Roman" w:eastAsia="Times New Roman" w:hAnsi="Times New Roman"/>
          <w:sz w:val="22"/>
          <w:szCs w:val="22"/>
          <w:color w:val="auto"/>
        </w:rPr>
      </w:pPr>
    </w:p>
    <w:p>
      <w:pPr>
        <w:ind w:left="660" w:right="300" w:firstLine="644"/>
        <w:spacing w:after="0" w:line="271" w:lineRule="auto"/>
        <w:tabs>
          <w:tab w:leader="none" w:pos="177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business and assets that are the subject of such purchase or other acquisition shall be acquired free and clear of all Liens (other than Liens permitted under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and</w:t>
      </w:r>
    </w:p>
    <w:p>
      <w:pPr>
        <w:spacing w:after="0" w:line="171" w:lineRule="exact"/>
        <w:rPr>
          <w:rFonts w:ascii="Times New Roman" w:cs="Times New Roman" w:eastAsia="Times New Roman" w:hAnsi="Times New Roman"/>
          <w:sz w:val="22"/>
          <w:szCs w:val="22"/>
          <w:color w:val="auto"/>
        </w:rPr>
      </w:pPr>
    </w:p>
    <w:p>
      <w:pPr>
        <w:ind w:left="660" w:right="180" w:firstLine="644"/>
        <w:spacing w:after="0" w:line="271" w:lineRule="auto"/>
        <w:tabs>
          <w:tab w:leader="none" w:pos="172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cause the Person, business or assets that are the subject of such purchase or other acquisition to comply with all requirements of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Call Spread Swap Agreements</w:t>
      </w:r>
      <w:r>
        <w:rPr>
          <w:rFonts w:ascii="Times New Roman" w:cs="Times New Roman" w:eastAsia="Times New Roman" w:hAnsi="Times New Roman"/>
          <w:sz w:val="22"/>
          <w:szCs w:val="22"/>
          <w:color w:val="auto"/>
        </w:rPr>
        <w:t xml:space="preserve">” means (a) any Swap Agreement (including, but not limited to, any bond hedge transaction or capped call transaction) pursuant to which the Borrower acquires an option requiring the counterparty thereto to deliver to the Borrower shares of common stock of the Borrower, the cash value of such shares or a combination thereof from time to time upon exercise of such option and (b) any Swap Agreement pursuant to which the Borrower issues to the counterparty thereto warrants to acquire common stock of the Borrower (whether such warrant is settled in shares, cash or a combination thereof), in each case of clauses (a) and (b) entered into by the Borrower in connection with the issuance of Permitted Convertible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terms, conditions and covenants of each such Swap Agreement shall be such as are customary for Swap Agreements of such type (as determined by the Borrower in good faith) and (ii) in the case of clause (b) above, such Swap Agreement would be classified as an equity instrument in accordance with GAAP, and the settlement of such Swap Agreement does not require the Borrower to make any payment in cash or cash equivalents that would disqualify such Swap Agreement from so being classified as an equity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22" w:right="339" w:bottom="1440" w:gutter="0" w:footer="0" w:header="0"/>
        </w:sectPr>
      </w:pPr>
    </w:p>
    <w:bookmarkStart w:id="34" w:name="page35"/>
    <w:bookmarkEnd w:id="34"/>
    <w:p>
      <w:pPr>
        <w:ind w:firstLine="656"/>
        <w:spacing w:after="0" w:line="259" w:lineRule="auto"/>
        <w:tabs>
          <w:tab w:leader="none" w:pos="1291"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Convertible Indebtedness</w:t>
      </w:r>
      <w:r>
        <w:rPr>
          <w:rFonts w:ascii="Times New Roman" w:cs="Times New Roman" w:eastAsia="Times New Roman" w:hAnsi="Times New Roman"/>
          <w:sz w:val="21"/>
          <w:szCs w:val="21"/>
          <w:color w:val="auto"/>
        </w:rPr>
        <w:t xml:space="preserve">” means Indebtedness that is convertible at the option of the holders thereof into common stock of the Borrower incurred by the Borrower in an aggregate amount not to exceed $200,000,000;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 such Indebtedness shall be unsecured and subordinated, (b) such Indebtedness shall not be guaranteed by any Subsidiary of the Borrower, (c) such Indebtedness shall bear interest at a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not to exceed the greater of five percent (5.0%) and such rate as is customary in the market for public companies at such time, as determined by the Borrower in its reasonable commercial judgment, (d) such Indebtedness shall only include covenants and defaults customary for public or 144A convertible notes (which, for the avoidance of doubt, shall not include any financial covenants), as determined by the Borrower in its reasonable commercial judgment, (e) immediately prior to and after giving effect to the incurrence of such Indebtedness, no Event of Default shall have occurred and be continuing or could reasonably be expected to occur as a result therefrom, (f) Borrower shall have either drawn all of the Delayed Draw Loans prior to the time such Indebtedness is incurred or the Delayed Draw Commitment Termination Date has occurred, (g) the ratio of (i) the Revenue Base for the most recently ended period of twelve consecutive months for which a Compliance Certificate is required to have been delivered pursuant to </w:t>
      </w:r>
      <w:r>
        <w:rPr>
          <w:rFonts w:ascii="Times New Roman" w:cs="Times New Roman" w:eastAsia="Times New Roman" w:hAnsi="Times New Roman"/>
          <w:sz w:val="21"/>
          <w:szCs w:val="21"/>
          <w:u w:val="single" w:color="auto"/>
          <w:color w:val="auto"/>
        </w:rPr>
        <w:t>Section 7.1(d)</w:t>
      </w:r>
      <w:r>
        <w:rPr>
          <w:rFonts w:ascii="Times New Roman" w:cs="Times New Roman" w:eastAsia="Times New Roman" w:hAnsi="Times New Roman"/>
          <w:sz w:val="21"/>
          <w:szCs w:val="21"/>
          <w:color w:val="auto"/>
        </w:rPr>
        <w:t xml:space="preserve"> to</w:t>
      </w:r>
    </w:p>
    <w:p>
      <w:pPr>
        <w:spacing w:after="0" w:line="1" w:lineRule="exact"/>
        <w:rPr>
          <w:rFonts w:ascii="Times New Roman" w:cs="Times New Roman" w:eastAsia="Times New Roman" w:hAnsi="Times New Roman"/>
          <w:sz w:val="21"/>
          <w:szCs w:val="21"/>
          <w:color w:val="auto"/>
        </w:rPr>
      </w:pPr>
    </w:p>
    <w:p>
      <w:pPr>
        <w:ind w:right="40" w:firstLine="8"/>
        <w:spacing w:after="0" w:line="259" w:lineRule="auto"/>
        <w:tabs>
          <w:tab w:leader="none" w:pos="31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of all Funded Indebtedness of the Borrower and its Subsidiaries (including, for the avoidance of doubt, any Permitted Revolving Credit Facility Indebtedness, which shall be deemed to be fully funded at the time of such calculation) shall not be less than 2.00 to 1.00, and (h) such Indebtedness shall not (i) mature or be mandatorily redeemable, pursuant to a sinking fund obligation or otherwise, (ii) be redeemable at the option of the holder thereof, in whole or in part or (iii) provide for the scheduled payment of dividends or distributions (other than scheduled cash interest payments) in cash, in each case of the foregoing sub-clauses (i), (ii) and (iii), prior to the date that is six months after the Maturity Date (it being understood, for the avoidance of doubt, that (w) a redemption right of the Borrower in respect of such Indebtedness, (x) conversion rights of holders in respect of such Indebtedness, (y) acceleration rights of holders of such Indebtedness upon the occurrence of an event of default specified in the agreement governing such Indebtedness and (z) the obligation to pay customary amounts to, or redemption rights of, holders of such Indebtedness in connection with a “change of control” or “fundamental change”, in each case, shall not be considered in connection with the determination of scheduled maturity date or redemption right for purposes of this clause (f)).</w:t>
      </w:r>
    </w:p>
    <w:p>
      <w:pPr>
        <w:spacing w:after="0" w:line="174"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Refinancing</w:t>
      </w:r>
      <w:r>
        <w:rPr>
          <w:rFonts w:ascii="Times New Roman" w:cs="Times New Roman" w:eastAsia="Times New Roman" w:hAnsi="Times New Roman"/>
          <w:sz w:val="22"/>
          <w:szCs w:val="22"/>
          <w:color w:val="auto"/>
        </w:rPr>
        <w:t xml:space="preserve">” means, with respect to any Indebtedness, any extensions, renewals, refinancings and replacements of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extension, renewal, refinancing or replacement (a) shall not increase the outstanding principal amount of such Indebtedness, except by an amount equal to unpaid accrued interest and premium (including tender premiums) thereon plus other reasonable amounts paid (including original issue discount and upfront fees), and fees and expenses reasonably incurred, in connection with such renewals, refinancing or replacement and by an amount equal to any existing commitments unutilized thereunder, (b) contains terms (i) relating to outstanding principal amount, amortization, maturity, collateral (if any) and subordination (if any) taken as a whole no less favorable in any material respect to the Borrower and its Subsidiaries or the Secured Parties than such terms of any agreement or instrument governing such existing Indebtedness or (ii) otherwise on customary market terms (taken as a whole as determined by the Borrower in its reasonable judgment), including with respect to high yield debt securities to the extent applicable, (c)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22" w:right="339" w:bottom="1440" w:gutter="0" w:footer="0" w:header="0"/>
        </w:sectPr>
      </w:pPr>
    </w:p>
    <w:bookmarkStart w:id="35" w:name="page36"/>
    <w:bookmarkEnd w:id="35"/>
    <w:p>
      <w:pPr>
        <w:spacing w:after="0" w:line="262" w:lineRule="auto"/>
        <w:rPr>
          <w:sz w:val="20"/>
          <w:szCs w:val="20"/>
          <w:color w:val="auto"/>
        </w:rPr>
      </w:pPr>
      <w:r>
        <w:rPr>
          <w:rFonts w:ascii="Times New Roman" w:cs="Times New Roman" w:eastAsia="Times New Roman" w:hAnsi="Times New Roman"/>
          <w:sz w:val="21"/>
          <w:szCs w:val="21"/>
          <w:color w:val="auto"/>
        </w:rPr>
        <w:t>not contain any new requirement to grant any lien or security or to give any guarantee that was not an existing requirement of such Indebtedness, except with respect to any new Subsidiary or assets acquired on or after the date such Indebtedness is incurred that is also Collateral under the Loan Documents, (d) to the extent such modification, extension, renewal, refinancing and replacement concerns Indebtedness that is subordinated in right of payment to the Obligations, shall require that such Indebtedness be subordinated in right of payment to the Obligations on terms at least as favorable to the Lenders as those contained in the documentation governing the Indebtedness being modified, extended, renewed, refinance or replaced, and (e) to the extent such modification, extension, renewal, refinancing and replacement concerns Indebtedness that is subordinated to the Liens securing the Obligations, shall require that such Indebtedness be unsecured or secured by Liens that are subordinated to the Liens securing the Obligations on terms at least as favorable to the Lenders as those contained in the documentation (including any intercreditor or similar agreements) governing the Indebtedness being modified, extended, renewed, refinance or replaced.</w:t>
      </w:r>
    </w:p>
    <w:p>
      <w:pPr>
        <w:spacing w:after="0" w:line="172"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Revolving Credit Facility Indebtedness</w:t>
      </w:r>
      <w:r>
        <w:rPr>
          <w:rFonts w:ascii="Times New Roman" w:cs="Times New Roman" w:eastAsia="Times New Roman" w:hAnsi="Times New Roman"/>
          <w:sz w:val="22"/>
          <w:szCs w:val="22"/>
          <w:color w:val="auto"/>
        </w:rPr>
        <w:t xml:space="preserve">” means Indebtedness with respect to an account receivables revolving credit facility in an aggregate principal amount not to exceed $50,000,000 provided by a commercial bank organized under the laws of the United States (or any state thereof) which has recognized standing and a combined capital and surplus greater than $500,000,000;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financing terms, covenants, termination events and other provisions thereof shall be market terms for similar facilities of reasonably similar size, including the provision of a customary “borrowing base” concept, (ii) the principal amount of such Indebtedness shall not exceed, in an aggregate amount at any time outstanding, $50,000,000, (iii) immediately before and after giving effect to the incurrence of such Indebtedness, no Default or Event of Default shall exist or result therefrom and (iv) immediately before and after giving effect to the incurrence of such Indebtedness, the Borrower shall be in pro forma compliance with the financial covenant set forth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Subordinated Indebtedness</w:t>
      </w:r>
      <w:r>
        <w:rPr>
          <w:rFonts w:ascii="Times New Roman" w:cs="Times New Roman" w:eastAsia="Times New Roman" w:hAnsi="Times New Roman"/>
          <w:sz w:val="22"/>
          <w:szCs w:val="22"/>
          <w:color w:val="auto"/>
        </w:rPr>
        <w:t>” means Indebtedness incurred after the Closing Date by the Borrower or the Subsidiaries that is (i) subordinated to the Obligations and all other Indebtedness owing from the Borrower or the Subsidiaries to the Secured Parties pursuant to a written subordination agreement satisfactory to the Administrative Agent in its sole discretion and (ii) in an amount and on terms approved by the Administrative Agent in its sole discretion.</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partnership, joint venture, association, trust or unincorporated organization, Governmental Authority or any other legal entity, whether acting in an individual, fiduciary or other capacity.</w:t>
      </w:r>
    </w:p>
    <w:p>
      <w:pPr>
        <w:spacing w:after="0" w:line="167" w:lineRule="exact"/>
        <w:rPr>
          <w:sz w:val="20"/>
          <w:szCs w:val="20"/>
          <w:color w:val="auto"/>
        </w:rPr>
      </w:pPr>
    </w:p>
    <w:p>
      <w:pPr>
        <w:ind w:right="64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means any information that relates to an identifiable natural person or that is otherwise considered personally identifiable information or personal data under applicable Law, including Protected Health Information.</w:t>
      </w:r>
    </w:p>
    <w:p>
      <w:pPr>
        <w:spacing w:after="0" w:line="13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10.2(c)</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right="3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means (a) the rate of interest last quoted by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as the “Prime Rate” in the U.S. or, if </w:t>
      </w:r>
      <w:r>
        <w:rPr>
          <w:rFonts w:ascii="Times New Roman" w:cs="Times New Roman" w:eastAsia="Times New Roman" w:hAnsi="Times New Roman"/>
          <w:sz w:val="22"/>
          <w:szCs w:val="22"/>
          <w:i w:val="1"/>
          <w:iCs w:val="1"/>
          <w:color w:val="auto"/>
        </w:rPr>
        <w:t xml:space="preserve">The Wall Street Journal </w:t>
      </w:r>
      <w:r>
        <w:rPr>
          <w:rFonts w:ascii="Times New Roman" w:cs="Times New Roman" w:eastAsia="Times New Roman" w:hAnsi="Times New Roman"/>
          <w:sz w:val="22"/>
          <w:szCs w:val="22"/>
          <w:color w:val="auto"/>
        </w:rPr>
        <w:t>ceases to quote such rate, the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22" w:right="359" w:bottom="1440" w:gutter="0" w:footer="0" w:header="0"/>
        </w:sectPr>
      </w:pPr>
    </w:p>
    <w:bookmarkStart w:id="36" w:name="page37"/>
    <w:bookmarkEnd w:id="36"/>
    <w:p>
      <w:pPr>
        <w:ind w:right="80"/>
        <w:spacing w:after="0" w:line="253" w:lineRule="auto"/>
        <w:rPr>
          <w:sz w:val="20"/>
          <w:szCs w:val="20"/>
          <w:color w:val="auto"/>
        </w:rPr>
      </w:pPr>
      <w:r>
        <w:rPr>
          <w:rFonts w:ascii="Times New Roman" w:cs="Times New Roman" w:eastAsia="Times New Roman" w:hAnsi="Times New Roman"/>
          <w:sz w:val="22"/>
          <w:szCs w:val="22"/>
          <w:color w:val="auto"/>
        </w:rPr>
        <w:t xml:space="preserve">interest rate published by the F.R.S. Board in Federal Reserve Statistical Release H.15 (519) (Selected Interest Rates) as the “bank prime loan” rate or, if such rate is no longer quoted therein, any similar rate quoted therein (as determined by the Administrative Agent) or any similar release by the F.R.S. Board (as determined by the Administrative Agent), minus (b)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Prime Rate shall be less than 2.50%, such rate shall be deemed to be 2.50% for the purposes of this Agreement.</w:t>
      </w:r>
    </w:p>
    <w:p>
      <w:pPr>
        <w:spacing w:after="0" w:line="17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mean each Law applicable to privacy and the protection and security of Personal Data, including HIPAA, Laws related to localization of Personal Data, Laws related to online behavioral advertising, Laws related to consumer privacy with respect to direct marketing such as the Telephone Consumer Protection Act (TCPA) and CAN-SPAM, and rules under the payment card industry data security standards.</w:t>
      </w:r>
    </w:p>
    <w:p>
      <w:pPr>
        <w:spacing w:after="0" w:line="176"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any current or future service or product (including LDTs, IVDs and software products and services and data products and services) researched, designed, developed, manufactured, licensed, marketed, offered, sold, performed, distributed or otherwise commercialized by the Borrower or any of its Affiliates, including any such product in development or which may be developed. For the avoidance of doubt, “Product” includes, but is not limited to, MyRisk</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BRACAnalysis CDx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MyChoice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CDx, Prolaris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EndoPredict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Precise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Tumor, Prequel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Foresight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SneakPeek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GeneSight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FirstGene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Precise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Liquid, and Precise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MRD.</w:t>
      </w:r>
    </w:p>
    <w:p>
      <w:pPr>
        <w:spacing w:after="0" w:line="108"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Authorizations</w:t>
      </w:r>
      <w:r>
        <w:rPr>
          <w:rFonts w:ascii="Times New Roman" w:cs="Times New Roman" w:eastAsia="Times New Roman" w:hAnsi="Times New Roman"/>
          <w:sz w:val="22"/>
          <w:szCs w:val="22"/>
          <w:color w:val="auto"/>
        </w:rPr>
        <w:t>” means any and all approvals, exemptions, licenses, notifications, registrations, listings, clearances or authorizations or other Permits of any Governmental Authority necessary for the testing, manufacture, performing, marketing, or sale of a Product in any country or jurisdiction.</w:t>
      </w:r>
    </w:p>
    <w:p>
      <w:pPr>
        <w:spacing w:after="0" w:line="17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Development and Commercialization Activities</w:t>
      </w:r>
      <w:r>
        <w:rPr>
          <w:rFonts w:ascii="Times New Roman" w:cs="Times New Roman" w:eastAsia="Times New Roman" w:hAnsi="Times New Roman"/>
          <w:sz w:val="22"/>
          <w:szCs w:val="22"/>
          <w:color w:val="auto"/>
        </w:rPr>
        <w:t>” means, with respect to any Product, any combination of research, development, manufacture, import, use, sale, importation, storage, labeling, marketing, promotion, supply, distribution, testing, packaging, purchasing or other commercialization activities, receipt of payment in respect of any of the foregoing, or like activities the purpose of which is to commercially exploit such Product.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Protected Health Information</w:t>
      </w:r>
      <w:r>
        <w:rPr>
          <w:rFonts w:ascii="Times New Roman" w:cs="Times New Roman" w:eastAsia="Times New Roman" w:hAnsi="Times New Roman"/>
          <w:sz w:val="22"/>
          <w:szCs w:val="22"/>
          <w:color w:val="auto"/>
        </w:rPr>
        <w:t>” has the same meaning as “protected health information” in 45 C.F.R. § 160.103.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Money Indebtedness</w:t>
      </w:r>
      <w:r>
        <w:rPr>
          <w:rFonts w:ascii="Times New Roman" w:cs="Times New Roman" w:eastAsia="Times New Roman" w:hAnsi="Times New Roman"/>
          <w:sz w:val="21"/>
          <w:szCs w:val="21"/>
          <w:color w:val="auto"/>
        </w:rPr>
        <w:t xml:space="preserve">” means Indebtedness incurred to finance the acquisition, repair, replacement, construction or improvement of fixed or capital assets, where the amount of such Indebtedness does not exceed the greater of (a) the cost of the assets being financed and/or the cost of such repair, replacement, construction or improvement, as applicable, and (b) the fair market value of such assets;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Indebtedness is incurred concurrently with or within one-hundred and eighty days after or prior to such acquisition, repair, replacement, construction or improvement of the applicable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22"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QSR</w:t>
      </w:r>
      <w:r>
        <w:rPr>
          <w:rFonts w:ascii="Times New Roman" w:cs="Times New Roman" w:eastAsia="Times New Roman" w:hAnsi="Times New Roman"/>
          <w:sz w:val="22"/>
          <w:szCs w:val="22"/>
          <w:color w:val="auto"/>
        </w:rPr>
        <w:t>” means the applicable medical device quality system regulations included in FDA 21 C.F.R Part 820.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Capital Securities</w:t>
      </w:r>
      <w:r>
        <w:rPr>
          <w:rFonts w:ascii="Times New Roman" w:cs="Times New Roman" w:eastAsia="Times New Roman" w:hAnsi="Times New Roman"/>
          <w:sz w:val="22"/>
          <w:szCs w:val="22"/>
          <w:color w:val="auto"/>
        </w:rPr>
        <w:t>” means any Capital Securities that are not Disqualified Capital Securities.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means the Party receiving Confidential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10.10(c)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Agencies</w:t>
      </w:r>
      <w:r>
        <w:rPr>
          <w:rFonts w:ascii="Times New Roman" w:cs="Times New Roman" w:eastAsia="Times New Roman" w:hAnsi="Times New Roman"/>
          <w:sz w:val="22"/>
          <w:szCs w:val="22"/>
          <w:color w:val="auto"/>
        </w:rPr>
        <w:t>” means any Governmental Authority that is concerned with the use, control, safety, efficacy, reliability, manufacturing, testing, marketing, distribution, sale or other Product Development and Commercialization Activities relating to any Product of the Borrower or any of the Subsidiaries, including CMS, FDA, and all similar agencies in other jurisdictions, including non-United States jurisdictions.</w:t>
      </w:r>
    </w:p>
    <w:p>
      <w:pPr>
        <w:spacing w:after="0" w:line="176"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Authorizations</w:t>
      </w:r>
      <w:r>
        <w:rPr>
          <w:rFonts w:ascii="Times New Roman" w:cs="Times New Roman" w:eastAsia="Times New Roman" w:hAnsi="Times New Roman"/>
          <w:sz w:val="22"/>
          <w:szCs w:val="22"/>
          <w:color w:val="auto"/>
        </w:rPr>
        <w:t>” means all approvals, clearances, notifications, authorizations, orders, exemptions, registrations, listings, certifications, licenses and Permits granted by, submitted to, obtained from, or filed with any Regulatory Agencies, including all Product Authorizations.</w:t>
      </w:r>
    </w:p>
    <w:p>
      <w:pPr>
        <w:spacing w:after="0" w:line="173"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the partners, directors, officers, employees, agents, trustees, administrators, managers, advisors and representatives of the Borrower and the Subsidiaries.</w:t>
      </w:r>
    </w:p>
    <w:p>
      <w:pPr>
        <w:spacing w:after="0" w:line="171"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releasing, disposing, discharging, injecting, spilling, leaking, leaching, pumping, pouring, dumping, depositing, emitting, escaping, emptying, seeping, dispersal, migrating or placing, including movement through, into or upon the environment or any natural or man-made structure.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Repayment Premium</w:t>
      </w:r>
      <w:r>
        <w:rPr>
          <w:rFonts w:ascii="Times New Roman" w:cs="Times New Roman" w:eastAsia="Times New Roman" w:hAnsi="Times New Roman"/>
          <w:sz w:val="22"/>
          <w:szCs w:val="22"/>
          <w:color w:val="auto"/>
        </w:rPr>
        <w:t>” has the meaning set forth in the Fee Letter.</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Non-Defaulting Lenders having Total Credit Exposures representing more than 50% of the Total Credit Exposures of all Non-Defaulting Lenders.</w:t>
      </w:r>
    </w:p>
    <w:p>
      <w:pPr>
        <w:spacing w:after="0" w:line="144"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(i) the declaration or payment of any dividend on, or the making of any payment or distribution on account of, or setting apart assets for a sinking or other analogous fund for the purchase, redemption, defeasance, retirement or other acquisition of, any class of Capital Securities of the Borrower or any Subsidiary or any warrants, options or other right or obligation to purchase or acquire any such Capital Securities, whether now or hereafter outstanding, or (ii) the making of any other distribution in respect of such Capital Securities, in each case either directly or indirectly, whether in cash, property or obligations of the Borrower or any Subsidiary or otherwise.</w:t>
      </w:r>
    </w:p>
    <w:p>
      <w:pPr>
        <w:spacing w:after="0" w:line="181"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w:t>
      </w:r>
      <w:r>
        <w:rPr>
          <w:rFonts w:ascii="Times New Roman" w:cs="Times New Roman" w:eastAsia="Times New Roman" w:hAnsi="Times New Roman"/>
          <w:sz w:val="22"/>
          <w:szCs w:val="22"/>
          <w:color w:val="auto"/>
        </w:rPr>
        <w:t>” means total consolidated net revenue of the Borrower and its Subsidiaries, as determined in accordance with GAAP. Revenue shall be determined in a manner consistent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2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the methodologies, practices and procedures used in developing the Borrower’s audited financial statements.</w:t>
      </w:r>
    </w:p>
    <w:p>
      <w:pPr>
        <w:spacing w:after="0" w:line="220"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Base</w:t>
      </w:r>
      <w:r>
        <w:rPr>
          <w:rFonts w:ascii="Times New Roman" w:cs="Times New Roman" w:eastAsia="Times New Roman" w:hAnsi="Times New Roman"/>
          <w:sz w:val="22"/>
          <w:szCs w:val="22"/>
          <w:color w:val="auto"/>
        </w:rPr>
        <w:t>” means, with respect to any period, the Revenues for such period; provided that if a Specified Matter has been continuing for more than 270 days, the Revenue Base shall exclude all unpaid Revenues of the Borrower and its Subsidiaries arising from such Specified Matter until such Specified Matter ends.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a S&amp;P Financial Services LLC business, and any successor thereto.</w:t>
      </w:r>
    </w:p>
    <w:p>
      <w:pPr>
        <w:spacing w:after="0" w:line="220" w:lineRule="exact"/>
        <w:rPr>
          <w:sz w:val="20"/>
          <w:szCs w:val="20"/>
          <w:color w:val="auto"/>
        </w:rPr>
      </w:pPr>
    </w:p>
    <w:p>
      <w:pPr>
        <w:ind w:right="3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international economic sanction administered or enforced by the United States Government (including, without limitation, OFAC), the United Nations Security Council, the European Union, His Majesty’s Treasury or other materially relevant sanctions authority.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w:t>
      </w:r>
    </w:p>
    <w:p>
      <w:pPr>
        <w:spacing w:after="0" w:line="220"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Second Delayed Draw Closing Date</w:t>
      </w:r>
      <w:r>
        <w:rPr>
          <w:rFonts w:ascii="Times New Roman" w:cs="Times New Roman" w:eastAsia="Times New Roman" w:hAnsi="Times New Roman"/>
          <w:sz w:val="21"/>
          <w:szCs w:val="21"/>
          <w:color w:val="auto"/>
        </w:rPr>
        <w:t>” means the second date upon which any Delayed Draw Loans are made hereunder, which shall (i) occur after and subject to the occurrence of the First Delayed Draw Closing Date (so long as the Delayed Draw Commitment Amount is greater than $0 after the making of the Delayed Draw Loans on the First Delayed Draw Closing Date),</w:t>
      </w:r>
    </w:p>
    <w:p>
      <w:pPr>
        <w:spacing w:after="0" w:line="3" w:lineRule="exact"/>
        <w:rPr>
          <w:sz w:val="20"/>
          <w:szCs w:val="20"/>
          <w:color w:val="auto"/>
        </w:rPr>
      </w:pPr>
    </w:p>
    <w:p>
      <w:pPr>
        <w:ind w:right="20" w:firstLine="8"/>
        <w:spacing w:after="0" w:line="248" w:lineRule="auto"/>
        <w:tabs>
          <w:tab w:leader="none" w:pos="31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 of Delayed Draw Loans in a minimum aggregate principal amount equal to at least $25,000,000 and in increments of $5,000,000 thereafter and (iii) occur no later than the Delayed Draw Unavailability Date.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the Lenders and the Administrative Agent.</w:t>
      </w:r>
    </w:p>
    <w:p>
      <w:pPr>
        <w:spacing w:after="0" w:line="22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xml:space="preserve">” means the Pledge and Security Agreement executed and delivered by each of the parties thereto,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 as amended, supplemented, amended and restated or otherwise modified from time to time.</w:t>
      </w:r>
    </w:p>
    <w:p>
      <w:pPr>
        <w:spacing w:after="0" w:line="173"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CME Group Benchmark Administration Limited (CBA) (or a successor administrator of the secured overnight financing rate).</w:t>
      </w:r>
    </w:p>
    <w:p>
      <w:pPr>
        <w:spacing w:after="0" w:line="144" w:lineRule="exact"/>
        <w:rPr>
          <w:sz w:val="20"/>
          <w:szCs w:val="20"/>
          <w:color w:val="auto"/>
        </w:rPr>
      </w:pPr>
    </w:p>
    <w:p>
      <w:pPr>
        <w:ind w:right="3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website of the SOFR Administrator, currently at https://www.cmegroup.com/market-data/cme-group-benchmark-administration.html, or any successor source for the secured overnight financing rate identified as such by the SOFR Administrator from time to time.</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w:t>
      </w:r>
      <w:r>
        <w:rPr>
          <w:rFonts w:ascii="Times New Roman" w:cs="Times New Roman" w:eastAsia="Times New Roman" w:hAnsi="Times New Roman"/>
          <w:sz w:val="22"/>
          <w:szCs w:val="22"/>
          <w:color w:val="auto"/>
        </w:rPr>
        <w:t>” means, for any Interest Period, the forward-looking three-month term rate based on the secured overnight financing rate on the day (such day, the “</w:t>
      </w:r>
      <w:r>
        <w:rPr>
          <w:rFonts w:ascii="Times New Roman" w:cs="Times New Roman" w:eastAsia="Times New Roman" w:hAnsi="Times New Roman"/>
          <w:sz w:val="22"/>
          <w:szCs w:val="22"/>
          <w:u w:val="single" w:color="auto"/>
          <w:color w:val="auto"/>
        </w:rPr>
        <w:t>SOFR Rate Determination Date</w:t>
      </w:r>
      <w:r>
        <w:rPr>
          <w:rFonts w:ascii="Times New Roman" w:cs="Times New Roman" w:eastAsia="Times New Roman" w:hAnsi="Times New Roman"/>
          <w:sz w:val="22"/>
          <w:szCs w:val="22"/>
          <w:color w:val="auto"/>
        </w:rPr>
        <w:t>”) that is two Business Days prior to the first day of any Interest Period, with the rate, or methodology for this rate, and conventions for this rate being established by the Administrative Agent in accordance with the “1 Month CME Term SOFR” published on the SOFR Administrator’s Website at https://www.cmegroup.com/market-data/cme-group-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1422" w:right="459" w:bottom="1440" w:gutter="0" w:footer="0" w:header="0"/>
        </w:sectPr>
      </w:pPr>
    </w:p>
    <w:bookmarkStart w:id="39" w:name="page40"/>
    <w:bookmarkEnd w:id="39"/>
    <w:p>
      <w:pPr>
        <w:spacing w:after="0" w:line="250" w:lineRule="auto"/>
        <w:rPr>
          <w:sz w:val="20"/>
          <w:szCs w:val="20"/>
          <w:color w:val="auto"/>
        </w:rPr>
      </w:pPr>
      <w:r>
        <w:rPr>
          <w:rFonts w:ascii="Times New Roman" w:cs="Times New Roman" w:eastAsia="Times New Roman" w:hAnsi="Times New Roman"/>
          <w:sz w:val="22"/>
          <w:szCs w:val="22"/>
          <w:color w:val="auto"/>
        </w:rPr>
        <w:t xml:space="preserve">benchmark-administration/term-sofr.html or any successor or successor page thereto established by the SOFR Administrator (as calculated by the Administrative Agent and rounded upwards, if necessary, to the nearest 1/1,000 of 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as of 5:00 p.m. (New York City time) on any SOFR Rate Determination Date, such 1 Month CME Term SOFR has not been published on the SOFR Administrator’s Website, then the SOFR Rate for the related Interest Period will be the 1 Month CME Term SOFR as published on the SOFR Administrator’s Website on the first preceding Business Days for which 1Month CME Term SOFR was published on the SOFR Administrator’s Website so long as such first preceding Business Day is not more than three Business Days prior to such SOFR Rate Determination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Determination Date</w:t>
      </w:r>
      <w:r>
        <w:rPr>
          <w:rFonts w:ascii="Times New Roman" w:cs="Times New Roman" w:eastAsia="Times New Roman" w:hAnsi="Times New Roman"/>
          <w:sz w:val="22"/>
          <w:szCs w:val="22"/>
          <w:color w:val="auto"/>
        </w:rPr>
        <w:t>” is defined within the definition of “SOFR Rate”.</w:t>
      </w:r>
    </w:p>
    <w:p>
      <w:pPr>
        <w:spacing w:after="0" w:line="23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mean, with respect to any Person on a particular date, that on such date (i) the fair value of the property of such Person is greater than the total amount of liabilities, including contingent liabilities, of such Person, (ii) the present fair saleable value of the assets of such Person is not less than the amount that will be required to pay the probable liability of such Person on its debts as they become absolute and matured, (iii) such Person does not intend to, and does not believe that it will, incur debts or liabilities beyond its ability to pay as such debts and liabilities mature, (iv) such Person is not engaged in a business or a transaction, and is not about to engage in a business or a transaction, for which the property of such Person would constitute an unreasonably small capital and (v) such Person has not executed this Agreement or any other Loan Document, or made any transfer or incurred any Obligations hereunder or thereunder, with actual intent to hinder, delay or defraud either present or future creditors. The amount of Contingent Liabilities at any time shall be computed as the amount that, in light of all the facts and circumstances existing at such time, would reasonably be expected to become an actual or matured liability.</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Matter</w:t>
      </w:r>
      <w:r>
        <w:rPr>
          <w:rFonts w:ascii="Times New Roman" w:cs="Times New Roman" w:eastAsia="Times New Roman" w:hAnsi="Times New Roman"/>
          <w:sz w:val="22"/>
          <w:szCs w:val="22"/>
          <w:color w:val="auto"/>
        </w:rPr>
        <w:t xml:space="preserve">” means matter(s) identified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Transaction</w:t>
      </w:r>
      <w:r>
        <w:rPr>
          <w:rFonts w:ascii="Times New Roman" w:cs="Times New Roman" w:eastAsia="Times New Roman" w:hAnsi="Times New Roman"/>
          <w:sz w:val="22"/>
          <w:szCs w:val="22"/>
          <w:color w:val="auto"/>
        </w:rPr>
        <w:t xml:space="preserve">” means the Disposition(s) identified on, and in accordance with the terms of, </w:t>
      </w:r>
      <w:r>
        <w:rPr>
          <w:rFonts w:ascii="Times New Roman" w:cs="Times New Roman" w:eastAsia="Times New Roman" w:hAnsi="Times New Roman"/>
          <w:sz w:val="22"/>
          <w:szCs w:val="22"/>
          <w:u w:val="single" w:color="auto"/>
          <w:color w:val="auto"/>
        </w:rPr>
        <w:t>Schedule 8.8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other Person of which more than 50% of the outstanding Voting Securities of such other Person (irrespective of whether at the time Capital Securities of any other class or classes of such other Person shall or might have voting power upon the occurrence of any contingency) is at the time directly or indirectly owned or controlled by such Person, by such Person and one or more other Subsidiaries of such Person, or by one or more other Subsidiaries of such Person. Unless the context otherwise specifically requires, the term “Subsidiary” shall be a reference to a Subsidiary of the Borrower.</w:t>
      </w:r>
    </w:p>
    <w:p>
      <w:pPr>
        <w:spacing w:after="0" w:line="18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Agreement</w:t>
      </w:r>
      <w:r>
        <w:rPr>
          <w:rFonts w:ascii="Times New Roman" w:cs="Times New Roman" w:eastAsia="Times New Roman" w:hAnsi="Times New Roman"/>
          <w:sz w:val="22"/>
          <w:szCs w:val="22"/>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phantom stock or similar plan providing for payments only on account of services provided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60"/>
          </w:cols>
          <w:pgMar w:left="320" w:top="1422"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current or former directors, officers, employees or consultants of the Borrower or the Subsidiaries shall be a Swap Agreement.</w:t>
      </w:r>
    </w:p>
    <w:p>
      <w:pPr>
        <w:spacing w:after="0" w:line="22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Lease</w:t>
      </w:r>
      <w:r>
        <w:rPr>
          <w:rFonts w:ascii="Times New Roman" w:cs="Times New Roman" w:eastAsia="Times New Roman" w:hAnsi="Times New Roman"/>
          <w:sz w:val="22"/>
          <w:szCs w:val="22"/>
          <w:color w:val="auto"/>
        </w:rPr>
        <w:t>” means, as applied to any Person, any lease (including leases that may be terminated by the lessee at any time) of any property (whether real, personal or mixed) (i) that is not a finance lease in accordance with GAAP and (ii) in respect of which the lessee retains or obtains ownership of the property so leased for federal income tax purposes, other than any such lease under which that Person is the lessor.</w:t>
      </w:r>
    </w:p>
    <w:p>
      <w:pPr>
        <w:spacing w:after="0" w:line="176"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income, stamp or other taxes, duties, levies, imposts, charges, assessments, fees, deductions or withholdings, now or hereafter imposed, levied, collected, withheld or assessed by any Governmental Authority, and all interest, penalties or similar liabilities with respect thereto.</w:t>
      </w:r>
    </w:p>
    <w:p>
      <w:pPr>
        <w:spacing w:after="0" w:line="186"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date on which all Obligations (other than contingent indemnification and expense reimbursement obligations for which no claim has been made) have been paid in full in cash and all of the Commitments shall have terminated.</w:t>
      </w:r>
    </w:p>
    <w:p>
      <w:pPr>
        <w:spacing w:after="0" w:line="173"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Period</w:t>
      </w:r>
      <w:r>
        <w:rPr>
          <w:rFonts w:ascii="Times New Roman" w:cs="Times New Roman" w:eastAsia="Times New Roman" w:hAnsi="Times New Roman"/>
          <w:sz w:val="22"/>
          <w:szCs w:val="22"/>
          <w:color w:val="auto"/>
        </w:rPr>
        <w:t>” in effect at any time means the most recent twelve-month period ended on or prior to such time (taken as one accounting period).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the Borrower or any of its Subsidiaries.</w:t>
      </w:r>
    </w:p>
    <w:p>
      <w:pPr>
        <w:spacing w:after="0" w:line="23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Credit Exposure</w:t>
      </w:r>
      <w:r>
        <w:rPr>
          <w:rFonts w:ascii="Times New Roman" w:cs="Times New Roman" w:eastAsia="Times New Roman" w:hAnsi="Times New Roman"/>
          <w:sz w:val="22"/>
          <w:szCs w:val="22"/>
          <w:color w:val="auto"/>
        </w:rPr>
        <w:t>” means, as to any Lender on any date, (i) the aggregate outstanding principal amount of the Loans of such Lender after giving effect to any borrowings and prepayments or repayments of any Loans occurring on such date, plus (ii) the unfunded amount of such Lender’s Commitments that remains outstanding under this Agreement.</w:t>
      </w:r>
    </w:p>
    <w:p>
      <w:pPr>
        <w:spacing w:after="0" w:line="173"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w:t>
      </w:r>
      <w:r>
        <w:rPr>
          <w:rFonts w:ascii="Times New Roman" w:cs="Times New Roman" w:eastAsia="Times New Roman" w:hAnsi="Times New Roman"/>
          <w:sz w:val="22"/>
          <w:szCs w:val="22"/>
          <w:color w:val="auto"/>
        </w:rPr>
        <w:t>” means any trademark, service mark, trade name, logo, symbol, trade dress, domain name, corporate name or other indicator of source or origin, and all applications, registrations and renewals therefor, together with all of the goodwill associated therewith.</w:t>
      </w:r>
    </w:p>
    <w:p>
      <w:pPr>
        <w:spacing w:after="0" w:line="16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Security Agreement</w:t>
      </w:r>
      <w:r>
        <w:rPr>
          <w:rFonts w:ascii="Times New Roman" w:cs="Times New Roman" w:eastAsia="Times New Roman" w:hAnsi="Times New Roman"/>
          <w:sz w:val="22"/>
          <w:szCs w:val="22"/>
          <w:color w:val="auto"/>
        </w:rPr>
        <w:t>” means any Trademark Security Agreement executed and delivered to the Administrative Agent by the Borrower or any of the Guarantors substantially in the form of Exhibit B to any Security Agreement, as amended, supplemented, amended and restated or otherwise modified from time to time.</w:t>
      </w:r>
    </w:p>
    <w:p>
      <w:pPr>
        <w:spacing w:after="0" w:line="173" w:lineRule="exact"/>
        <w:rPr>
          <w:sz w:val="20"/>
          <w:szCs w:val="20"/>
          <w:color w:val="auto"/>
        </w:rPr>
      </w:pPr>
    </w:p>
    <w:p>
      <w:pPr>
        <w:ind w:right="26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from time to time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with respect to any financing statement or by reason of any provisions of law, the perfection or the effect of perfection or non-perfection of the security interests granted to any Secured Party pursuant to the applicable Loan Document is governed by the Uniform Commercial Code as in effect in a jurisdiction of the United States other than New York, then “UCC” means the Uniform Commercial Code as in effect from time to time in such other jurisdiction for purposes of the provisions of each Loan Document and any financing statement relating to such perfection or effect of perfection or non-perfection.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22"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Undrawn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 its fifty states and the District of Columbia.</w:t>
      </w:r>
    </w:p>
    <w:p>
      <w:pPr>
        <w:spacing w:after="0" w:line="220"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Untitled Letters</w:t>
      </w:r>
      <w:r>
        <w:rPr>
          <w:rFonts w:ascii="Times New Roman" w:cs="Times New Roman" w:eastAsia="Times New Roman" w:hAnsi="Times New Roman"/>
          <w:sz w:val="22"/>
          <w:szCs w:val="22"/>
          <w:color w:val="auto"/>
        </w:rPr>
        <w:t>” means correspondence from the FDA that cites violations of Applicable Law that do not meet the threshold for a warning letter.</w:t>
      </w:r>
    </w:p>
    <w:p>
      <w:pPr>
        <w:spacing w:after="0" w:line="144"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means, with respect to any Person, Capital Securities of any class or kind ordinarily having the power to vote for the election of directors, managers or other voting members of the governing body of such Person.</w:t>
      </w:r>
    </w:p>
    <w:p>
      <w:pPr>
        <w:spacing w:after="0" w:line="158"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 Owned Subsidiary</w:t>
      </w:r>
      <w:r>
        <w:rPr>
          <w:rFonts w:ascii="Times New Roman" w:cs="Times New Roman" w:eastAsia="Times New Roman" w:hAnsi="Times New Roman"/>
          <w:sz w:val="22"/>
          <w:szCs w:val="22"/>
          <w:color w:val="auto"/>
        </w:rPr>
        <w:t>” means any direct or indirect Subsidiaries of the Borrower, all of the outstanding Capital Securities of which (other than any director’s qualifying shares or investments by foreign nationals mandated by applicable laws) is owned directly or indirectly by the Borrower.</w:t>
      </w:r>
    </w:p>
    <w:p>
      <w:pPr>
        <w:spacing w:after="0" w:line="140" w:lineRule="exact"/>
        <w:rPr>
          <w:sz w:val="20"/>
          <w:szCs w:val="20"/>
          <w:color w:val="auto"/>
        </w:rPr>
      </w:pPr>
    </w:p>
    <w:p>
      <w:pPr>
        <w:jc w:val="both"/>
        <w:ind w:right="1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Use of Defined Terms</w:t>
      </w:r>
      <w:r>
        <w:rPr>
          <w:rFonts w:ascii="Times New Roman" w:cs="Times New Roman" w:eastAsia="Times New Roman" w:hAnsi="Times New Roman"/>
          <w:sz w:val="22"/>
          <w:szCs w:val="22"/>
          <w:color w:val="auto"/>
        </w:rPr>
        <w:t>. Unless otherwise defined or the context otherwise requires, terms for which meanings are provided in this Agreement shall have such meanings when used in each other Loan Document and the schedules attached hereto.</w:t>
      </w:r>
    </w:p>
    <w:p>
      <w:pPr>
        <w:spacing w:after="0" w:line="153"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Cross-References</w:t>
      </w:r>
      <w:r>
        <w:rPr>
          <w:rFonts w:ascii="Times New Roman" w:cs="Times New Roman" w:eastAsia="Times New Roman" w:hAnsi="Times New Roman"/>
          <w:sz w:val="22"/>
          <w:szCs w:val="22"/>
          <w:color w:val="auto"/>
        </w:rPr>
        <w:t>. Unless otherwise specified, references in a Loan Document to any Article or Section are references to such Article or Section of such Loan Document, and references in any Article, Section or definition to any clause are references to such clause of such Article, Section or definition.</w:t>
      </w:r>
    </w:p>
    <w:p>
      <w:pPr>
        <w:spacing w:after="0" w:line="153"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Accounting and Financial Determinations</w:t>
      </w:r>
      <w:r>
        <w:rPr>
          <w:rFonts w:ascii="Times New Roman" w:cs="Times New Roman" w:eastAsia="Times New Roman" w:hAnsi="Times New Roman"/>
          <w:sz w:val="22"/>
          <w:szCs w:val="22"/>
          <w:color w:val="auto"/>
        </w:rPr>
        <w:t xml:space="preserve">. Unless otherwise specified, all accounting terms used in each Loan Document shall be interpreted, and all accounting determinations and computations thereunder (including under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and the definitions used in such calculations) shall be made,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either the Borrower or the Required Lenders request an amendment to any provision hereof to eliminate the effect of any change occurring after the Closing Date in GAAP or the application thereof on the operation of such provision, regardless of whether any such notice is given before or after such change in GAAP or the application thereof, then such provision shall be interpreted on the basis of GAAP in effect and applied immediately before such change shall have become effective until such request shall have been withdrawn or such provision amended in accordance herewith. Unless otherwise expressly provided, all financial covenants and defined financial terms shall be computed on a consolidated basis for the Borrower and the Subsidiaries, in each case without duplication.</w:t>
      </w:r>
    </w:p>
    <w:p>
      <w:pPr>
        <w:spacing w:after="0" w:line="152"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Other Interpretive Provisions</w:t>
      </w:r>
      <w:r>
        <w:rPr>
          <w:rFonts w:ascii="Times New Roman" w:cs="Times New Roman" w:eastAsia="Times New Roman" w:hAnsi="Times New Roman"/>
          <w:sz w:val="22"/>
          <w:szCs w:val="22"/>
          <w:color w:val="auto"/>
        </w:rPr>
        <w:t>. Except as otherwise specified or limited herein, references to any Person include the permitted successors and assigns of such Person. References “from” or “through” any date mean, unless otherwise specified, “from and including” or “through and including”, respectively. References to any statute or act shall include all related current regulations and all amendments and any successor statutes, acts and regulations. References to any agreement, instrument or document shall include all schedules, exhibits, annexes and other attachments thereto. References to capitalized terms that are not defined herein, but are defined in the UCC, shall have the meanings given them in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1422" w:right="379" w:bottom="1440" w:gutter="0" w:footer="0" w:header="0"/>
        </w:sectPr>
      </w:pPr>
    </w:p>
    <w:bookmarkStart w:id="42" w:name="page43"/>
    <w:bookmarkEnd w:id="42"/>
    <w:p>
      <w:pPr>
        <w:jc w:val="center"/>
        <w:ind w:right="160"/>
        <w:spacing w:after="0"/>
        <w:rPr>
          <w:sz w:val="20"/>
          <w:szCs w:val="20"/>
          <w:color w:val="auto"/>
        </w:rPr>
      </w:pPr>
      <w:r>
        <w:rPr>
          <w:rFonts w:ascii="Times New Roman" w:cs="Times New Roman" w:eastAsia="Times New Roman" w:hAnsi="Times New Roman"/>
          <w:sz w:val="22"/>
          <w:szCs w:val="22"/>
          <w:color w:val="auto"/>
        </w:rPr>
        <w:t>ARTICLE II</w:t>
      </w:r>
    </w:p>
    <w:p>
      <w:pPr>
        <w:jc w:val="center"/>
        <w:ind w:right="-19"/>
        <w:spacing w:after="0"/>
        <w:rPr>
          <w:sz w:val="20"/>
          <w:szCs w:val="20"/>
          <w:color w:val="auto"/>
        </w:rPr>
      </w:pPr>
      <w:r>
        <w:rPr>
          <w:rFonts w:ascii="Times New Roman" w:cs="Times New Roman" w:eastAsia="Times New Roman" w:hAnsi="Times New Roman"/>
          <w:sz w:val="22"/>
          <w:szCs w:val="22"/>
          <w:color w:val="auto"/>
        </w:rPr>
        <w:t>COMMITMENT AND BORROWING PROCEDURES</w:t>
      </w:r>
    </w:p>
    <w:p>
      <w:pPr>
        <w:spacing w:after="0" w:line="155"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21"/>
          <w:szCs w:val="21"/>
          <w:color w:val="auto"/>
        </w:rPr>
        <w:t xml:space="preserve">SECTION 2.1 </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On the terms and subject to the conditions of this Agreement, each Lender severally agrees to make its portion of a term loan (the “</w:t>
      </w:r>
      <w:r>
        <w:rPr>
          <w:rFonts w:ascii="Times New Roman" w:cs="Times New Roman" w:eastAsia="Times New Roman" w:hAnsi="Times New Roman"/>
          <w:sz w:val="21"/>
          <w:szCs w:val="21"/>
          <w:u w:val="single" w:color="auto"/>
          <w:color w:val="auto"/>
        </w:rPr>
        <w:t>Initial Loan</w:t>
      </w:r>
      <w:r>
        <w:rPr>
          <w:rFonts w:ascii="Times New Roman" w:cs="Times New Roman" w:eastAsia="Times New Roman" w:hAnsi="Times New Roman"/>
          <w:sz w:val="21"/>
          <w:szCs w:val="21"/>
          <w:color w:val="auto"/>
        </w:rPr>
        <w:t>”) to the Borrower on the Closing Date in an amount equal to (but not less than) such Lender’s Initial Commitment Amount. On the terms and subject to the conditions of this Agreement, each Lender severally agrees to make its portion of term loans (the “</w:t>
      </w:r>
      <w:r>
        <w:rPr>
          <w:rFonts w:ascii="Times New Roman" w:cs="Times New Roman" w:eastAsia="Times New Roman" w:hAnsi="Times New Roman"/>
          <w:sz w:val="21"/>
          <w:szCs w:val="21"/>
          <w:u w:val="single" w:color="auto"/>
          <w:color w:val="auto"/>
        </w:rPr>
        <w:t>Delayed Draw Loans</w:t>
      </w:r>
      <w:r>
        <w:rPr>
          <w:rFonts w:ascii="Times New Roman" w:cs="Times New Roman" w:eastAsia="Times New Roman" w:hAnsi="Times New Roman"/>
          <w:sz w:val="21"/>
          <w:szCs w:val="21"/>
          <w:color w:val="auto"/>
        </w:rPr>
        <w:t xml:space="preserve">”) to the Borrower (i) on the First Delayed Draw Closing Date in the aggregate amount set forth on the Loan Request delivered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below (which aggregate amount must be in an amount (A) equal to or greater than $25,000,000 and in increments of $5,000,000 thereafter and (B) not to exceed the Delayed Draw Commitment Amount) and (ii) on the Second Delayed Draw Closing Date in the aggregate amount set forth on the Loan Request delivered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below (which aggregate amount must be in an amount (A) equal to or greater than $25,000,000 and in increments of $5,000,000 thereafter and (B) when taken together with any Delayed Draw Loans made on the First Delayed Draw Closing Date, shall not exceed the Delayed Draw Commitment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 w:lineRule="exact"/>
        <w:rPr>
          <w:sz w:val="20"/>
          <w:szCs w:val="20"/>
          <w:color w:val="auto"/>
        </w:rPr>
      </w:pPr>
    </w:p>
    <w:p>
      <w:pPr>
        <w:ind w:right="40" w:firstLine="8"/>
        <w:spacing w:after="0" w:line="214" w:lineRule="auto"/>
        <w:tabs>
          <w:tab w:leader="none" w:pos="25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funding of the Delayed Draw Loans on the First Delayed Draw Closing Date, the Delayed Draw Commitment Amount shall be reduced by the aggregate principal amount of Delayed Draw Loans made on such date and (ii) upon the funding of the Delayed Draw Loans on the Second Delayed Draw Closing Date, the Delayed Draw Commitment Amount shall be reduced to $0. No amounts paid or prepaid with respect to the Loans may be reborrowed.</w:t>
      </w:r>
    </w:p>
    <w:p>
      <w:pPr>
        <w:spacing w:after="0" w:line="154"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Borrowing Procedure</w:t>
      </w:r>
      <w:r>
        <w:rPr>
          <w:rFonts w:ascii="Times New Roman" w:cs="Times New Roman" w:eastAsia="Times New Roman" w:hAnsi="Times New Roman"/>
          <w:sz w:val="22"/>
          <w:szCs w:val="22"/>
          <w:color w:val="auto"/>
        </w:rPr>
        <w:t>. The Borrower may irrevocably request that the Initial Loan be made by delivering to the Administrative Agent a Loan Request on or before 11:00 a.m. on a Business Day at least three Business Days prior to the proposed Closing Date (or such shorter period as the Administrative Agent may agree in its sole discretion). The Borrower may irrevocably request that the Delayed Draw Loans be made by delivering to the Administrative Agent a Loan Request on or before 11:00 a.m. on a Business Day at least 12 Business Days (or such shorter period as the Administrative Agent may agree in its sole discretion) prior to the proposed Delayed Draw Closing Date.</w:t>
      </w:r>
    </w:p>
    <w:p>
      <w:pPr>
        <w:spacing w:after="0" w:line="152"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2.3 </w:t>
      </w:r>
      <w:r>
        <w:rPr>
          <w:rFonts w:ascii="Times New Roman" w:cs="Times New Roman" w:eastAsia="Times New Roman" w:hAnsi="Times New Roman"/>
          <w:sz w:val="21"/>
          <w:szCs w:val="21"/>
          <w:u w:val="single" w:color="auto"/>
          <w:color w:val="auto"/>
        </w:rPr>
        <w:t>Funding</w:t>
      </w:r>
      <w:r>
        <w:rPr>
          <w:rFonts w:ascii="Times New Roman" w:cs="Times New Roman" w:eastAsia="Times New Roman" w:hAnsi="Times New Roman"/>
          <w:sz w:val="21"/>
          <w:szCs w:val="21"/>
          <w:color w:val="auto"/>
        </w:rPr>
        <w:t xml:space="preserve">. After receipt of the Loan Request in accordance with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for the Initial Loan, the Administrative Agent shall promptly notify each Lender of the amount of such Lender’s portion of the Initial Loans. Each Lender shall, on the Closing Date, and subject to the terms and conditions hereof, make the requested proceeds of such Lender’s portion of the Initial Loan available to or as instructed by the Administrative Agent. After receipt of the Loan Request in accordance with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for the Delayed Draw Loans, the Administrative Agent shall promptly notify each Lender of the amount of such Lender’s portion of the Delayed Draw Loans requested pursuant to such Loan Request and subject to the terms and conditions hereof. Each Lender shall, on the applicable Delayed Draw Closing Date, and subject to the terms and conditions hereof, make the requested proceeds of such Lender’s portion of the Delayed Draw Loans requested pursuant to such Loan Request available to or as instructed by the Administrative Agent. Upon satisfaction or waiver of the applicable conditions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in each case, the Administrative Agent shall make all funds so received available to the Borrower by wire transfer to the account the Borrower shall have specified in its applicable Loan Request in an amount equal to (but not less than) the Lenders’ applicable Commitment Amount. It is understood that (i)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(ii) other than as expressly provided herein with respect to a Defaulting Lender, failure by a Lender to perform any of its obligations under any of the Loan Documents shall not release any Person from performance of its obligation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382" w:right="359" w:bottom="1440" w:gutter="0" w:footer="0" w:header="0"/>
        </w:sectPr>
      </w:pPr>
    </w:p>
    <w:bookmarkStart w:id="43" w:name="page44"/>
    <w:bookmarkEnd w:id="43"/>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Reduction of the Commitment Amounts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right="20" w:firstLine="656"/>
        <w:spacing w:after="0" w:line="236" w:lineRule="auto"/>
        <w:tabs>
          <w:tab w:leader="none" w:pos="129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w:t>
      </w:r>
      <w:r>
        <w:rPr>
          <w:rFonts w:ascii="Times New Roman" w:cs="Times New Roman" w:eastAsia="Times New Roman" w:hAnsi="Times New Roman"/>
          <w:sz w:val="21"/>
          <w:szCs w:val="21"/>
          <w:color w:val="auto"/>
        </w:rPr>
        <w:t>. The Initial Commitment Amount shall automatically and permanently be reduced to zero on the Initial Commitment Termination Date (immediately after the making of the Initial Loan on such date). The Delayed Draw Commitment Amount shall automatically and permanently be reduced to zero on the Delayed Draw Commitment Termination Date.</w:t>
      </w:r>
    </w:p>
    <w:p>
      <w:pPr>
        <w:spacing w:after="0" w:line="151" w:lineRule="exact"/>
        <w:rPr>
          <w:rFonts w:ascii="Times New Roman" w:cs="Times New Roman" w:eastAsia="Times New Roman" w:hAnsi="Times New Roman"/>
          <w:sz w:val="21"/>
          <w:szCs w:val="21"/>
          <w:color w:val="auto"/>
        </w:rPr>
      </w:pPr>
    </w:p>
    <w:p>
      <w:pPr>
        <w:jc w:val="both"/>
        <w:ind w:right="60" w:firstLine="656"/>
        <w:spacing w:after="0" w:line="225" w:lineRule="auto"/>
        <w:tabs>
          <w:tab w:leader="none" w:pos="129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may, upon written notice to the Administrative Agent at least five Business Days (or such shorter period as the Administrative Agent may agree in its sole discretion) prior to the date of termination, terminate the unused Delayed Draw Commitment Amount.</w:t>
      </w:r>
    </w:p>
    <w:p>
      <w:pPr>
        <w:spacing w:after="0" w:line="1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III</w:t>
      </w:r>
    </w:p>
    <w:p>
      <w:pPr>
        <w:jc w:val="center"/>
        <w:spacing w:after="0"/>
        <w:rPr>
          <w:sz w:val="20"/>
          <w:szCs w:val="20"/>
          <w:color w:val="auto"/>
        </w:rPr>
      </w:pPr>
      <w:r>
        <w:rPr>
          <w:rFonts w:ascii="Times New Roman" w:cs="Times New Roman" w:eastAsia="Times New Roman" w:hAnsi="Times New Roman"/>
          <w:sz w:val="22"/>
          <w:szCs w:val="22"/>
          <w:color w:val="auto"/>
        </w:rPr>
        <w:t>REPAYMENTS, PREPAYMENTS, INTEREST AND FEES</w:t>
      </w:r>
    </w:p>
    <w:p>
      <w:pPr>
        <w:spacing w:after="0" w:line="155"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Repayments and Prepayments</w:t>
      </w:r>
      <w:r>
        <w:rPr>
          <w:rFonts w:ascii="Times New Roman" w:cs="Times New Roman" w:eastAsia="Times New Roman" w:hAnsi="Times New Roman"/>
          <w:sz w:val="22"/>
          <w:szCs w:val="22"/>
          <w:color w:val="auto"/>
        </w:rPr>
        <w:t xml:space="preserve">. The Borrower agrees that the Loans, and any fees or interest accrued or accruing thereon, shall be repaid and prepaid solely in U.S. dollars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 xml:space="preserve"> pursuant to the terms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Amortization; Repayments and Prepayments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656"/>
        <w:spacing w:after="0" w:line="225" w:lineRule="auto"/>
        <w:tabs>
          <w:tab w:leader="none" w:pos="129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September 30, 2029, and on the last Business Day of each Fiscal Quarter thereafter, the Borrower shall make a scheduled principal payment equal to 2.50% of the unpaid principal amount of the Loans outstanding on the fourth anniversary of the Closing Date, together with any applicable Repayment Premium and Exit Fee.</w:t>
      </w:r>
    </w:p>
    <w:p>
      <w:pPr>
        <w:spacing w:after="0" w:line="152" w:lineRule="exact"/>
        <w:rPr>
          <w:rFonts w:ascii="Times New Roman" w:cs="Times New Roman" w:eastAsia="Times New Roman" w:hAnsi="Times New Roman"/>
          <w:sz w:val="22"/>
          <w:szCs w:val="22"/>
          <w:color w:val="auto"/>
        </w:rPr>
      </w:pPr>
    </w:p>
    <w:p>
      <w:pPr>
        <w:ind w:right="400" w:firstLine="656"/>
        <w:spacing w:after="0" w:line="255" w:lineRule="auto"/>
        <w:tabs>
          <w:tab w:leader="none" w:pos="129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also repay in full the unpaid principal amount of the Loans on the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any time prior to the Maturity Date, payments and prepayments of the Loans shall also be made as set forth below:</w:t>
      </w:r>
    </w:p>
    <w:p>
      <w:pPr>
        <w:spacing w:after="0" w:line="134" w:lineRule="exact"/>
        <w:rPr>
          <w:rFonts w:ascii="Times New Roman" w:cs="Times New Roman" w:eastAsia="Times New Roman" w:hAnsi="Times New Roman"/>
          <w:sz w:val="21"/>
          <w:szCs w:val="21"/>
          <w:color w:val="auto"/>
        </w:rPr>
      </w:pPr>
    </w:p>
    <w:p>
      <w:pPr>
        <w:ind w:right="80" w:firstLine="656"/>
        <w:spacing w:after="0" w:line="236" w:lineRule="auto"/>
        <w:tabs>
          <w:tab w:leader="none" w:pos="129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have the right, with at least three Business Days’ (or such shorter period as the Administrative Agent may agree in its sole discretion) notice to the Administrative Agent, at any time and from time to time to prepay any unpaid principal amount of the Loans, in whole or in part, together with the applicable Repayment Premium and the Exit Fee.</w:t>
      </w:r>
    </w:p>
    <w:p>
      <w:pPr>
        <w:spacing w:after="0" w:line="151" w:lineRule="exact"/>
        <w:rPr>
          <w:rFonts w:ascii="Times New Roman" w:cs="Times New Roman" w:eastAsia="Times New Roman" w:hAnsi="Times New Roman"/>
          <w:sz w:val="21"/>
          <w:szCs w:val="21"/>
          <w:color w:val="auto"/>
        </w:rPr>
      </w:pPr>
    </w:p>
    <w:p>
      <w:pPr>
        <w:ind w:firstLine="656"/>
        <w:spacing w:after="0" w:line="213"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three Business Days of receipt by the Borrower or any Subsidiary of any (i) Net Casualty Proceeds or (ii) Net Asset Sales Proceeds, the Borrower shall notify the Administrative Agent thereof. The Borrower shall within three Business Days of such notice make a mandatory prepayment of the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may elect to waive such prepayment with respect to its Loans upon written notice to the Borrower and the Administrative Agent prior to the required prepayment date) in an amount equal to 100% of such proceeds (or such lesser amount as the Required Lenders may specify on the date of such request), in each case, together with the applicable Repayment Premium and the Exit Fee, to be applied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repay the Loans in full immediately upon any acceleration of the Maturity Date thereof pursuant to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unless, pursuant to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only a portion of the Loans is so accelerated (in which case the portion so accelerated shall be so repaid), in each case together with the applicable Repayment Premium and the Exit Fee.</w:t>
      </w:r>
    </w:p>
    <w:p>
      <w:pPr>
        <w:spacing w:after="0" w:line="152"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Amounts repaid or prepaid in respect of the outstanding principal amount of the Loans pursuant to </w:t>
      </w:r>
      <w:r>
        <w:rPr>
          <w:rFonts w:ascii="Times New Roman" w:cs="Times New Roman" w:eastAsia="Times New Roman" w:hAnsi="Times New Roman"/>
          <w:sz w:val="22"/>
          <w:szCs w:val="22"/>
          <w:u w:val="single" w:color="auto"/>
          <w:color w:val="auto"/>
        </w:rPr>
        <w:t>Sections 3.2(a)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shall be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95" w:right="339" w:bottom="1440" w:gutter="0" w:footer="0" w:header="0"/>
        </w:sectPr>
      </w:pPr>
    </w:p>
    <w:bookmarkStart w:id="44" w:name="page45"/>
    <w:bookmarkEnd w:id="44"/>
    <w:p>
      <w:pPr>
        <w:ind w:right="340"/>
        <w:spacing w:after="0" w:line="236" w:lineRule="auto"/>
        <w:rPr>
          <w:sz w:val="20"/>
          <w:szCs w:val="20"/>
          <w:color w:val="auto"/>
        </w:rPr>
      </w:pPr>
      <w:r>
        <w:rPr>
          <w:rFonts w:ascii="Times New Roman" w:cs="Times New Roman" w:eastAsia="Times New Roman" w:hAnsi="Times New Roman"/>
          <w:sz w:val="22"/>
          <w:szCs w:val="22"/>
          <w:color w:val="auto"/>
        </w:rPr>
        <w:t>first pro rata among the remaining principal payments due in respect of the Initial Loan (if any), then pro rata to the remaining principal payments due in respect of the Delayed Draw Loans (if any).</w:t>
      </w:r>
    </w:p>
    <w:p>
      <w:pPr>
        <w:spacing w:after="0" w:line="150"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Interest Rate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540" w:firstLine="656"/>
        <w:spacing w:after="0" w:line="225" w:lineRule="auto"/>
        <w:tabs>
          <w:tab w:leader="none" w:pos="129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each Interest Period, interest payable in cash by the Borrower shall accrue on the Loans during such Interest Period at a rate per annum equal to the greater of (x) the SOFR Rate for such Interest Period and (y) 2.50%,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in either case, the Applicable Margin.</w:t>
      </w:r>
    </w:p>
    <w:p>
      <w:pPr>
        <w:spacing w:after="0" w:line="152" w:lineRule="exact"/>
        <w:rPr>
          <w:rFonts w:ascii="Times New Roman" w:cs="Times New Roman" w:eastAsia="Times New Roman" w:hAnsi="Times New Roman"/>
          <w:sz w:val="22"/>
          <w:szCs w:val="22"/>
          <w:color w:val="auto"/>
        </w:rPr>
      </w:pPr>
    </w:p>
    <w:p>
      <w:pPr>
        <w:ind w:right="160" w:firstLine="656"/>
        <w:spacing w:after="0" w:line="236" w:lineRule="auto"/>
        <w:tabs>
          <w:tab w:leader="none" w:pos="129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rate shall be recalculated and, if necessary, adjusted for each Interest Period, in each case pursuant to the terms hereof.</w:t>
      </w:r>
    </w:p>
    <w:p>
      <w:pPr>
        <w:spacing w:after="0" w:line="150" w:lineRule="exact"/>
        <w:rPr>
          <w:sz w:val="20"/>
          <w:szCs w:val="20"/>
          <w:color w:val="auto"/>
        </w:rPr>
      </w:pPr>
    </w:p>
    <w:p>
      <w:pPr>
        <w:ind w:right="2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At all times commencing upon the date any Event of Default occurs, and continuing until such Event of Default is no longer continuing, at the election of the Lenders, the Applicable Margin shall be increased by 3.00% per annum (with such increase applied, after election by the Lenders, from and after the date on which such Event of Default initially occurred).</w:t>
      </w:r>
    </w:p>
    <w:p>
      <w:pPr>
        <w:spacing w:after="0" w:line="152"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Payment Dates</w:t>
      </w:r>
      <w:r>
        <w:rPr>
          <w:rFonts w:ascii="Times New Roman" w:cs="Times New Roman" w:eastAsia="Times New Roman" w:hAnsi="Times New Roman"/>
          <w:sz w:val="21"/>
          <w:szCs w:val="21"/>
          <w:color w:val="auto"/>
        </w:rPr>
        <w:t>. Interest accrued on the Loans shall be payable in cash, without duplication:</w:t>
      </w:r>
    </w:p>
    <w:p>
      <w:pPr>
        <w:spacing w:after="0" w:line="179"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Maturity Date therefor;</w:t>
      </w:r>
    </w:p>
    <w:p>
      <w:pPr>
        <w:spacing w:after="0" w:line="179" w:lineRule="exact"/>
        <w:rPr>
          <w:rFonts w:ascii="Times New Roman" w:cs="Times New Roman" w:eastAsia="Times New Roman" w:hAnsi="Times New Roman"/>
          <w:sz w:val="22"/>
          <w:szCs w:val="22"/>
          <w:color w:val="auto"/>
        </w:rPr>
      </w:pPr>
    </w:p>
    <w:p>
      <w:pPr>
        <w:ind w:right="600" w:firstLine="656"/>
        <w:spacing w:after="0" w:line="236"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any payment or prepayment, in whole or in part, of principal outstanding on such Loan on the principal amount so paid or prepaid;</w:t>
      </w:r>
    </w:p>
    <w:p>
      <w:pPr>
        <w:spacing w:after="0" w:line="150" w:lineRule="exact"/>
        <w:rPr>
          <w:rFonts w:ascii="Times New Roman" w:cs="Times New Roman" w:eastAsia="Times New Roman" w:hAnsi="Times New Roman"/>
          <w:sz w:val="22"/>
          <w:szCs w:val="22"/>
          <w:color w:val="auto"/>
        </w:rPr>
      </w:pPr>
    </w:p>
    <w:p>
      <w:pPr>
        <w:ind w:right="80" w:firstLine="656"/>
        <w:spacing w:after="0" w:line="236" w:lineRule="auto"/>
        <w:tabs>
          <w:tab w:leader="none" w:pos="12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last day of each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day is not a Business Day, then such payment shall be made on the next succeeding Business Day; and</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that portion of the Loans that is accelerated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immediately upon such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acceleration.</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Interest accrued on the Loans or other monetary Obligations after the date such amount is due and payable (whether on the Maturity Date, upon acceleration or otherwise) shall be payable upon demand.</w:t>
      </w:r>
    </w:p>
    <w:p>
      <w:pPr>
        <w:spacing w:after="0" w:line="13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The Borrower shall pay to (i) the Administrative Agent such fees in the amounts and at such times specified under the Fee Letter and (ii) the Lenders (or to the Administrative Agent, for the account of the applicable Lenders) such fees in the amounts and at such times specified under the Fee Letter.</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Payments Generally</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all payments of principal, interest, fees and any Repayment Premium on the Loans and all other Obligations payable by the Borrower or any Guarantor under the Loan Documents shall be due, without any presentment thereof, to the Administrative Agent, at the Administrative Agent’s Office. The Administrative Agent shall distribute any such payments received by it for the account of any other Person to the appropriate recipient promptly following receipt. Except as otherwise set forth herein, all repayments and prepayments under the Loan Documents shall be made to the Lenders on a pro rata basis in accordance with their respective Applicable Percentages. If any payment is scheduled to be made on a day that is not a Business Day, then such payment shall be made on the next succeeding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395" w:right="339" w:bottom="1440" w:gutter="0" w:footer="0" w:header="0"/>
        </w:sectPr>
      </w:pPr>
    </w:p>
    <w:bookmarkStart w:id="45" w:name="page46"/>
    <w:bookmarkEnd w:id="45"/>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u w:val="single" w:color="auto"/>
          <w:color w:val="auto"/>
        </w:rPr>
        <w:t>Undrawn Fee</w:t>
      </w:r>
      <w:r>
        <w:rPr>
          <w:rFonts w:ascii="Times New Roman" w:cs="Times New Roman" w:eastAsia="Times New Roman" w:hAnsi="Times New Roman"/>
          <w:sz w:val="22"/>
          <w:szCs w:val="22"/>
          <w:color w:val="auto"/>
        </w:rPr>
        <w:t>. The Borrower shall pay to the Administrative Agent for the ratable account of each Lender, in cash, a fee (the “</w:t>
      </w:r>
      <w:r>
        <w:rPr>
          <w:rFonts w:ascii="Times New Roman" w:cs="Times New Roman" w:eastAsia="Times New Roman" w:hAnsi="Times New Roman"/>
          <w:sz w:val="22"/>
          <w:szCs w:val="22"/>
          <w:u w:val="single" w:color="auto"/>
          <w:color w:val="auto"/>
        </w:rPr>
        <w:t>Undrawn Fee</w:t>
      </w:r>
      <w:r>
        <w:rPr>
          <w:rFonts w:ascii="Times New Roman" w:cs="Times New Roman" w:eastAsia="Times New Roman" w:hAnsi="Times New Roman"/>
          <w:sz w:val="22"/>
          <w:szCs w:val="22"/>
          <w:color w:val="auto"/>
        </w:rPr>
        <w:t xml:space="preserve">”) in an amount equal to (x) 0.50% per annum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prior to the Delayed Draw Commitment Termination Date, the undrawn Delayed Draw Commitment Amount, which Undrawn Fee shall be payable on the last day of each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day is not a Business Day, then such payment shall be made on the next succeeding Business Day) until the Delayed Draw Commitment Termination Date (and if the Delayed Draw Commitment Termination Date occurs on a date that is not the last day of an Interest Period, the amount of the fee for the corresponding Interest Period shall be a prorated amount for the portion of such Interest Period ending on the Delayed Draw Commitment Termination Date and shall be paid on such date). For purposes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the Undrawn Fee shall be calculated on a daily basis. The Undrawn Fee shall be fully earned and nonrefundable under any circumstances and in addition to, and not creditable against, any other fee, cost or expense payable under the Loan Documents.</w:t>
      </w:r>
    </w:p>
    <w:p>
      <w:pPr>
        <w:spacing w:after="0" w:line="1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IV</w:t>
      </w:r>
    </w:p>
    <w:p>
      <w:pPr>
        <w:jc w:val="center"/>
        <w:spacing w:after="0"/>
        <w:rPr>
          <w:sz w:val="20"/>
          <w:szCs w:val="20"/>
          <w:color w:val="auto"/>
        </w:rPr>
      </w:pPr>
      <w:r>
        <w:rPr>
          <w:rFonts w:ascii="Times New Roman" w:cs="Times New Roman" w:eastAsia="Times New Roman" w:hAnsi="Times New Roman"/>
          <w:sz w:val="22"/>
          <w:szCs w:val="22"/>
          <w:color w:val="auto"/>
        </w:rPr>
        <w:t>SOFR RATE AND OTHER PROVISIONS</w:t>
      </w:r>
    </w:p>
    <w:p>
      <w:pPr>
        <w:spacing w:after="0" w:line="155"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Increased Costs, Etc</w:t>
      </w:r>
      <w:r>
        <w:rPr>
          <w:rFonts w:ascii="Times New Roman" w:cs="Times New Roman" w:eastAsia="Times New Roman" w:hAnsi="Times New Roman"/>
          <w:sz w:val="22"/>
          <w:szCs w:val="22"/>
          <w:color w:val="auto"/>
        </w:rPr>
        <w:t xml:space="preserve">. The Borrower agrees to reimburse the Lenders for any increase in the cost to the Lenders of, or any reduction in the amount of any sum receivable by the Lenders in respect of, the Lenders’ Commitments and the making, continuation or maintaining of the Loans hereunder that may arise in connection with any Change in Law, except for such changes with respect to increased capital costs and Taxes which are governed by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respectively. The Administrative Agent shall notify the Borrower in writing of the occurrence of any such event, stating the reasons therefor and setting forth in reasonable detail the additional amount required fully to compensate the Lenders for such increased cost or reduced amount. Such additional amounts shall be payable by the Borrower directly to the Administrative Agent for the accounts of the Lenders within 10 Business Days of its receipt of such notice, and such notice shall, in the absence of manifest error, be conclusive and binding on the Borrower. The Borrower shall not be required to compensate any Lender for any amount claimed under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that was incurred more than 180 days prior to the date that such Lender (or the Administrative Agent on its behalf) notifies the Borrower of the event that gives rise to such claim and that such Lender has determined to request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circumstance giving rise to such increased cost is retroactive, then such 180-day period referred to above shall be extended to include the period of retroactive effect thereof.</w:t>
      </w:r>
    </w:p>
    <w:p>
      <w:pPr>
        <w:spacing w:after="0" w:line="160" w:lineRule="exact"/>
        <w:rPr>
          <w:sz w:val="20"/>
          <w:szCs w:val="20"/>
          <w:color w:val="auto"/>
        </w:rPr>
      </w:pPr>
    </w:p>
    <w:p>
      <w:pPr>
        <w:ind w:right="20" w:firstLine="648"/>
        <w:spacing w:after="0" w:line="219"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Increased Capital Costs</w:t>
      </w:r>
      <w:r>
        <w:rPr>
          <w:rFonts w:ascii="Times New Roman" w:cs="Times New Roman" w:eastAsia="Times New Roman" w:hAnsi="Times New Roman"/>
          <w:sz w:val="21"/>
          <w:szCs w:val="21"/>
          <w:color w:val="auto"/>
        </w:rPr>
        <w:t xml:space="preserve">. If any Change in Law affects or would affect the amount of capital required or expected to be maintained by any Lender or any Person controlling such Lender, and such Lender determines (in good faith but in its sole and absolute discretion) that the rate of return on its or such controlling Person’s capital as a consequence of the Commitments or the Loans made by it hereunder is reduced to a level below that which such Lender or such controlling Person could have achieved but for the occurrence of any such Change in Law, then such Lender shall notify the Borrower in writing of such Lender’s claim for compensation, stating the reasons therefor and setting forth in reasonable detail the additional amount required fully to compensate such Lender for such reduction in rate of return. The Borrower shall within 10 Business Days following receipt of such notice pay directly to the Administrative Agent for the account of such Lender additional amounts sufficient to compensate such Lender or such controlling Person for such reduction in rate of return. A statement of such Lender as to any such additional amount or amounts shall, in the absence of manifest error, be conclusive and binding on the Borrower. In determining such amount, such Lender may use any method of averaging and attribution that it (in its sole and absolute discretion) shall deem applicable. The Borrower shall not be required to compensate any Lender for any amount claimed under this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that was incurred more than 180 days prior to the date that such Lender (or the Administrative Agent on its behalf) notifies the Borrower of the event that gives rise to such claim and that such Lender has determined to request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395" w:right="339" w:bottom="1440" w:gutter="0" w:footer="0" w:header="0"/>
        </w:sectPr>
      </w:pPr>
    </w:p>
    <w:bookmarkStart w:id="46" w:name="page47"/>
    <w:bookmarkEnd w:id="46"/>
    <w:p>
      <w:pPr>
        <w:ind w:right="260"/>
        <w:spacing w:after="0" w:line="236" w:lineRule="auto"/>
        <w:rPr>
          <w:sz w:val="20"/>
          <w:szCs w:val="20"/>
          <w:color w:val="auto"/>
        </w:rPr>
      </w:pPr>
      <w:r>
        <w:rPr>
          <w:rFonts w:ascii="Times New Roman" w:cs="Times New Roman" w:eastAsia="Times New Roman" w:hAnsi="Times New Roman"/>
          <w:sz w:val="22"/>
          <w:szCs w:val="22"/>
          <w:color w:val="auto"/>
        </w:rPr>
        <w:t xml:space="preserve">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circumstance giving rise to such reduction in rate of return is retroactive, then such 180-day period referred to above shall be extended to include the period of retroactive effect thereof.</w:t>
      </w:r>
    </w:p>
    <w:p>
      <w:pPr>
        <w:spacing w:after="0" w:line="150"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Parties covenant and agree as follows with respect to Taxes.</w:t>
      </w:r>
    </w:p>
    <w:p>
      <w:pPr>
        <w:spacing w:after="0" w:line="179" w:lineRule="exact"/>
        <w:rPr>
          <w:sz w:val="20"/>
          <w:szCs w:val="20"/>
          <w:color w:val="auto"/>
        </w:rPr>
      </w:pPr>
    </w:p>
    <w:p>
      <w:pPr>
        <w:ind w:right="40" w:firstLine="656"/>
        <w:spacing w:after="0" w:line="217" w:lineRule="auto"/>
        <w:tabs>
          <w:tab w:leader="none" w:pos="129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applicable Law, any and all payments by the Borrower or any Guarantor under each Loan Document shall be made without deduction or withholding for or on account of, any Taxes. In the event that any Taxes are imposed and required to be deducted or withheld from any payment required to be made by the Borrower or any of the Guarantors to or on behalf of the Lenders under any Loan Document (as determined in the good faith discretion of the applicable withholding agent), then:</w:t>
      </w:r>
    </w:p>
    <w:p>
      <w:pPr>
        <w:spacing w:after="0" w:line="152" w:lineRule="exact"/>
        <w:rPr>
          <w:rFonts w:ascii="Times New Roman" w:cs="Times New Roman" w:eastAsia="Times New Roman" w:hAnsi="Times New Roman"/>
          <w:sz w:val="22"/>
          <w:szCs w:val="22"/>
          <w:color w:val="auto"/>
        </w:rPr>
      </w:pPr>
    </w:p>
    <w:p>
      <w:pPr>
        <w:ind w:left="660" w:right="180" w:firstLine="644"/>
        <w:spacing w:after="0" w:line="220" w:lineRule="auto"/>
        <w:tabs>
          <w:tab w:leader="none" w:pos="19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Taxes are Indemnified Taxes, the amount of such payment shall be increased as may be necessary so that such payment is made, after the withholding or deduction for or on account of such Taxes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in an amount that is not less than the amount provided for in such Loan Document; and</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25" w:lineRule="auto"/>
        <w:tabs>
          <w:tab w:leader="none" w:pos="195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such Guarantor shall withhold or deduct the full amount of such Taxes from such payment (as increased pursuant to clause (a)(i)) and shall timely pay such amount to the Governmental Authority imposing such Taxes in accordance with applicable Law.</w:t>
      </w:r>
    </w:p>
    <w:p>
      <w:pPr>
        <w:spacing w:after="0" w:line="152" w:lineRule="exact"/>
        <w:rPr>
          <w:rFonts w:ascii="Times New Roman" w:cs="Times New Roman" w:eastAsia="Times New Roman" w:hAnsi="Times New Roman"/>
          <w:sz w:val="22"/>
          <w:szCs w:val="22"/>
          <w:color w:val="auto"/>
        </w:rPr>
      </w:pPr>
    </w:p>
    <w:p>
      <w:pPr>
        <w:ind w:right="220" w:firstLine="656"/>
        <w:spacing w:after="0" w:line="225" w:lineRule="auto"/>
        <w:tabs>
          <w:tab w:leader="none" w:pos="129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Borrower shall timely pay all Other Taxes imposed to the relevant Governmental Authority imposing such Other Taxes in accordance with applicable Law or at the option of the Administrative Agent timely reimburse it for the payment of any Other Taxes.</w:t>
      </w:r>
    </w:p>
    <w:p>
      <w:pPr>
        <w:spacing w:after="0" w:line="152" w:lineRule="exact"/>
        <w:rPr>
          <w:rFonts w:ascii="Times New Roman" w:cs="Times New Roman" w:eastAsia="Times New Roman" w:hAnsi="Times New Roman"/>
          <w:sz w:val="22"/>
          <w:szCs w:val="22"/>
          <w:color w:val="auto"/>
        </w:rPr>
      </w:pPr>
    </w:p>
    <w:p>
      <w:pPr>
        <w:ind w:firstLine="656"/>
        <w:spacing w:after="0" w:line="220" w:lineRule="auto"/>
        <w:tabs>
          <w:tab w:leader="none" w:pos="129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promptly as practicable after the payment of any Taxes or Other Taxes required to be paid by the Borrower to a Governmental Authority under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and in any event within 45 days of any such payment being due, the Borrower shall furnish to the Administrative Agent a copy of an official receipt (or a certified copy thereof) evidencing the payment of such Taxes or Other Taxes.</w:t>
      </w:r>
    </w:p>
    <w:p>
      <w:pPr>
        <w:spacing w:after="0" w:line="152" w:lineRule="exact"/>
        <w:rPr>
          <w:rFonts w:ascii="Times New Roman" w:cs="Times New Roman" w:eastAsia="Times New Roman" w:hAnsi="Times New Roman"/>
          <w:sz w:val="22"/>
          <w:szCs w:val="22"/>
          <w:color w:val="auto"/>
        </w:rPr>
      </w:pPr>
    </w:p>
    <w:p>
      <w:pPr>
        <w:ind w:firstLine="656"/>
        <w:spacing w:after="0" w:line="209" w:lineRule="auto"/>
        <w:tabs>
          <w:tab w:leader="none" w:pos="129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shall indemnify the Administrative Agent and each Lender, within 10 days after demand therefor, for any Indemnified Taxes payable or paid by the Administrative Agent or such Lender whether or not such Indemnified Taxes are correctly or legally asserted by the relevant Governmental Authority. Promptly upon having knowledge that any such Indemnified Taxes have been levied, imposed or assessed, and promptly upon notice thereof by such Lender or the Administrative Agent, the Borrower shall pay such Indemnified Taxes directly to the relevant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or the Administrative Agent shall not be under any obligation to provide any such notice to the Borrower). In addition, the Loan Parties shall indemnify the Administrative Agent and each Lender for any incremental Taxes that may become payable by the Administrative Agent or such Lender as a result of any failure of any Loan Party to pay such Taxes when due to the appropriate Governmental Authority or to deliver to the Administrative Agent or such Lender, pursuant to clause (c), documentation evidencing the payment of Taxes. With respect to indemnification for Indemnified Taxes actually paid by the Administrative Agent or a Lender or the indemnification provided in the immediately preceding sentence, such indemnification shall be made within 10 days after the date the Administrative Agent or such Lender makes written demand therefor. The Borrower acknowledges that any payment made to any Lender or to any Governmental Authority in respect of the indemnification obligations of the Borrower provided in this clause (d)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139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constitute a payment in respect of which the provisions of clause (a) and this clause (d) shall apply.</w:t>
      </w:r>
    </w:p>
    <w:p>
      <w:pPr>
        <w:spacing w:after="0" w:line="179" w:lineRule="exact"/>
        <w:rPr>
          <w:sz w:val="20"/>
          <w:szCs w:val="20"/>
          <w:color w:val="auto"/>
        </w:rPr>
      </w:pPr>
    </w:p>
    <w:p>
      <w:pPr>
        <w:ind w:right="100" w:firstLine="656"/>
        <w:spacing w:after="0" w:line="219" w:lineRule="auto"/>
        <w:tabs>
          <w:tab w:leader="none" w:pos="129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Lenders</w:t>
      </w:r>
      <w:r>
        <w:rPr>
          <w:rFonts w:ascii="Times New Roman" w:cs="Times New Roman" w:eastAsia="Times New Roman" w:hAnsi="Times New Roman"/>
          <w:sz w:val="21"/>
          <w:szCs w:val="21"/>
          <w:color w:val="auto"/>
        </w:rPr>
        <w:t xml:space="preserve">. (i) The Administrative Agent and any Lender that is entitled to an exemption from or reduction of withholding Tax with respect to payments made under any Loan Document shall deliver to the Borrower and, in the case of a Lender,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the Administrative Agent and any Lender, if reasonably requested by the Borrower or, in the case of a Lender,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(e)(ii)(1), (e)(ii)(2) and (e)(iv) of this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 shall not be required if in the Administrative Agent’s or a Lender’s reasonable judgment such completion, execution or submission would subject the Administrative Agent or such Lender to any material unreimbursed cost or expense or would materially prejudice the legal or commercial position of the Administrative Agent or such Lender.</w:t>
      </w:r>
    </w:p>
    <w:p>
      <w:pPr>
        <w:spacing w:after="0" w:line="159"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Borrower is a U.S. Borrower,</w:t>
      </w:r>
    </w:p>
    <w:p>
      <w:pPr>
        <w:spacing w:after="0" w:line="179" w:lineRule="exact"/>
        <w:rPr>
          <w:rFonts w:ascii="Times New Roman" w:cs="Times New Roman" w:eastAsia="Times New Roman" w:hAnsi="Times New Roman"/>
          <w:sz w:val="22"/>
          <w:szCs w:val="22"/>
          <w:color w:val="auto"/>
        </w:rPr>
      </w:pPr>
    </w:p>
    <w:p>
      <w:pPr>
        <w:ind w:left="1300" w:right="200" w:firstLine="652"/>
        <w:spacing w:after="0" w:line="220" w:lineRule="auto"/>
        <w:tabs>
          <w:tab w:leader="none" w:pos="2591"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52" w:lineRule="exact"/>
        <w:rPr>
          <w:rFonts w:ascii="Times New Roman" w:cs="Times New Roman" w:eastAsia="Times New Roman" w:hAnsi="Times New Roman"/>
          <w:sz w:val="22"/>
          <w:szCs w:val="22"/>
          <w:color w:val="auto"/>
        </w:rPr>
      </w:pPr>
    </w:p>
    <w:p>
      <w:pPr>
        <w:ind w:left="1300" w:right="40" w:firstLine="652"/>
        <w:spacing w:after="0" w:line="220" w:lineRule="auto"/>
        <w:tabs>
          <w:tab w:leader="none" w:pos="2591"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152" w:lineRule="exact"/>
        <w:rPr>
          <w:rFonts w:ascii="Times New Roman" w:cs="Times New Roman" w:eastAsia="Times New Roman" w:hAnsi="Times New Roman"/>
          <w:sz w:val="22"/>
          <w:szCs w:val="22"/>
          <w:color w:val="auto"/>
        </w:rPr>
      </w:pPr>
    </w:p>
    <w:p>
      <w:pPr>
        <w:ind w:left="1960" w:firstLine="640"/>
        <w:spacing w:after="0" w:line="213" w:lineRule="auto"/>
        <w:tabs>
          <w:tab w:leader="none" w:pos="3245" w:val="left"/>
        </w:tabs>
        <w:numPr>
          <w:ilvl w:val="3"/>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“other income” or any other article of such tax treaty;</w:t>
      </w:r>
    </w:p>
    <w:p>
      <w:pPr>
        <w:spacing w:after="0" w:line="15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3"/>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179" w:lineRule="exact"/>
        <w:rPr>
          <w:rFonts w:ascii="Times New Roman" w:cs="Times New Roman" w:eastAsia="Times New Roman" w:hAnsi="Times New Roman"/>
          <w:sz w:val="22"/>
          <w:szCs w:val="22"/>
          <w:color w:val="auto"/>
        </w:rPr>
      </w:pPr>
    </w:p>
    <w:p>
      <w:pPr>
        <w:ind w:left="1960" w:right="120" w:firstLine="640"/>
        <w:spacing w:after="0" w:line="236" w:lineRule="auto"/>
        <w:tabs>
          <w:tab w:leader="none" w:pos="3247" w:val="left"/>
        </w:tabs>
        <w:numPr>
          <w:ilvl w:val="3"/>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395" w:right="339" w:bottom="1440" w:gutter="0" w:footer="0" w:header="0"/>
        </w:sectPr>
      </w:pPr>
    </w:p>
    <w:bookmarkStart w:id="48" w:name="page49"/>
    <w:bookmarkEnd w:id="48"/>
    <w:p>
      <w:pPr>
        <w:ind w:left="1940" w:right="160"/>
        <w:spacing w:after="0" w:line="220" w:lineRule="auto"/>
        <w:rPr>
          <w:sz w:val="20"/>
          <w:szCs w:val="20"/>
          <w:color w:val="auto"/>
        </w:rPr>
      </w:pPr>
      <w:r>
        <w:rPr>
          <w:rFonts w:ascii="Times New Roman" w:cs="Times New Roman" w:eastAsia="Times New Roman" w:hAnsi="Times New Roman"/>
          <w:sz w:val="21"/>
          <w:szCs w:val="21"/>
          <w:color w:val="auto"/>
        </w:rPr>
        <w:t>certificate substantially in the form of Exhibit H-1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“U.S. Tax Compliance Certificate”) and</w:t>
      </w:r>
    </w:p>
    <w:p>
      <w:pPr>
        <w:spacing w:after="0" w:line="3" w:lineRule="exact"/>
        <w:rPr>
          <w:sz w:val="20"/>
          <w:szCs w:val="20"/>
          <w:color w:val="auto"/>
        </w:rPr>
      </w:pPr>
    </w:p>
    <w:p>
      <w:pPr>
        <w:ind w:left="2240" w:hanging="308"/>
        <w:spacing w:after="0"/>
        <w:tabs>
          <w:tab w:leader="none" w:pos="224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W-8BEN or IRS Form W-8BEN-E; or</w:t>
      </w:r>
    </w:p>
    <w:p>
      <w:pPr>
        <w:spacing w:after="0" w:line="155" w:lineRule="exact"/>
        <w:rPr>
          <w:rFonts w:ascii="Times New Roman" w:cs="Times New Roman" w:eastAsia="Times New Roman" w:hAnsi="Times New Roman"/>
          <w:sz w:val="22"/>
          <w:szCs w:val="22"/>
          <w:color w:val="auto"/>
        </w:rPr>
      </w:pPr>
    </w:p>
    <w:p>
      <w:pPr>
        <w:ind w:left="1940" w:right="80" w:firstLine="640"/>
        <w:spacing w:after="0" w:line="213" w:lineRule="auto"/>
        <w:tabs>
          <w:tab w:leader="none" w:pos="3225" w:val="left"/>
        </w:tabs>
        <w:numPr>
          <w:ilvl w:val="3"/>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executed copies of IRS Form W-8IMY, accompanied by IRS Form W-8ECI, IRS Form W-8BEN, IRS Form W 8BEN-E, a U.S. Tax Compliance Certificate substantially in the form of Exhibit H-2 or Exhibit H-3,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w:t>
      </w:r>
    </w:p>
    <w:p>
      <w:pPr>
        <w:spacing w:after="0" w:line="156" w:lineRule="exact"/>
        <w:rPr>
          <w:rFonts w:ascii="Times New Roman" w:cs="Times New Roman" w:eastAsia="Times New Roman" w:hAnsi="Times New Roman"/>
          <w:sz w:val="22"/>
          <w:szCs w:val="22"/>
          <w:color w:val="auto"/>
        </w:rPr>
      </w:pPr>
    </w:p>
    <w:p>
      <w:pPr>
        <w:ind w:left="640" w:right="40" w:firstLine="644"/>
        <w:spacing w:after="0" w:line="213" w:lineRule="auto"/>
        <w:tabs>
          <w:tab w:leader="none" w:pos="193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6" w:lineRule="exact"/>
        <w:rPr>
          <w:rFonts w:ascii="Times New Roman" w:cs="Times New Roman" w:eastAsia="Times New Roman" w:hAnsi="Times New Roman"/>
          <w:sz w:val="22"/>
          <w:szCs w:val="22"/>
          <w:color w:val="auto"/>
        </w:rPr>
      </w:pPr>
    </w:p>
    <w:p>
      <w:pPr>
        <w:ind w:left="640" w:firstLine="644"/>
        <w:spacing w:after="0" w:line="211" w:lineRule="auto"/>
        <w:tabs>
          <w:tab w:leader="none" w:pos="193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78" w:lineRule="exact"/>
        <w:rPr>
          <w:rFonts w:ascii="Times New Roman" w:cs="Times New Roman" w:eastAsia="Times New Roman" w:hAnsi="Times New Roman"/>
          <w:sz w:val="22"/>
          <w:szCs w:val="22"/>
          <w:color w:val="auto"/>
        </w:rPr>
      </w:pPr>
    </w:p>
    <w:p>
      <w:pPr>
        <w:ind w:left="-20" w:right="40" w:firstLine="656"/>
        <w:spacing w:after="0" w:line="257" w:lineRule="auto"/>
        <w:tabs>
          <w:tab w:leader="none" w:pos="126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59" w:lineRule="exact"/>
        <w:rPr>
          <w:sz w:val="20"/>
          <w:szCs w:val="20"/>
          <w:color w:val="auto"/>
        </w:rPr>
      </w:pPr>
    </w:p>
    <w:p>
      <w:pPr>
        <w:ind w:left="-20" w:right="160" w:firstLine="656"/>
        <w:spacing w:after="0" w:line="225" w:lineRule="auto"/>
        <w:tabs>
          <w:tab w:leader="none" w:pos="127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it shall pay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40" w:top="1395" w:right="339" w:bottom="1440" w:gutter="0" w:footer="0" w:header="0"/>
        </w:sectPr>
      </w:pPr>
    </w:p>
    <w:bookmarkStart w:id="49" w:name="page50"/>
    <w:bookmarkEnd w:id="49"/>
    <w:p>
      <w:pPr>
        <w:spacing w:after="0" w:line="209" w:lineRule="auto"/>
        <w:rPr>
          <w:sz w:val="20"/>
          <w:szCs w:val="20"/>
          <w:color w:val="auto"/>
        </w:rPr>
      </w:pPr>
      <w:r>
        <w:rPr>
          <w:rFonts w:ascii="Times New Roman" w:cs="Times New Roman" w:eastAsia="Times New Roman" w:hAnsi="Times New Roman"/>
          <w:sz w:val="22"/>
          <w:szCs w:val="22"/>
          <w:color w:val="auto"/>
        </w:rPr>
        <w:t xml:space="preserve">indemnifying party an amount equal to such refund (but only to the extent of indemnity payments made under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with respect to the Taxes giving rise to such refund), net of all out-of-pocket expenses (including Taxes) of such indemnified party related to obtaining such refund and without interest (other than any interest paid by the relevant Governmental Authority with respect to such refund). Such indemnifying party, upon the request of such indemnified party, shall repay to such indemnified party the amount paid over pursuant to this paragraph (f) (plus any penalties, interest or other charges imposed by the relevant Governmental Authority) in the event that such 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0" w:lineRule="exact"/>
        <w:rPr>
          <w:sz w:val="20"/>
          <w:szCs w:val="20"/>
          <w:color w:val="auto"/>
        </w:rPr>
      </w:pPr>
    </w:p>
    <w:p>
      <w:pPr>
        <w:ind w:right="180" w:firstLine="656"/>
        <w:spacing w:after="0" w:line="225" w:lineRule="auto"/>
        <w:tabs>
          <w:tab w:leader="none" w:pos="12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under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52" w:lineRule="exact"/>
        <w:rPr>
          <w:rFonts w:ascii="Times New Roman" w:cs="Times New Roman" w:eastAsia="Times New Roman" w:hAnsi="Times New Roman"/>
          <w:sz w:val="22"/>
          <w:szCs w:val="22"/>
          <w:color w:val="auto"/>
        </w:rPr>
      </w:pPr>
    </w:p>
    <w:p>
      <w:pPr>
        <w:ind w:right="120" w:firstLine="656"/>
        <w:spacing w:after="0" w:line="225" w:lineRule="auto"/>
        <w:tabs>
          <w:tab w:leader="none" w:pos="12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are deemed to be made with original issue discount for U.S. federal income tax purposes. Requests for information regarding the issue price, amount of original issue discount, issue date, and yield to maturity on the Loans shall be directed to the Borrower care of Ben Wheeler at 322 N 2200 W, Salt Lake City, UT 84116.</w:t>
      </w:r>
    </w:p>
    <w:p>
      <w:pPr>
        <w:spacing w:after="0" w:line="153"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4.4</w:t>
      </w:r>
      <w:r>
        <w:rPr>
          <w:sz w:val="20"/>
          <w:szCs w:val="20"/>
          <w:color w:val="auto"/>
        </w:rPr>
        <w:tab/>
      </w:r>
      <w:r>
        <w:rPr>
          <w:rFonts w:ascii="Times New Roman" w:cs="Times New Roman" w:eastAsia="Times New Roman" w:hAnsi="Times New Roman"/>
          <w:sz w:val="21"/>
          <w:szCs w:val="21"/>
          <w:u w:val="single" w:color="auto"/>
          <w:color w:val="auto"/>
        </w:rPr>
        <w:t>Payments, Computations; Proceeds of Collateral, Etc</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140" w:firstLine="656"/>
        <w:spacing w:after="0" w:line="211" w:lineRule="auto"/>
        <w:tabs>
          <w:tab w:leader="none" w:pos="12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in a Loan Document, all payments by the Borrower pursuant to each Loan Document shall be made without setoff, deduction or counterclaim not later than 12:00 pm on the date due in same day or immediately available funds, marked for attention as indicated, or in such other manner or to such other account as the Administrative Agent may from time to time direct in writing. Funds received after 12:00 p.m. on any day shall be deemed to have been received by the Administrative Agent on the next succeeding Business Day and any applicable interest or fee shall continue to accrue. All interest and fees shall be computed on the basis of the actual number of days occurring during the period for which such interest or fee is payable over a year comprised of 360 days. Payments due on other than a Business Day shall be made on the next succeeding Business Day and such extension of time shall be included in computing interest and fees in connection with that payment.</w:t>
      </w:r>
    </w:p>
    <w:p>
      <w:pPr>
        <w:spacing w:after="0" w:line="158" w:lineRule="exact"/>
        <w:rPr>
          <w:rFonts w:ascii="Times New Roman" w:cs="Times New Roman" w:eastAsia="Times New Roman" w:hAnsi="Times New Roman"/>
          <w:sz w:val="22"/>
          <w:szCs w:val="22"/>
          <w:color w:val="auto"/>
        </w:rPr>
      </w:pPr>
    </w:p>
    <w:p>
      <w:pPr>
        <w:jc w:val="both"/>
        <w:ind w:right="620" w:firstLine="656"/>
        <w:spacing w:after="0" w:line="225"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amounts received as a result of the exercise of remedies under the Loan Documents (including from the proceeds of collateral securing the Obligations) or under applicable Law shall be applied upon receipt to the Obligations in accordance with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right="220" w:firstLine="656"/>
        <w:spacing w:after="0" w:line="231" w:lineRule="auto"/>
        <w:tabs>
          <w:tab w:leader="none" w:pos="129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the Lenders hereunder to make Loans and to make payments pursuant to </w:t>
      </w:r>
      <w:r>
        <w:rPr>
          <w:rFonts w:ascii="Times New Roman" w:cs="Times New Roman" w:eastAsia="Times New Roman" w:hAnsi="Times New Roman"/>
          <w:sz w:val="21"/>
          <w:szCs w:val="21"/>
          <w:u w:val="single" w:color="auto"/>
          <w:color w:val="auto"/>
        </w:rPr>
        <w:t>Section 10.4(c)</w:t>
      </w:r>
      <w:r>
        <w:rPr>
          <w:rFonts w:ascii="Times New Roman" w:cs="Times New Roman" w:eastAsia="Times New Roman" w:hAnsi="Times New Roman"/>
          <w:sz w:val="21"/>
          <w:szCs w:val="21"/>
          <w:color w:val="auto"/>
        </w:rPr>
        <w:t xml:space="preserve"> are several and not joint. The failure of any Lender to make any Loan or to make any payment under </w:t>
      </w:r>
      <w:r>
        <w:rPr>
          <w:rFonts w:ascii="Times New Roman" w:cs="Times New Roman" w:eastAsia="Times New Roman" w:hAnsi="Times New Roman"/>
          <w:sz w:val="21"/>
          <w:szCs w:val="21"/>
          <w:u w:val="single" w:color="auto"/>
          <w:color w:val="auto"/>
        </w:rPr>
        <w:t>Section 10.4(c)</w:t>
      </w:r>
      <w:r>
        <w:rPr>
          <w:rFonts w:ascii="Times New Roman" w:cs="Times New Roman" w:eastAsia="Times New Roman" w:hAnsi="Times New Roman"/>
          <w:sz w:val="21"/>
          <w:szCs w:val="21"/>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cs="Times New Roman" w:eastAsia="Times New Roman" w:hAnsi="Times New Roman"/>
          <w:sz w:val="21"/>
          <w:szCs w:val="21"/>
          <w:u w:val="single" w:color="auto"/>
          <w:color w:val="auto"/>
        </w:rPr>
        <w:t>Section 10.4(c)</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395" w:right="339" w:bottom="1440" w:gutter="0" w:footer="0" w:header="0"/>
        </w:sectPr>
      </w:pPr>
    </w:p>
    <w:bookmarkStart w:id="50" w:name="page51"/>
    <w:bookmarkEnd w:id="50"/>
    <w:p>
      <w:pPr>
        <w:jc w:val="both"/>
        <w:ind w:right="100" w:firstLine="656"/>
        <w:spacing w:after="0" w:line="225"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2" w:lineRule="exact"/>
        <w:rPr>
          <w:rFonts w:ascii="Times New Roman" w:cs="Times New Roman" w:eastAsia="Times New Roman" w:hAnsi="Times New Roman"/>
          <w:sz w:val="22"/>
          <w:szCs w:val="22"/>
          <w:color w:val="auto"/>
        </w:rPr>
      </w:pPr>
    </w:p>
    <w:p>
      <w:pPr>
        <w:ind w:right="80" w:firstLine="656"/>
        <w:spacing w:after="0" w:line="211" w:lineRule="auto"/>
        <w:tabs>
          <w:tab w:leader="none" w:pos="12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shall, by exercising any right of setoff or otherwise, obtain payment in respect of any principal of or interest on its portion of any of the Loans, any Exit Fee or any Repayment Premium in connection therewith resulting in such Lender’s receiving payment of a proportion of the aggregate amount of the Loans and accrued interest thereon and any Exit Fee or Repayment Premium in connection therewith greater than its Applicable Percentage thereof as provided herein, then such Lender shall (x) notify the Administrative Agent of such fact and (y) purchase (for cash at face value) participations in the portions of the Loans of the other Lenders, or make such other adjustments as shall be equitable, so that the benefit of all such payments shall be shared by the Lenders ratably in accordance with the aggregate amount of principal of, accrued interest on and any Exit Fee or Repayment Premium in connection with their respective portions of the Loans and other amounts owing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8" w:lineRule="exact"/>
        <w:rPr>
          <w:rFonts w:ascii="Times New Roman" w:cs="Times New Roman" w:eastAsia="Times New Roman" w:hAnsi="Times New Roman"/>
          <w:sz w:val="22"/>
          <w:szCs w:val="22"/>
          <w:color w:val="auto"/>
        </w:rPr>
      </w:pPr>
    </w:p>
    <w:p>
      <w:pPr>
        <w:ind w:left="660" w:right="280" w:firstLine="644"/>
        <w:spacing w:after="0" w:line="225" w:lineRule="auto"/>
        <w:tabs>
          <w:tab w:leader="none" w:pos="19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52" w:lineRule="exact"/>
        <w:rPr>
          <w:rFonts w:ascii="Times New Roman" w:cs="Times New Roman" w:eastAsia="Times New Roman" w:hAnsi="Times New Roman"/>
          <w:sz w:val="22"/>
          <w:szCs w:val="22"/>
          <w:color w:val="auto"/>
        </w:rPr>
      </w:pPr>
    </w:p>
    <w:p>
      <w:pPr>
        <w:ind w:left="660" w:right="80" w:firstLine="644"/>
        <w:spacing w:after="0" w:line="217" w:lineRule="auto"/>
        <w:tabs>
          <w:tab w:leader="none" w:pos="195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4.4(e)</w:t>
      </w:r>
      <w:r>
        <w:rPr>
          <w:rFonts w:ascii="Times New Roman" w:cs="Times New Roman" w:eastAsia="Times New Roman" w:hAnsi="Times New Roman"/>
          <w:sz w:val="22"/>
          <w:szCs w:val="22"/>
          <w:color w:val="auto"/>
        </w:rPr>
        <w:t xml:space="preserve"> shall not be construed to apply to (x) any payment made by or on behalf of the Borrower pursuant to and in accordance with the express terms of this Agreement or (y) any payment obtained by a Lender as consideration for the assignment of or sale of a participation in any of its portion of the Loans to any assignee or participant, other than an assignment to the Borrower or any Guarantor (as to which the provisions of this </w:t>
      </w:r>
      <w:r>
        <w:rPr>
          <w:rFonts w:ascii="Times New Roman" w:cs="Times New Roman" w:eastAsia="Times New Roman" w:hAnsi="Times New Roman"/>
          <w:sz w:val="22"/>
          <w:szCs w:val="22"/>
          <w:u w:val="single" w:color="auto"/>
          <w:color w:val="auto"/>
        </w:rPr>
        <w:t>Section 4.4(e)</w:t>
      </w:r>
      <w:r>
        <w:rPr>
          <w:rFonts w:ascii="Times New Roman" w:cs="Times New Roman" w:eastAsia="Times New Roman" w:hAnsi="Times New Roman"/>
          <w:sz w:val="22"/>
          <w:szCs w:val="22"/>
          <w:color w:val="auto"/>
        </w:rPr>
        <w:t xml:space="preserve"> shall apply).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Borrower, on behalf of itself and the Guarantors, hereby consents to the foregoing and agrees, to the extent it may effectively do so under applicable Law, that any Lender acquiring a participation pursuant to the foregoing arrangements may exercise against the Borrower or such Guarantor rights of setoff and counterclaim with respect to such participation as fully as if such Lender were a direct creditor of the Borrower or such Guarantor in the amount of such participation.</w:t>
      </w:r>
    </w:p>
    <w:p>
      <w:pPr>
        <w:spacing w:after="0" w:line="149"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xml:space="preserve">. Each Lender shall, upon the occurrence and during the continuance of any Event of Default, have the right to appropriate and apply to the payment of the Obligations owing to it (whether or not then due), and (as security for such Obligations) the Borrower hereby grants to each Lender a continuing security interest in, any and all balances, credits, deposits, accounts or moneys of the Borrower then or thereafter maintained with or on behalf of such Lender. Each Lender agrees promptly to notify the Borrower after any such appropriation and application made by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 The rights of each Lender under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are in addition to other rights and remedies (including other rights of setoff under applicable law or otherwise) which such Lender may have.</w:t>
      </w:r>
    </w:p>
    <w:p>
      <w:pPr>
        <w:spacing w:after="0" w:line="156"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1"/>
          <w:szCs w:val="21"/>
          <w:u w:val="single" w:color="auto"/>
          <w:color w:val="auto"/>
        </w:rPr>
        <w:t>SOFR Rate Not Determinable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100" w:firstLine="656"/>
        <w:spacing w:after="0" w:line="220" w:lineRule="auto"/>
        <w:tabs>
          <w:tab w:leader="none" w:pos="12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commencement of any Interest Period for a Loan, the Administrative Agent determines (which determination shall be conclusive absent manifest error), or the Required Lenders notify the Administrative Agent that they have determined, that adequate and reasonable means do not exist for ascertaining the SOFR Rate for such Interest Period, then the Administrative Agent shall give notice thereof to the Borrower as promptly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95" w:right="339" w:bottom="1440" w:gutter="0" w:footer="0" w:header="0"/>
        </w:sectPr>
      </w:pPr>
    </w:p>
    <w:bookmarkStart w:id="51" w:name="page52"/>
    <w:bookmarkEnd w:id="51"/>
    <w:p>
      <w:pPr>
        <w:spacing w:after="0" w:line="217" w:lineRule="auto"/>
        <w:rPr>
          <w:sz w:val="20"/>
          <w:szCs w:val="20"/>
          <w:color w:val="auto"/>
        </w:rPr>
      </w:pPr>
      <w:r>
        <w:rPr>
          <w:rFonts w:ascii="Times New Roman" w:cs="Times New Roman" w:eastAsia="Times New Roman" w:hAnsi="Times New Roman"/>
          <w:sz w:val="22"/>
          <w:szCs w:val="22"/>
          <w:color w:val="auto"/>
        </w:rPr>
        <w:t xml:space="preserve">practicable and, until the Administrative Agent notifies (if applicable, upon the instruction of the Required Lenders) the Borrower that the circumstances giving rise to such notice no longer exist, (i) the Loans shall bear interest calculated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xml:space="preserve"> but using the Prime Rate instead of the SOFR Rate and (ii) the continuation of any outstanding Loan or the extension of a new Loan hereunder shall be made with interest calculated pursuant to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but using the Prime Rate instead of the SOFR Rate.</w:t>
      </w:r>
    </w:p>
    <w:p>
      <w:pPr>
        <w:spacing w:after="0" w:line="152" w:lineRule="exact"/>
        <w:rPr>
          <w:sz w:val="20"/>
          <w:szCs w:val="20"/>
          <w:color w:val="auto"/>
        </w:rPr>
      </w:pPr>
    </w:p>
    <w:p>
      <w:pPr>
        <w:ind w:right="160" w:firstLine="656"/>
        <w:spacing w:after="0" w:line="212"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the Administrative Agent determines (which determination shall be conclusive absent manifest error), or the Required Lenders notify the Administrative Agent that they have determined, that (i) the circumstances set forth in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 xml:space="preserve"> have arisen and such circumstances are unlikely to be temporary or (ii) the circumstances set forth in</w:t>
      </w:r>
    </w:p>
    <w:p>
      <w:pPr>
        <w:spacing w:after="0" w:line="1" w:lineRule="exact"/>
        <w:rPr>
          <w:rFonts w:ascii="Times New Roman" w:cs="Times New Roman" w:eastAsia="Times New Roman" w:hAnsi="Times New Roman"/>
          <w:sz w:val="22"/>
          <w:szCs w:val="22"/>
          <w:color w:val="auto"/>
        </w:rPr>
      </w:pPr>
    </w:p>
    <w:p>
      <w:pPr>
        <w:ind w:right="40"/>
        <w:spacing w:after="0" w:line="2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 xml:space="preserve"> have not arisen but the supervisor for the administrator of the SOFR Rate has made a public statement identifying a specific date after which the SOFR Rate shall no longer be used for determining interest rates for loans, then the Administrative Agent (at the direction of the Required Lenders) shall (in consultation with the Borrower) establish an alternate rate of interest to that based on the SOFR Rate that gives due consideration to the then-prevailing market convention for determining a rate of interest for loans in the United States at such time, and the Required Lenders and the Borrower shall enter into an amendment to this Agreement to reflect such alternate rate of interest and such other related changes as the Borrower and the Required Lenders may determine to be appropriate. Until an alternate rate of interest shall be determined in accordance with this </w:t>
      </w:r>
      <w:r>
        <w:rPr>
          <w:rFonts w:ascii="Times New Roman" w:cs="Times New Roman" w:eastAsia="Times New Roman" w:hAnsi="Times New Roman"/>
          <w:sz w:val="22"/>
          <w:szCs w:val="22"/>
          <w:u w:val="single" w:color="auto"/>
          <w:color w:val="auto"/>
        </w:rPr>
        <w:t>Section 4.6(b)</w:t>
      </w:r>
      <w:r>
        <w:rPr>
          <w:rFonts w:ascii="Times New Roman" w:cs="Times New Roman" w:eastAsia="Times New Roman" w:hAnsi="Times New Roman"/>
          <w:sz w:val="22"/>
          <w:szCs w:val="22"/>
          <w:color w:val="auto"/>
        </w:rPr>
        <w:t xml:space="preserve"> (but, in the case of the circumstances described in clause (ii) of the first sentence of this </w:t>
      </w:r>
      <w:r>
        <w:rPr>
          <w:rFonts w:ascii="Times New Roman" w:cs="Times New Roman" w:eastAsia="Times New Roman" w:hAnsi="Times New Roman"/>
          <w:sz w:val="22"/>
          <w:szCs w:val="22"/>
          <w:u w:val="single" w:color="auto"/>
          <w:color w:val="auto"/>
        </w:rPr>
        <w:t>Section 4.6(b)</w:t>
      </w:r>
      <w:r>
        <w:rPr>
          <w:rFonts w:ascii="Times New Roman" w:cs="Times New Roman" w:eastAsia="Times New Roman" w:hAnsi="Times New Roman"/>
          <w:sz w:val="22"/>
          <w:szCs w:val="22"/>
          <w:color w:val="auto"/>
        </w:rPr>
        <w:t xml:space="preserve">, only to the extent the SOFR Rate for such Interest Period is not available or published at such time on a current basis),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 xml:space="preserve"> shall be applicable.</w:t>
      </w:r>
    </w:p>
    <w:p>
      <w:pPr>
        <w:spacing w:after="0" w:line="160"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4.7</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300" w:firstLine="656"/>
        <w:spacing w:after="0" w:line="225" w:lineRule="auto"/>
        <w:tabs>
          <w:tab w:leader="none" w:pos="129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2" w:lineRule="exact"/>
        <w:rPr>
          <w:rFonts w:ascii="Times New Roman" w:cs="Times New Roman" w:eastAsia="Times New Roman" w:hAnsi="Times New Roman"/>
          <w:sz w:val="22"/>
          <w:szCs w:val="22"/>
          <w:color w:val="auto"/>
        </w:rPr>
      </w:pPr>
    </w:p>
    <w:p>
      <w:pPr>
        <w:ind w:left="660" w:right="140" w:firstLine="644"/>
        <w:spacing w:after="0" w:line="225" w:lineRule="auto"/>
        <w:tabs>
          <w:tab w:leader="none" w:pos="194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20" w:lineRule="auto"/>
        <w:tabs>
          <w:tab w:leader="none" w:pos="195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Waterfall</w:t>
      </w:r>
      <w:r>
        <w:rPr>
          <w:rFonts w:ascii="Times New Roman" w:cs="Times New Roman" w:eastAsia="Times New Roman" w:hAnsi="Times New Roman"/>
          <w:sz w:val="21"/>
          <w:szCs w:val="21"/>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or otherwise) or received by the Administrative Agent from a Defaulting Lender pursuant to </w:t>
      </w:r>
      <w:r>
        <w:rPr>
          <w:rFonts w:ascii="Times New Roman" w:cs="Times New Roman" w:eastAsia="Times New Roman" w:hAnsi="Times New Roman"/>
          <w:sz w:val="21"/>
          <w:szCs w:val="21"/>
          <w:u w:val="single" w:color="auto"/>
          <w:color w:val="auto"/>
        </w:rPr>
        <w:t>Section 10.17</w:t>
      </w:r>
      <w:r>
        <w:rPr>
          <w:rFonts w:ascii="Times New Roman" w:cs="Times New Roman" w:eastAsia="Times New Roman" w:hAnsi="Times New Roman"/>
          <w:sz w:val="21"/>
          <w:szCs w:val="21"/>
          <w:color w:val="auto"/>
        </w:rPr>
        <w:t xml:space="preserve"> shall be applied at such time or times as may be </w:t>
      </w:r>
      <w:r>
        <w:rPr>
          <w:rFonts w:ascii="Times New Roman" w:cs="Times New Roman" w:eastAsia="Times New Roman" w:hAnsi="Times New Roman"/>
          <w:sz w:val="21"/>
          <w:szCs w:val="21"/>
          <w:u w:val="single" w:color="auto"/>
          <w:color w:val="auto"/>
        </w:rPr>
        <w:t>determined</w:t>
      </w:r>
      <w:r>
        <w:rPr>
          <w:rFonts w:ascii="Times New Roman" w:cs="Times New Roman" w:eastAsia="Times New Roman" w:hAnsi="Times New Roman"/>
          <w:sz w:val="21"/>
          <w:szCs w:val="21"/>
          <w:color w:val="auto"/>
        </w:rPr>
        <w:t xml:space="preserve">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as the Borrower may request (so long as no Default or Event of Default shall have occurred and be continuing),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to the payment of any amounts owing to the Lenders as a result of any judgment of a court of competent jurisdiction obtained by any Lender against such Defaulting Lender as a result of</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such Defaulting Lender’s breach of its obligations under this Agreement;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so long as no Default or Event of Default</w:t>
      </w:r>
    </w:p>
    <w:p>
      <w:pPr>
        <w:ind w:left="660" w:right="380"/>
        <w:spacing w:after="0" w:line="225" w:lineRule="auto"/>
        <w:rPr>
          <w:sz w:val="20"/>
          <w:szCs w:val="20"/>
          <w:color w:val="auto"/>
        </w:rPr>
      </w:pPr>
      <w:r>
        <w:rPr>
          <w:rFonts w:ascii="Times New Roman" w:cs="Times New Roman" w:eastAsia="Times New Roman" w:hAnsi="Times New Roman"/>
          <w:sz w:val="22"/>
          <w:szCs w:val="22"/>
          <w:color w:val="auto"/>
        </w:rPr>
        <w:t>has occurred and is continuing, to the payment of any amounts owing to the Borrower as a result of any judgment of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395" w:right="339" w:bottom="1440" w:gutter="0" w:footer="0" w:header="0"/>
        </w:sectPr>
      </w:pPr>
    </w:p>
    <w:bookmarkStart w:id="52" w:name="page53"/>
    <w:bookmarkEnd w:id="52"/>
    <w:p>
      <w:pPr>
        <w:ind w:left="660" w:right="40"/>
        <w:spacing w:after="0" w:line="211" w:lineRule="auto"/>
        <w:rPr>
          <w:sz w:val="20"/>
          <w:szCs w:val="20"/>
          <w:color w:val="auto"/>
        </w:rPr>
      </w:pPr>
      <w:r>
        <w:rPr>
          <w:rFonts w:ascii="Times New Roman" w:cs="Times New Roman" w:eastAsia="Times New Roman" w:hAnsi="Times New Roman"/>
          <w:sz w:val="22"/>
          <w:szCs w:val="22"/>
          <w:color w:val="auto"/>
        </w:rPr>
        <w:t xml:space="preserve">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xml:space="preserve">,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152" w:lineRule="exact"/>
        <w:rPr>
          <w:sz w:val="20"/>
          <w:szCs w:val="20"/>
          <w:color w:val="auto"/>
        </w:rPr>
      </w:pPr>
    </w:p>
    <w:p>
      <w:pPr>
        <w:jc w:val="both"/>
        <w:ind w:left="660" w:right="100" w:firstLine="644"/>
        <w:spacing w:after="0" w:line="225" w:lineRule="auto"/>
        <w:tabs>
          <w:tab w:leader="none" w:pos="195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xml:space="preserve">. No Defaulting Lender shall be entitled to receive any fees payable under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for any period during which such Lender is a Defaulting Lender (and the Borrower shall not be required to pay any such fee that otherwise would have been required to have been paid to that Defaulting Lender).</w:t>
      </w:r>
    </w:p>
    <w:p>
      <w:pPr>
        <w:spacing w:after="0" w:line="152" w:lineRule="exact"/>
        <w:rPr>
          <w:rFonts w:ascii="Times New Roman" w:cs="Times New Roman" w:eastAsia="Times New Roman" w:hAnsi="Times New Roman"/>
          <w:sz w:val="22"/>
          <w:szCs w:val="22"/>
          <w:color w:val="auto"/>
        </w:rPr>
      </w:pPr>
    </w:p>
    <w:p>
      <w:pPr>
        <w:ind w:right="80" w:firstLine="656"/>
        <w:spacing w:after="0" w:line="222" w:lineRule="auto"/>
        <w:tabs>
          <w:tab w:leader="none" w:pos="129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Cure</w:t>
      </w:r>
      <w:r>
        <w:rPr>
          <w:rFonts w:ascii="Times New Roman" w:cs="Times New Roman" w:eastAsia="Times New Roman" w:hAnsi="Times New Roman"/>
          <w:sz w:val="21"/>
          <w:szCs w:val="21"/>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Commitments, whereupon such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w:t>
      </w:r>
    </w:p>
    <w:p>
      <w:pPr>
        <w:ind w:left="3700"/>
        <w:spacing w:after="0"/>
        <w:rPr>
          <w:sz w:val="20"/>
          <w:szCs w:val="20"/>
          <w:color w:val="auto"/>
        </w:rPr>
      </w:pPr>
      <w:r>
        <w:rPr>
          <w:rFonts w:ascii="Times New Roman" w:cs="Times New Roman" w:eastAsia="Times New Roman" w:hAnsi="Times New Roman"/>
          <w:sz w:val="22"/>
          <w:szCs w:val="22"/>
          <w:color w:val="auto"/>
        </w:rPr>
        <w:t>CONDITIONS TO MAKING THE LOANS</w:t>
      </w:r>
    </w:p>
    <w:p>
      <w:pPr>
        <w:spacing w:after="0" w:line="155"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Credit Extensions</w:t>
      </w:r>
      <w:r>
        <w:rPr>
          <w:rFonts w:ascii="Times New Roman" w:cs="Times New Roman" w:eastAsia="Times New Roman" w:hAnsi="Times New Roman"/>
          <w:sz w:val="22"/>
          <w:szCs w:val="22"/>
          <w:color w:val="auto"/>
        </w:rPr>
        <w:t xml:space="preserve">. The obligation of each Lender to make its portion of the Initial Loan shall be subject to the execution and delivery of this Agreement by the parties hereto, the delivery of a Loan Request as requested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the satisfaction of each of the conditions precedent set forth below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color w:val="auto"/>
        </w:rPr>
        <w:t xml:space="preserve">). The obligation of each Lender to make its portion of the Delayed Draw Loans on the First Delayed Draw Closing Date shall be subject to the prior making of the Initial Loan, the delivery of a Loan Request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the satisfaction of each of the conditions precedent set forth below in </w:t>
      </w:r>
      <w:r>
        <w:rPr>
          <w:rFonts w:ascii="Times New Roman" w:cs="Times New Roman" w:eastAsia="Times New Roman" w:hAnsi="Times New Roman"/>
          <w:sz w:val="22"/>
          <w:szCs w:val="22"/>
          <w:u w:val="single" w:color="auto"/>
          <w:color w:val="auto"/>
        </w:rPr>
        <w:t>Sections 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5.19</w:t>
      </w:r>
      <w:r>
        <w:rPr>
          <w:rFonts w:ascii="Times New Roman" w:cs="Times New Roman" w:eastAsia="Times New Roman" w:hAnsi="Times New Roman"/>
          <w:sz w:val="22"/>
          <w:szCs w:val="22"/>
          <w:color w:val="auto"/>
        </w:rPr>
        <w:t xml:space="preserve">. The obligation of each Lender to make its portion of the Delayed Draw Loans on the Second Delayed Draw Closing Date shall be subject to the prior occurrence of the First Delayed Draw Closing Date, the delivery of a Loan Request as requested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the satisfaction of each of the conditions precedent set forth below in </w:t>
      </w:r>
      <w:r>
        <w:rPr>
          <w:rFonts w:ascii="Times New Roman" w:cs="Times New Roman" w:eastAsia="Times New Roman" w:hAnsi="Times New Roman"/>
          <w:sz w:val="22"/>
          <w:szCs w:val="22"/>
          <w:u w:val="single" w:color="auto"/>
          <w:color w:val="auto"/>
        </w:rPr>
        <w:t>Sections 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5.19</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Secretary’s Certificate, Etc</w:t>
      </w:r>
      <w:r>
        <w:rPr>
          <w:rFonts w:ascii="Times New Roman" w:cs="Times New Roman" w:eastAsia="Times New Roman" w:hAnsi="Times New Roman"/>
          <w:sz w:val="22"/>
          <w:szCs w:val="22"/>
          <w:color w:val="auto"/>
        </w:rPr>
        <w:t>. The Administrative Agent and each Lender shall have received from the Borrower and each Guarantor, (i) a copy of a good standing certificate, dated a date reasonably close to the Closing Date, for each such Person and (ii) a certificate, dated as of the Closing Date, duly executed and delivered by such Person’s Secretary or Assistant Secretary, managing member or general partner, or other Authorized Officer, as applicable,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395" w:right="359" w:bottom="1440" w:gutter="0" w:footer="0" w:header="0"/>
        </w:sectPr>
      </w:pPr>
    </w:p>
    <w:bookmarkStart w:id="53" w:name="page54"/>
    <w:bookmarkEnd w:id="53"/>
    <w:p>
      <w:pPr>
        <w:ind w:right="120" w:firstLine="656"/>
        <w:spacing w:after="0" w:line="220" w:lineRule="auto"/>
        <w:tabs>
          <w:tab w:leader="none" w:pos="129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of each such Person’s board of directors (or other managing body, in the case of a Person other than a corporation) and any other corporate resolutions required by applicable Law or pursuant to such Person’s Organic Documents, each of which shall be then in full force and effect, authorizing the execution, delivery and performance of each Loan Document to be executed by such Person and the transactions contemplated hereby and thereby;</w:t>
      </w:r>
    </w:p>
    <w:p>
      <w:pPr>
        <w:spacing w:after="0" w:line="152" w:lineRule="exact"/>
        <w:rPr>
          <w:rFonts w:ascii="Times New Roman" w:cs="Times New Roman" w:eastAsia="Times New Roman" w:hAnsi="Times New Roman"/>
          <w:sz w:val="22"/>
          <w:szCs w:val="22"/>
          <w:color w:val="auto"/>
        </w:rPr>
      </w:pPr>
    </w:p>
    <w:p>
      <w:pPr>
        <w:ind w:right="800" w:firstLine="656"/>
        <w:spacing w:after="0" w:line="236"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incumbency and signatures of those of its officers, managers, managing member or general partner, as applicable, authorized to act with respect to each Loan Document to be executed by such Person; and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force and validity of each Organic Document of such Person and copies thereof;</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upon which certificates the Administrative Agent and each Lender may conclusively rely until it shall have received a further certificate of the Secretary, Assistant Secretary, managing member or general partner, as applicable, of any such Person canceling or amending the prior certificate of such Person.</w:t>
      </w:r>
    </w:p>
    <w:p>
      <w:pPr>
        <w:spacing w:after="0" w:line="159" w:lineRule="exact"/>
        <w:rPr>
          <w:sz w:val="20"/>
          <w:szCs w:val="20"/>
          <w:color w:val="auto"/>
        </w:rPr>
      </w:pPr>
    </w:p>
    <w:p>
      <w:pPr>
        <w:ind w:right="60"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5.3 </w:t>
      </w:r>
      <w:r>
        <w:rPr>
          <w:rFonts w:ascii="Times New Roman" w:cs="Times New Roman" w:eastAsia="Times New Roman" w:hAnsi="Times New Roman"/>
          <w:sz w:val="21"/>
          <w:szCs w:val="21"/>
          <w:u w:val="single" w:color="auto"/>
          <w:color w:val="auto"/>
        </w:rPr>
        <w:t>Closing Date Certificates</w:t>
      </w:r>
      <w:r>
        <w:rPr>
          <w:rFonts w:ascii="Times New Roman" w:cs="Times New Roman" w:eastAsia="Times New Roman" w:hAnsi="Times New Roman"/>
          <w:sz w:val="21"/>
          <w:szCs w:val="21"/>
          <w:color w:val="auto"/>
        </w:rPr>
        <w:t xml:space="preserve">. The Administrative Agent and each Lender shall have received a Closing Date Certificate, dated as of the Closing Date, the First Delayed Draw Closing Date and the Second Delayed Draw Closing Date, as the case may be, and duly executed and delivered by an Authorized Officer of the Borrower, in which the Borrower shall certify that (i) the representations and warranties set forth in each Loan Document shall, in each case, be true and correct in all material respects (except with respect to any representation or warranty qualified by materiality or Material Adverse Effect, each of which representation or warranty is true and correct in all respects) of the Borrower as of such date (except to the extent that they relate specifically to an earlier specified date, in which case they are true and correct in all material respects (except with respect to any representation or warranty qualified by materiality or Material Adverse Effect, each of which representation or warranty is true and correct in all respects) on and as of such earlier date), (ii) no Default of Event of Default shall have then occurred and be continuing, or would result from the Loans to be advanced on the Closing Date, the First Delayed Draw Closing Date or the Second Delayed Draw Closing Date, as the case may be, and (iii) all of the conditions set forth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required to be satisfied by the Loan Parties on such date have been satisfied, except for those conditions expressly and specifically waived by the Required Lenders in writing, and as of such date as such certificate is delivered, such certifications by the Borrower shall in fact be true and correct. All documents and agreements required to be appended to the Closing Date Certificate, if any, shall be in form and substance reasonably satisfactory to the Administrative Agent and the Required Lenders, shall have been executed and delivered by the requisite parties, and shall be in full force and effect.</w:t>
      </w:r>
    </w:p>
    <w:p>
      <w:pPr>
        <w:spacing w:after="0" w:line="162"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u w:val="single" w:color="auto"/>
          <w:color w:val="auto"/>
        </w:rPr>
        <w:t>Payment of Outstanding Indebtedness, Etc</w:t>
      </w:r>
      <w:r>
        <w:rPr>
          <w:rFonts w:ascii="Times New Roman" w:cs="Times New Roman" w:eastAsia="Times New Roman" w:hAnsi="Times New Roman"/>
          <w:sz w:val="21"/>
          <w:szCs w:val="21"/>
          <w:color w:val="auto"/>
        </w:rPr>
        <w:t xml:space="preserve">. All Indebtedness identified in </w:t>
      </w:r>
      <w:r>
        <w:rPr>
          <w:rFonts w:ascii="Times New Roman" w:cs="Times New Roman" w:eastAsia="Times New Roman" w:hAnsi="Times New Roman"/>
          <w:sz w:val="21"/>
          <w:szCs w:val="21"/>
          <w:u w:val="single" w:color="auto"/>
          <w:color w:val="auto"/>
        </w:rPr>
        <w:t>Schedule 8.2(b)</w:t>
      </w:r>
      <w:r>
        <w:rPr>
          <w:rFonts w:ascii="Times New Roman" w:cs="Times New Roman" w:eastAsia="Times New Roman" w:hAnsi="Times New Roman"/>
          <w:sz w:val="21"/>
          <w:szCs w:val="21"/>
          <w:color w:val="auto"/>
        </w:rPr>
        <w:t>, together with all interest, all prepayment premiums and all other amounts due and payable with respect thereto, shall have been paid in full from the proceeds of the Initial Loan and the commitments in respect of such Indebtedness shall have been terminated, and all Liens securing payment of any such Indebtedness shall have been released and the Administrative Agent and each Lender shall have received all Uniform Commercial Code Form UCC-3 termination statements or other instruments (including customary payoff letters) as may be reasonably required in connection therewith (collectively, the “</w:t>
      </w:r>
      <w:r>
        <w:rPr>
          <w:rFonts w:ascii="Times New Roman" w:cs="Times New Roman" w:eastAsia="Times New Roman" w:hAnsi="Times New Roman"/>
          <w:sz w:val="21"/>
          <w:szCs w:val="21"/>
          <w:u w:val="single" w:color="auto"/>
          <w:color w:val="auto"/>
        </w:rPr>
        <w:t>Existing Debt Refinancing</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ind w:right="6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Delivery of Note</w:t>
      </w:r>
      <w:r>
        <w:rPr>
          <w:rFonts w:ascii="Times New Roman" w:cs="Times New Roman" w:eastAsia="Times New Roman" w:hAnsi="Times New Roman"/>
          <w:sz w:val="22"/>
          <w:szCs w:val="22"/>
          <w:color w:val="auto"/>
        </w:rPr>
        <w:t>. Each Lender shall have received a Note duly executed and delivered by an Authorized Officer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395" w:right="339" w:bottom="1440" w:gutter="0" w:footer="0" w:header="0"/>
        </w:sectPr>
      </w:pPr>
    </w:p>
    <w:bookmarkStart w:id="54" w:name="page55"/>
    <w:bookmarkEnd w:id="54"/>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Financial Information, Etc</w:t>
      </w:r>
      <w:r>
        <w:rPr>
          <w:rFonts w:ascii="Times New Roman" w:cs="Times New Roman" w:eastAsia="Times New Roman" w:hAnsi="Times New Roman"/>
          <w:sz w:val="21"/>
          <w:szCs w:val="21"/>
          <w:color w:val="auto"/>
        </w:rPr>
        <w:t>. The Administrative Agent and each Lender shall have received:</w:t>
      </w:r>
    </w:p>
    <w:p>
      <w:pPr>
        <w:spacing w:after="0" w:line="179" w:lineRule="exact"/>
        <w:rPr>
          <w:sz w:val="20"/>
          <w:szCs w:val="20"/>
          <w:color w:val="auto"/>
        </w:rPr>
      </w:pPr>
    </w:p>
    <w:p>
      <w:pPr>
        <w:ind w:right="180" w:firstLine="656"/>
        <w:spacing w:after="0" w:line="236"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audited consolidated financial statements of the Borrower and the Subsidiaries for each of the Fiscal Years ended December 31, 2022, December 31, 2023, and December 31, 2024; and</w:t>
      </w:r>
    </w:p>
    <w:p>
      <w:pPr>
        <w:spacing w:after="0" w:line="150" w:lineRule="exact"/>
        <w:rPr>
          <w:rFonts w:ascii="Times New Roman" w:cs="Times New Roman" w:eastAsia="Times New Roman" w:hAnsi="Times New Roman"/>
          <w:sz w:val="22"/>
          <w:szCs w:val="22"/>
          <w:color w:val="auto"/>
        </w:rPr>
      </w:pPr>
    </w:p>
    <w:p>
      <w:pPr>
        <w:ind w:right="100" w:firstLine="656"/>
        <w:spacing w:after="0" w:line="225"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consolidated balance sheets of the Borrower and the Subsidiaries for the Fiscal Quarters ended March 31, 2025 and June 30, 2025, together with the related consolidated statements of income, stockholders’ equity and cash flows for the twelve months then ended.</w:t>
      </w:r>
    </w:p>
    <w:p>
      <w:pPr>
        <w:spacing w:after="0" w:line="153"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The Lenders and the Administrative Agent shall have received an initial Compliance Certificate on a pro forma basis as if the Loans had been made as of June 30, 2025 and as to such items therein as the Administrative Agent and the Lenders reasonably requests, dated the Closing Date, duly executed (and with all schedules thereto duly completed) and delivered by the chief financial or accounting Authorized Officer of the Borrower.</w:t>
      </w:r>
    </w:p>
    <w:p>
      <w:pPr>
        <w:spacing w:after="0" w:line="152"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Solvency, Etc</w:t>
      </w:r>
      <w:r>
        <w:rPr>
          <w:rFonts w:ascii="Times New Roman" w:cs="Times New Roman" w:eastAsia="Times New Roman" w:hAnsi="Times New Roman"/>
          <w:sz w:val="22"/>
          <w:szCs w:val="22"/>
          <w:color w:val="auto"/>
        </w:rPr>
        <w:t xml:space="preserve">. The Lenders and the Administrative Agent shall have received a solvency certificate as to the Solvency of the Borrower and its Subsidiaries on a consolidated basis, after giving effect to the incurrence of the applicable Loans, and the use of proceeds of such Loans, duly executed and delivered by the chief financial or accounting Authorized Officer of the Borrower, dated as of the Closing Date, the First Delayed Draw Closing Date or the Second Delayed Draw Closing Date, as the case may be, in the form attached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Lenders and the Administrative Agent shall have received executed counterparts of the Guarantee, dated as of the Closing Date, duly executed and delivered by each Guarantor.</w:t>
      </w:r>
    </w:p>
    <w:p>
      <w:pPr>
        <w:spacing w:after="0" w:line="150" w:lineRule="exact"/>
        <w:rPr>
          <w:sz w:val="20"/>
          <w:szCs w:val="20"/>
          <w:color w:val="auto"/>
        </w:rPr>
      </w:pPr>
    </w:p>
    <w:p>
      <w:pPr>
        <w:ind w:right="4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The Lenders and the Administrative Agent shall have received executed counterparts of the Security Agreement, dated as of the Closing Date, duly executed and delivered by the Borrower and each Guarantor, together with:</w:t>
      </w:r>
    </w:p>
    <w:p>
      <w:pPr>
        <w:spacing w:after="0" w:line="152" w:lineRule="exact"/>
        <w:rPr>
          <w:sz w:val="20"/>
          <w:szCs w:val="20"/>
          <w:color w:val="auto"/>
        </w:rPr>
      </w:pPr>
    </w:p>
    <w:p>
      <w:pPr>
        <w:ind w:firstLine="656"/>
        <w:spacing w:after="0" w:line="213" w:lineRule="auto"/>
        <w:tabs>
          <w:tab w:leader="none" w:pos="129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(in the case of Capital Securities that are securities (as defined in the UCC)) evidencing all of the issued and outstanding Capital Securities owned by the Borrower or any Guarantor (including with respect to the Capital Securities of any Excluded Subsidiary), which certificates in each case shall be accompanied by undated instruments of transfer duly executed in blank, or, in the case of Capital Securities that are uncertificated securities (as defined in the UCC), confirmation and evidence satisfactory to the Administrative Agent and the Lenders that the security interest therein has been granted to and perfected by the Administrative Agent for the benefit of the Secured Parties in accordance with Articles 8 and 9 of the UCC and all Laws otherwise applicable to the perfection of the pledge of such Capital Securities; and</w:t>
      </w:r>
    </w:p>
    <w:p>
      <w:pPr>
        <w:spacing w:after="0" w:line="156" w:lineRule="exact"/>
        <w:rPr>
          <w:rFonts w:ascii="Times New Roman" w:cs="Times New Roman" w:eastAsia="Times New Roman" w:hAnsi="Times New Roman"/>
          <w:sz w:val="22"/>
          <w:szCs w:val="22"/>
          <w:color w:val="auto"/>
        </w:rPr>
      </w:pPr>
    </w:p>
    <w:p>
      <w:pPr>
        <w:ind w:right="200" w:firstLine="656"/>
        <w:spacing w:after="0" w:line="220"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UCC financing statements suitable in form for naming the Borrower and each Guarantor as a debtor and the Administrative Agent as the secured party, or other similar instruments or documents to be filed under the UCC of all jurisdictions as may be necessary or, in the opinion of the Administrative Agent, desirable to perfect the security interests of the Administrative Agent, on behalf of the Secured Parties, pursuant to the Security Agreement.</w:t>
      </w:r>
    </w:p>
    <w:p>
      <w:pPr>
        <w:spacing w:after="0" w:line="152" w:lineRule="exact"/>
        <w:rPr>
          <w:sz w:val="20"/>
          <w:szCs w:val="20"/>
          <w:color w:val="auto"/>
        </w:rPr>
      </w:pPr>
    </w:p>
    <w:p>
      <w:pPr>
        <w:ind w:right="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Intellectual Property Security Agreements</w:t>
      </w:r>
      <w:r>
        <w:rPr>
          <w:rFonts w:ascii="Times New Roman" w:cs="Times New Roman" w:eastAsia="Times New Roman" w:hAnsi="Times New Roman"/>
          <w:sz w:val="22"/>
          <w:szCs w:val="22"/>
          <w:color w:val="auto"/>
        </w:rPr>
        <w:t>. The Administrative Agent and the Lenders shall have received a Patent Security Agreement, a Copyright Security Agreement and a Trademark Security Agreement, as applicable, each dated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95" w:right="339" w:bottom="1440" w:gutter="0" w:footer="0" w:header="0"/>
        </w:sectPr>
      </w:pPr>
    </w:p>
    <w:bookmarkStart w:id="55" w:name="page56"/>
    <w:bookmarkEnd w:id="55"/>
    <w:p>
      <w:pPr>
        <w:ind w:right="480"/>
        <w:spacing w:after="0" w:line="255" w:lineRule="auto"/>
        <w:rPr>
          <w:sz w:val="20"/>
          <w:szCs w:val="20"/>
          <w:color w:val="auto"/>
        </w:rPr>
      </w:pPr>
      <w:r>
        <w:rPr>
          <w:rFonts w:ascii="Times New Roman" w:cs="Times New Roman" w:eastAsia="Times New Roman" w:hAnsi="Times New Roman"/>
          <w:sz w:val="21"/>
          <w:szCs w:val="21"/>
          <w:color w:val="auto"/>
        </w:rPr>
        <w:t>Date, duly executed and delivered by the Borrower or any Guarantor that, pursuant to the Security Agreement, is required to provide such intellectual property security agreements to the Administrative Agent for the benefit of the Secured Parties.</w:t>
      </w:r>
    </w:p>
    <w:p>
      <w:pPr>
        <w:spacing w:after="0" w:line="135"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The Administrative Agent and the Lenders shall have received a customary legal opinion, dated the Closing Date and addressed to the Secured Parties, from O’Melveny &amp; Myers LLP, counsel to the Loan Parties, in form and substance reasonably satisfactory to the Administrative Agent and the Lenders.</w:t>
      </w:r>
    </w:p>
    <w:p>
      <w:pPr>
        <w:spacing w:after="0" w:line="153"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Administrative Agent and the Lenders shall have received insurance certificates from one or more insurance companies satisfactory to the Administrative Agent and the Lenders, evidencing coverage required to be maintained pursuant to each Loan Document, with the Administrative Agent named as loss payee or additional insured, as applicable.</w:t>
      </w:r>
    </w:p>
    <w:p>
      <w:pPr>
        <w:spacing w:after="0" w:line="152"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Closing Fees, Expenses, Etc</w:t>
      </w:r>
      <w:r>
        <w:rPr>
          <w:rFonts w:ascii="Times New Roman" w:cs="Times New Roman" w:eastAsia="Times New Roman" w:hAnsi="Times New Roman"/>
          <w:sz w:val="22"/>
          <w:szCs w:val="22"/>
          <w:color w:val="auto"/>
        </w:rPr>
        <w:t xml:space="preserve">. Each Lender and the Administrative Agent, as applicable, shall have received for its own account (i) all fees, costs and expenses due and payable pursuant to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10.4</w:t>
      </w:r>
      <w:r>
        <w:rPr>
          <w:rFonts w:ascii="Times New Roman" w:cs="Times New Roman" w:eastAsia="Times New Roman" w:hAnsi="Times New Roman"/>
          <w:sz w:val="22"/>
          <w:szCs w:val="22"/>
          <w:color w:val="auto"/>
        </w:rPr>
        <w:t>, (ii) the Upfront Fees payable on the Closing Date pursuant to the Fee Letter, (iii) the Administration Fee payable on the Closing Date pursuant to the Fee Letter and (iv) all other fees due and payable pursuant to the Fee Letter.</w:t>
      </w:r>
    </w:p>
    <w:p>
      <w:pPr>
        <w:spacing w:after="0" w:line="152"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Each Lender and the Administrative Agent shall have received, as applicable, all documentation and other information required by bank regulatory authorities under applicable “know your customer” and anti-money laundering rules and regulations, including the U.S.A. Patriot Act.</w:t>
      </w:r>
    </w:p>
    <w:p>
      <w:pPr>
        <w:spacing w:after="0" w:line="153" w:lineRule="exact"/>
        <w:rPr>
          <w:sz w:val="20"/>
          <w:szCs w:val="20"/>
          <w:color w:val="auto"/>
        </w:rPr>
      </w:pPr>
    </w:p>
    <w:p>
      <w:pPr>
        <w:ind w:right="2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The Administrative Agent shall have received executed counterparts of this Agreement and the other Loan Documents, properly executed by an Authorized Officer of each of the Borrower and each other signing Guarantor and by each Lender party to such Loan Documents.</w:t>
      </w:r>
    </w:p>
    <w:p>
      <w:pPr>
        <w:spacing w:after="0" w:line="153" w:lineRule="exact"/>
        <w:rPr>
          <w:sz w:val="20"/>
          <w:szCs w:val="20"/>
          <w:color w:val="auto"/>
        </w:rPr>
      </w:pPr>
    </w:p>
    <w:p>
      <w:pPr>
        <w:ind w:right="2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u w:val="single" w:color="auto"/>
          <w:color w:val="auto"/>
        </w:rPr>
        <w:t>Satisfactory Legal Form</w:t>
      </w:r>
      <w:r>
        <w:rPr>
          <w:rFonts w:ascii="Times New Roman" w:cs="Times New Roman" w:eastAsia="Times New Roman" w:hAnsi="Times New Roman"/>
          <w:sz w:val="22"/>
          <w:szCs w:val="22"/>
          <w:color w:val="auto"/>
        </w:rPr>
        <w:t>. All documents executed or submitted pursuant hereto by or on behalf of the Borrower or any Guarantor shall be reasonably satisfactory in form and substance to the Administrative Agent and the Lenders, and the Administrative Agent and the Lenders shall have received all information, approvals, resolutions, opinions, documents or instruments as the Administrative Agent or such Lender may reasonably request.</w:t>
      </w:r>
    </w:p>
    <w:p>
      <w:pPr>
        <w:spacing w:after="0" w:line="139"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5.18</w:t>
      </w:r>
      <w:r>
        <w:rPr>
          <w:sz w:val="20"/>
          <w:szCs w:val="20"/>
          <w:color w:val="auto"/>
        </w:rPr>
        <w:tab/>
      </w:r>
      <w:r>
        <w:rPr>
          <w:rFonts w:ascii="Times New Roman" w:cs="Times New Roman" w:eastAsia="Times New Roman" w:hAnsi="Times New Roman"/>
          <w:sz w:val="21"/>
          <w:szCs w:val="21"/>
          <w:u w:val="single" w:color="auto"/>
          <w:color w:val="auto"/>
        </w:rPr>
        <w:t>No Material Adverse Effect</w:t>
      </w:r>
      <w:r>
        <w:rPr>
          <w:rFonts w:ascii="Times New Roman" w:cs="Times New Roman" w:eastAsia="Times New Roman" w:hAnsi="Times New Roman"/>
          <w:sz w:val="21"/>
          <w:szCs w:val="21"/>
          <w:color w:val="auto"/>
        </w:rPr>
        <w:t>. Since December 31, 2024, there has not been a Material Adverse</w:t>
      </w:r>
    </w:p>
    <w:p>
      <w:pPr>
        <w:spacing w:after="0"/>
        <w:rPr>
          <w:sz w:val="20"/>
          <w:szCs w:val="20"/>
          <w:color w:val="auto"/>
        </w:rPr>
      </w:pPr>
      <w:r>
        <w:rPr>
          <w:rFonts w:ascii="Times New Roman" w:cs="Times New Roman" w:eastAsia="Times New Roman" w:hAnsi="Times New Roman"/>
          <w:sz w:val="22"/>
          <w:szCs w:val="22"/>
          <w:color w:val="auto"/>
        </w:rPr>
        <w:t>Effect.</w:t>
      </w:r>
    </w:p>
    <w:p>
      <w:pPr>
        <w:spacing w:after="0" w:line="155" w:lineRule="exact"/>
        <w:rPr>
          <w:sz w:val="20"/>
          <w:szCs w:val="20"/>
          <w:color w:val="auto"/>
        </w:rPr>
      </w:pPr>
    </w:p>
    <w:p>
      <w:pPr>
        <w:ind w:right="2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xml:space="preserve">. Immediately prior to each Delayed Draw Closing Date, the Borrower shall deliver to the Administrative Agent and the Lenders updates to </w:t>
      </w:r>
      <w:r>
        <w:rPr>
          <w:rFonts w:ascii="Times New Roman" w:cs="Times New Roman" w:eastAsia="Times New Roman" w:hAnsi="Times New Roman"/>
          <w:sz w:val="22"/>
          <w:szCs w:val="22"/>
          <w:u w:val="single" w:color="auto"/>
          <w:color w:val="auto"/>
        </w:rPr>
        <w:t>Schedules 6.11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6.15(j)(1)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6.22</w:t>
      </w:r>
      <w:r>
        <w:rPr>
          <w:rFonts w:ascii="Times New Roman" w:cs="Times New Roman" w:eastAsia="Times New Roman" w:hAnsi="Times New Roman"/>
          <w:sz w:val="22"/>
          <w:szCs w:val="22"/>
          <w:color w:val="auto"/>
        </w:rPr>
        <w:t>, each such updated Schedule to be complete and accurate in all material respects as of such Delayed Draw Closing Date.</w:t>
      </w:r>
    </w:p>
    <w:p>
      <w:pPr>
        <w:spacing w:after="0" w:line="1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VI</w:t>
      </w:r>
    </w:p>
    <w:p>
      <w:pPr>
        <w:jc w:val="center"/>
        <w:ind w:right="-19"/>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18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order to induce the Lenders and the Administrative Agent to enter into this Agreement and to make the Loans hereunder, the Borrower represents and warrants to the Lenders and the Administrative Agent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395" w:right="339" w:bottom="1440" w:gutter="0" w:footer="0" w:header="0"/>
        </w:sectPr>
      </w:pPr>
    </w:p>
    <w:bookmarkStart w:id="56" w:name="page57"/>
    <w:bookmarkEnd w:id="56"/>
    <w:p>
      <w:pPr>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Organization, Etc</w:t>
      </w:r>
      <w:r>
        <w:rPr>
          <w:rFonts w:ascii="Times New Roman" w:cs="Times New Roman" w:eastAsia="Times New Roman" w:hAnsi="Times New Roman"/>
          <w:sz w:val="22"/>
          <w:szCs w:val="22"/>
          <w:color w:val="auto"/>
        </w:rPr>
        <w:t>. The Borrower and each Subsidiary (a) (i) is validly organized and existing and in good standing (to the extent such concept exists in such jurisdiction) under the laws of the jurisdiction of its incorporation or organization, and (ii) is duly qualified to do business and is in good standing as a foreign entity (to the extent such concept exists in such jurisdiction) in each jurisdiction where the nature of its business requires such qualification (in the case of this clause (a) (ii), unless the failure to so qualify as a foreign entity would not, individually or in the aggregate, reasonably be expected to have a Material Adverse Effect); and (b) has full power and authority and holds all requisite governmental licenses, permits, clearances and other approvals required (i) in the case of the Loan Parties, to enter into and perform its obligations under each Loan Document to which it is a party, and (ii) to own and hold under lease its property and to conduct its business substantially as currently conducted by it (in the case of this clause (b)(ii), except to the extent that failure to do so could not reasonably be expected to have a Material Adverse Effect).</w:t>
      </w:r>
    </w:p>
    <w:p>
      <w:pPr>
        <w:spacing w:after="0" w:line="152" w:lineRule="exact"/>
        <w:rPr>
          <w:sz w:val="20"/>
          <w:szCs w:val="20"/>
          <w:color w:val="auto"/>
        </w:rPr>
      </w:pPr>
    </w:p>
    <w:p>
      <w:pPr>
        <w:ind w:right="360"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6.2 </w:t>
      </w:r>
      <w:r>
        <w:rPr>
          <w:rFonts w:ascii="Times New Roman" w:cs="Times New Roman" w:eastAsia="Times New Roman" w:hAnsi="Times New Roman"/>
          <w:sz w:val="21"/>
          <w:szCs w:val="21"/>
          <w:u w:val="single" w:color="auto"/>
          <w:color w:val="auto"/>
        </w:rPr>
        <w:t>Due Authorization, Non-Contravention, Etc</w:t>
      </w:r>
      <w:r>
        <w:rPr>
          <w:rFonts w:ascii="Times New Roman" w:cs="Times New Roman" w:eastAsia="Times New Roman" w:hAnsi="Times New Roman"/>
          <w:sz w:val="21"/>
          <w:szCs w:val="21"/>
          <w:color w:val="auto"/>
        </w:rPr>
        <w:t>. The execution, delivery and performance by the Borrower and each Guarantor of each Loan Document executed or to be executed by it are in each case within such Person’s corporate or organizational powers, have been duly authorized by all necessary corporate or organizational action, and do not:</w:t>
      </w:r>
    </w:p>
    <w:p>
      <w:pPr>
        <w:spacing w:after="0" w:line="152" w:lineRule="exact"/>
        <w:rPr>
          <w:sz w:val="20"/>
          <w:szCs w:val="20"/>
          <w:color w:val="auto"/>
        </w:rPr>
      </w:pPr>
    </w:p>
    <w:p>
      <w:pPr>
        <w:ind w:right="200" w:firstLine="656"/>
        <w:spacing w:after="0" w:line="225"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contravene (i) the Borrower’s or any Guarantor’s Organic Documents, (ii) in any material respect, any court decree or order binding on or affecting the Borrower or any Guarantor or (iii) in any material respect, any Law or governmental regulation binding on or affecting the Borrower or any Guarantor; or</w:t>
      </w:r>
    </w:p>
    <w:p>
      <w:pPr>
        <w:spacing w:after="0" w:line="152" w:lineRule="exact"/>
        <w:rPr>
          <w:rFonts w:ascii="Times New Roman" w:cs="Times New Roman" w:eastAsia="Times New Roman" w:hAnsi="Times New Roman"/>
          <w:sz w:val="22"/>
          <w:szCs w:val="22"/>
          <w:color w:val="auto"/>
        </w:rPr>
      </w:pPr>
    </w:p>
    <w:p>
      <w:pPr>
        <w:ind w:right="240" w:firstLine="656"/>
        <w:spacing w:after="0" w:line="225"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(i) or require the creation or imposition of any Lien on the Borrower’s or any Guarantor’s properties (except as permitted by this Agreement) or (ii) a material default under any material contract, agreement, or instrument binding on or affecting the Borrower or any Guarantor.</w:t>
      </w:r>
    </w:p>
    <w:p>
      <w:pPr>
        <w:spacing w:after="0" w:line="15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Government Approval, Regulation, Etc</w:t>
      </w:r>
      <w:r>
        <w:rPr>
          <w:rFonts w:ascii="Times New Roman" w:cs="Times New Roman" w:eastAsia="Times New Roman" w:hAnsi="Times New Roman"/>
          <w:sz w:val="22"/>
          <w:szCs w:val="22"/>
          <w:color w:val="auto"/>
        </w:rPr>
        <w:t>. No authorization, approval, clearance or other action by, and no notice to or filing with, any Governmental Authority or other Person (other than (i) those that have been, or on the Closing Date will be, duly obtained or made and which are, or on the Closing Date will be, in full force and effect, and (ii) recordings, filings and other perfection actions in connection with the Liens granted to the Administrative Agent under this Agreement or any other Loan Document) is required for the due execution, delivery or performance by the Borrower or any Guarantor of any Loan Document to which it is a party.</w:t>
      </w:r>
    </w:p>
    <w:p>
      <w:pPr>
        <w:spacing w:after="0" w:line="152" w:lineRule="exact"/>
        <w:rPr>
          <w:sz w:val="20"/>
          <w:szCs w:val="20"/>
          <w:color w:val="auto"/>
        </w:rPr>
      </w:pPr>
    </w:p>
    <w:p>
      <w:pPr>
        <w:jc w:val="both"/>
        <w:ind w:right="24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Validity, Etc</w:t>
      </w:r>
      <w:r>
        <w:rPr>
          <w:rFonts w:ascii="Times New Roman" w:cs="Times New Roman" w:eastAsia="Times New Roman" w:hAnsi="Times New Roman"/>
          <w:sz w:val="22"/>
          <w:szCs w:val="22"/>
          <w:color w:val="auto"/>
        </w:rPr>
        <w:t>. Each Loan Document to which the Borrower or any Guarantor is a party constitutes the legal, valid and binding obligations of such Person enforceable against such Person in accordance with its respective terms (except, in any case, as such enforceability may be limited by applicable bankruptcy, insolvency, reorganization or similar laws affecting creditors’ rights generally and by principles of equity).</w:t>
      </w:r>
    </w:p>
    <w:p>
      <w:pPr>
        <w:spacing w:after="0" w:line="152"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Financial Information</w:t>
      </w:r>
      <w:r>
        <w:rPr>
          <w:rFonts w:ascii="Times New Roman" w:cs="Times New Roman" w:eastAsia="Times New Roman" w:hAnsi="Times New Roman"/>
          <w:sz w:val="22"/>
          <w:szCs w:val="22"/>
          <w:color w:val="auto"/>
        </w:rPr>
        <w:t xml:space="preserve">. The consolidated financial statements of the Borrower and the Subsidiaries furnished to the Administrative Agent and the Lenders pursuant to </w:t>
      </w:r>
      <w:r>
        <w:rPr>
          <w:rFonts w:ascii="Times New Roman" w:cs="Times New Roman" w:eastAsia="Times New Roman" w:hAnsi="Times New Roman"/>
          <w:sz w:val="22"/>
          <w:szCs w:val="22"/>
          <w:u w:val="single" w:color="auto"/>
          <w:color w:val="auto"/>
        </w:rPr>
        <w:t>Sections 5.6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7.1</w:t>
      </w:r>
      <w:r>
        <w:rPr>
          <w:rFonts w:ascii="Times New Roman" w:cs="Times New Roman" w:eastAsia="Times New Roman" w:hAnsi="Times New Roman"/>
          <w:sz w:val="22"/>
          <w:szCs w:val="22"/>
          <w:color w:val="auto"/>
        </w:rPr>
        <w:t xml:space="preserve"> have been prepared in accordance with GAAP, consistently applied, and present fairly in all material respects the consolidated financial condition of the Persons covered thereby as at the dates thereof and the results of their operations for the periods then ended, subject, in the case of unaudited financial statements, to the absence of footnote disclosure and normal and recurring year-end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395" w:right="339" w:bottom="1440" w:gutter="0" w:footer="0" w:header="0"/>
        </w:sectPr>
      </w:pPr>
    </w:p>
    <w:bookmarkStart w:id="57" w:name="page58"/>
    <w:bookmarkEnd w:id="57"/>
    <w:p>
      <w:pPr>
        <w:ind w:right="500"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6.6 </w:t>
      </w:r>
      <w:r>
        <w:rPr>
          <w:rFonts w:ascii="Times New Roman" w:cs="Times New Roman" w:eastAsia="Times New Roman" w:hAnsi="Times New Roman"/>
          <w:sz w:val="21"/>
          <w:szCs w:val="21"/>
          <w:u w:val="single" w:color="auto"/>
          <w:color w:val="auto"/>
        </w:rPr>
        <w:t>No Material Adverse Effect</w:t>
      </w:r>
      <w:r>
        <w:rPr>
          <w:rFonts w:ascii="Times New Roman" w:cs="Times New Roman" w:eastAsia="Times New Roman" w:hAnsi="Times New Roman"/>
          <w:sz w:val="21"/>
          <w:szCs w:val="21"/>
          <w:color w:val="auto"/>
        </w:rPr>
        <w:t>. Since December 31, 2024 to the Closing Date, there has been no Material Adverse Effect. As of any Delayed Draw Closing Date, no Material Adverse Effect has occurred and is continuing.</w:t>
      </w:r>
    </w:p>
    <w:p>
      <w:pPr>
        <w:spacing w:after="0" w:line="135"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6.7</w:t>
      </w:r>
      <w:r>
        <w:rPr>
          <w:sz w:val="20"/>
          <w:szCs w:val="20"/>
          <w:color w:val="auto"/>
        </w:rPr>
        <w:tab/>
      </w:r>
      <w:r>
        <w:rPr>
          <w:rFonts w:ascii="Times New Roman" w:cs="Times New Roman" w:eastAsia="Times New Roman" w:hAnsi="Times New Roman"/>
          <w:sz w:val="21"/>
          <w:szCs w:val="21"/>
          <w:u w:val="single" w:color="auto"/>
          <w:color w:val="auto"/>
        </w:rPr>
        <w:t>Litigation, Labor Matters and Environmental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40" w:firstLine="656"/>
        <w:spacing w:after="0" w:line="213" w:lineRule="auto"/>
        <w:tabs>
          <w:tab w:leader="none" w:pos="12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described on </w:t>
      </w:r>
      <w:r>
        <w:rPr>
          <w:rFonts w:ascii="Times New Roman" w:cs="Times New Roman" w:eastAsia="Times New Roman" w:hAnsi="Times New Roman"/>
          <w:sz w:val="22"/>
          <w:szCs w:val="22"/>
          <w:u w:val="single" w:color="auto"/>
          <w:color w:val="auto"/>
        </w:rPr>
        <w:t>Schedule 6.7(a)</w:t>
      </w:r>
      <w:r>
        <w:rPr>
          <w:rFonts w:ascii="Times New Roman" w:cs="Times New Roman" w:eastAsia="Times New Roman" w:hAnsi="Times New Roman"/>
          <w:sz w:val="22"/>
          <w:szCs w:val="22"/>
          <w:color w:val="auto"/>
        </w:rPr>
        <w:t>, there are no actions, suits or proceedings by or before any arbitrator or Governmental Authority (other than any actions, suits, or proceedings commenced under seal that have not been disclosed to the Borrower and that the Borrower does not have knowledge of) pending against, threatened in writing against, or, to the knowledge of the Borrower, otherwise threatened against or affecting the Borrower or any Subsidiary (i) as to which there is a reasonable likelihood of an adverse determination and that, if adversely determined, would reasonably be expected, individually or in the aggregate, to result in liabilities in excess of $7,500,000 or (ii) that would reasonably be likely to adversely affect this Agreement or the transactions contemplated hereby.</w:t>
      </w:r>
    </w:p>
    <w:p>
      <w:pPr>
        <w:spacing w:after="0" w:line="156" w:lineRule="exact"/>
        <w:rPr>
          <w:rFonts w:ascii="Times New Roman" w:cs="Times New Roman" w:eastAsia="Times New Roman" w:hAnsi="Times New Roman"/>
          <w:sz w:val="22"/>
          <w:szCs w:val="22"/>
          <w:color w:val="auto"/>
        </w:rPr>
      </w:pPr>
    </w:p>
    <w:p>
      <w:pPr>
        <w:ind w:right="280" w:firstLine="656"/>
        <w:spacing w:after="0" w:line="231" w:lineRule="auto"/>
        <w:tabs>
          <w:tab w:leader="none" w:pos="129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described on Schedule 6.7(b), there are no labor controversies pending against, threatened in writing against, or, to the knowledge of the Borrower, otherwise threatened against or affecting the Borrower or any Subsidiary (i) that would reasonably be expected, individually or in the aggregate, to result in liabilities in excess of $5,000,000 or (ii) that would reasonably be likely to adversely affect this Agreement or the transactions contemplated hereby.</w:t>
      </w:r>
    </w:p>
    <w:p>
      <w:pPr>
        <w:spacing w:after="0" w:line="150" w:lineRule="exact"/>
        <w:rPr>
          <w:rFonts w:ascii="Times New Roman" w:cs="Times New Roman" w:eastAsia="Times New Roman" w:hAnsi="Times New Roman"/>
          <w:sz w:val="21"/>
          <w:szCs w:val="21"/>
          <w:color w:val="auto"/>
        </w:rPr>
      </w:pPr>
    </w:p>
    <w:p>
      <w:pPr>
        <w:ind w:right="60" w:firstLine="656"/>
        <w:spacing w:after="0" w:line="217" w:lineRule="auto"/>
        <w:tabs>
          <w:tab w:leader="none" w:pos="12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(i) has failed to comply with any Environmental Law or to obtain, maintain or comply with any Permit required under any Environmental Law (“</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(ii) is or has been subject to any Environmental Liability, (iii) has received notice of any Environmental Liability, or (iv) knows of any basis for any Environmental Liability, in each case of clauses (i) through (iv) above, which would reasonably be expected to result in a Material Adverse Effect.</w:t>
      </w:r>
    </w:p>
    <w:p>
      <w:pPr>
        <w:spacing w:after="0" w:line="152"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The Borrower has no Subsidiaries except those Subsidiaries which are identified in </w:t>
      </w:r>
      <w:r>
        <w:rPr>
          <w:rFonts w:ascii="Times New Roman" w:cs="Times New Roman" w:eastAsia="Times New Roman" w:hAnsi="Times New Roman"/>
          <w:sz w:val="22"/>
          <w:szCs w:val="22"/>
          <w:u w:val="single" w:color="auto"/>
          <w:color w:val="auto"/>
        </w:rPr>
        <w:t>Schedule 6.8</w:t>
      </w:r>
      <w:r>
        <w:rPr>
          <w:rFonts w:ascii="Times New Roman" w:cs="Times New Roman" w:eastAsia="Times New Roman" w:hAnsi="Times New Roman"/>
          <w:sz w:val="22"/>
          <w:szCs w:val="22"/>
          <w:color w:val="auto"/>
        </w:rPr>
        <w:t xml:space="preserve"> (which Schedule also identifies the direct and indirect owners of the Capital Securities of such Subsidiaries), subject to any dissolutions or dispositions thereof that are permitted under this Agreement or which are permitted to have been organized or acquired after the Closing Date in accordance with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6.9</w:t>
      </w:r>
      <w:r>
        <w:rPr>
          <w:sz w:val="20"/>
          <w:szCs w:val="20"/>
          <w:color w:val="auto"/>
        </w:rPr>
        <w:tab/>
      </w:r>
      <w:r>
        <w:rPr>
          <w:rFonts w:ascii="Times New Roman" w:cs="Times New Roman" w:eastAsia="Times New Roman" w:hAnsi="Times New Roman"/>
          <w:sz w:val="21"/>
          <w:szCs w:val="21"/>
          <w:u w:val="single" w:color="auto"/>
          <w:color w:val="auto"/>
        </w:rPr>
        <w:t>Ownership of Properties</w:t>
      </w:r>
      <w:r>
        <w:rPr>
          <w:rFonts w:ascii="Times New Roman" w:cs="Times New Roman" w:eastAsia="Times New Roman" w:hAnsi="Times New Roman"/>
          <w:sz w:val="21"/>
          <w:szCs w:val="21"/>
          <w:color w:val="auto"/>
        </w:rPr>
        <w:t>. Each of the Borrower and each Subsidiary owns in all material respects</w:t>
      </w:r>
    </w:p>
    <w:p>
      <w:pPr>
        <w:ind w:right="160" w:firstLine="8"/>
        <w:spacing w:after="0" w:line="212" w:lineRule="auto"/>
        <w:tabs>
          <w:tab w:leader="none" w:pos="25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owned real property, good and marketable fee title to, and (ii) in the case of owned personal property, good and valid title to, or, in the case of leased real or personal property, valid and enforceable leasehold interests (as the case may be) in, all of its properties and assets, tangible and intangible, of any nature whatsoever, that are reasonably necessary in the ordinary conduct of the business of the Borrower and its Subsidiaries, free and clear in each case of all Liens or claims, except for Liens permitted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Borrower and each Subsidiary has filed all federal and material foreign, state and local tax returns and reports required by Law to have been filed by it and has paid all material Taxes due and owing, except any such Taxes which are being diligently contested in good faith by appropriate proceedings and for which adequate reserves in accordance with GAAP shall have been set aside on its books.</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6.11 </w:t>
      </w:r>
      <w:r>
        <w:rPr>
          <w:rFonts w:ascii="Times New Roman" w:cs="Times New Roman" w:eastAsia="Times New Roman" w:hAnsi="Times New Roman"/>
          <w:sz w:val="21"/>
          <w:szCs w:val="21"/>
          <w:u w:val="single" w:color="auto"/>
          <w:color w:val="auto"/>
        </w:rPr>
        <w:t>Benefit Plans, Etc</w:t>
      </w:r>
      <w:r>
        <w:rPr>
          <w:rFonts w:ascii="Times New Roman" w:cs="Times New Roman" w:eastAsia="Times New Roman" w:hAnsi="Times New Roman"/>
          <w:sz w:val="21"/>
          <w:szCs w:val="21"/>
          <w:color w:val="auto"/>
        </w:rPr>
        <w:t>. Except as set forth on Schedule 6.11, none of the Borrower or any of the Subsidiaries or any of their respective ERISA Affiliates sponsors, maintains, contributes to, is required to contribute to, or has any actual or potential liability with respect to, any Benefit Plan. None of the Borrower or any of the Subsidiaries is a party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395" w:right="339" w:bottom="1440" w:gutter="0" w:footer="0" w:header="0"/>
        </w:sectPr>
      </w:pPr>
    </w:p>
    <w:bookmarkStart w:id="58" w:name="page59"/>
    <w:bookmarkEnd w:id="58"/>
    <w:p>
      <w:pPr>
        <w:ind w:right="20"/>
        <w:spacing w:after="0" w:line="210" w:lineRule="auto"/>
        <w:rPr>
          <w:sz w:val="20"/>
          <w:szCs w:val="20"/>
          <w:color w:val="auto"/>
        </w:rPr>
      </w:pPr>
      <w:r>
        <w:rPr>
          <w:rFonts w:ascii="Times New Roman" w:cs="Times New Roman" w:eastAsia="Times New Roman" w:hAnsi="Times New Roman"/>
          <w:sz w:val="22"/>
          <w:szCs w:val="22"/>
          <w:color w:val="auto"/>
        </w:rPr>
        <w:t xml:space="preserve">collective bargaining agreement and none of the employees of the Borrower or any of the Subsidiaries are subject to any collective bargaining agreement with respect to their employment with Borrower or any of its Subsidiaries. Each “employee benefit plan,” as defined in Section 3(3) of ERISA, that provides retirement benefits, is sponsored by the Borrower or any of their ERISA Affiliates, and is intended to be tax qualified under section 401 of the Code has a determination letter or opinion letter from the Internal Revenue Service on which it remains entitled to rely, and no assets of any such plan are directly invested in Capital Securities of the Borrower. Each employee benefit plan, program or arrangement that is sponsored, maintained, contributed to or required to be contributed to by the Borrower or any Subsidiary has complied, both in form and in operation, in all respects with its terms and applicable Law, except as would not, individually or in the aggregate, result in any Material Adverse Effect. Except as set forth on </w:t>
      </w:r>
      <w:r>
        <w:rPr>
          <w:rFonts w:ascii="Times New Roman" w:cs="Times New Roman" w:eastAsia="Times New Roman" w:hAnsi="Times New Roman"/>
          <w:sz w:val="22"/>
          <w:szCs w:val="22"/>
          <w:u w:val="single" w:color="auto"/>
          <w:color w:val="auto"/>
        </w:rPr>
        <w:t>Schedule 6.11</w:t>
      </w:r>
      <w:r>
        <w:rPr>
          <w:rFonts w:ascii="Times New Roman" w:cs="Times New Roman" w:eastAsia="Times New Roman" w:hAnsi="Times New Roman"/>
          <w:sz w:val="22"/>
          <w:szCs w:val="22"/>
          <w:color w:val="auto"/>
        </w:rPr>
        <w:t>, each employee benefit plan as defined in Section 3(3) of ERISA that provides medical, dental, vision, or long-term disability benefits and that is sponsored by the Borrower or any of its Subsidiaries or any of their ERISA Affiliates (or under which any of these entities has any actual or potential liability), is fully insured by a third-party insurance company.</w:t>
      </w:r>
    </w:p>
    <w:p>
      <w:pPr>
        <w:spacing w:after="0" w:line="152"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Accuracy of Information</w:t>
      </w:r>
      <w:r>
        <w:rPr>
          <w:rFonts w:ascii="Times New Roman" w:cs="Times New Roman" w:eastAsia="Times New Roman" w:hAnsi="Times New Roman"/>
          <w:sz w:val="22"/>
          <w:szCs w:val="22"/>
          <w:color w:val="auto"/>
        </w:rPr>
        <w:t xml:space="preserve">. None of the written information (other than any projections, estimates and </w:t>
      </w:r>
      <w:r>
        <w:rPr>
          <w:rFonts w:ascii="Times New Roman" w:cs="Times New Roman" w:eastAsia="Times New Roman" w:hAnsi="Times New Roman"/>
          <w:sz w:val="22"/>
          <w:szCs w:val="22"/>
          <w:i w:val="1"/>
          <w:iCs w:val="1"/>
          <w:color w:val="auto"/>
        </w:rPr>
        <w:t xml:space="preserve">pro forma </w:t>
      </w:r>
      <w:r>
        <w:rPr>
          <w:rFonts w:ascii="Times New Roman" w:cs="Times New Roman" w:eastAsia="Times New Roman" w:hAnsi="Times New Roman"/>
          <w:sz w:val="22"/>
          <w:szCs w:val="22"/>
          <w:color w:val="auto"/>
        </w:rPr>
        <w:t>financial information and any general economic or specific industry information) heretofore or contemporaneously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furnished in writing to the Administrative Agent or any Lender by or on behalf of the Borrower or any Subsidiary in connection with any Loan Document or any transaction contemplated hereby when furnished and when taken as a whole, contains any untrue statement of a material fact, or omits to state any material fact necessary to make any such information not misleading in a material respect in light of the circumstances under which such statements were made. All financial projections and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financial information delivered to the Administrative Agent and the Lenders by the Borrower (or its agents) have been prepared on the basis of good faith estimates and assumptions believed by the Borrower to be fair and reasonable in light of current business conditions as of the date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projections are subject to uncertainties and contingencies, that no assurances can be given that any particular projections will be attained and that actual results during the period or periods covered by such financial information may differ significantly from the projected results set forth therein and that such differences may be material.</w:t>
      </w:r>
    </w:p>
    <w:p>
      <w:pPr>
        <w:spacing w:after="0" w:line="152"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Regulations U and X</w:t>
      </w:r>
      <w:r>
        <w:rPr>
          <w:rFonts w:ascii="Times New Roman" w:cs="Times New Roman" w:eastAsia="Times New Roman" w:hAnsi="Times New Roman"/>
          <w:sz w:val="22"/>
          <w:szCs w:val="22"/>
          <w:color w:val="auto"/>
        </w:rPr>
        <w:t xml:space="preserve">. None of the Borrower or any Subsidiary is engaged in the business of extending credit for the purpose of buying or carrying margin stock, and no part of the proceeds of the Loans will be used to purchase or carry any margin stock or otherwise for a purchase which violates F.R.S. Board Regulation U or Regulation X. Terms for which meanings are provided in F.R.S. Board Regulation U or Regulation X or any regulations substituted therefor, as from time to time in effect, are used in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with such meanings.</w:t>
      </w:r>
    </w:p>
    <w:p>
      <w:pPr>
        <w:spacing w:after="0" w:line="152"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On the Closing Date and each Delayed Draw Closing Date, as applicable, after giving effect to the incurrence of the Initial Loans and the applicable Delayed Draw Loans, respectively, and the use of proceeds of such Loans, the Borrower and the Subsidiaries taken as a whole, on a consolidated basis, both before and after giving effect to the Loans, are Solvent.</w:t>
      </w:r>
    </w:p>
    <w:p>
      <w:pPr>
        <w:spacing w:after="0" w:line="152"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6.15</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180" w:firstLine="656"/>
        <w:spacing w:after="0" w:line="220" w:lineRule="auto"/>
        <w:tabs>
          <w:tab w:leader="none" w:pos="129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6.15(a)(1)</w:t>
      </w:r>
      <w:r>
        <w:rPr>
          <w:rFonts w:ascii="Times New Roman" w:cs="Times New Roman" w:eastAsia="Times New Roman" w:hAnsi="Times New Roman"/>
          <w:sz w:val="22"/>
          <w:szCs w:val="22"/>
          <w:color w:val="auto"/>
        </w:rPr>
        <w:t xml:space="preserve"> sets forth a complete and accurate list as of the Closing Date or the relevant Delayed Draw Closing Date, as the case may be, of all (x) Patents, including any Patent applications, (w) registered Trademarks (including domain names) and any pending registrations or applications for Trademarks, (x) registered Copyrights and any applications for Copyright registration, in case of clause (x), owned by the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395" w:right="339" w:bottom="1440" w:gutter="0" w:footer="0" w:header="0"/>
        </w:sectPr>
      </w:pPr>
    </w:p>
    <w:bookmarkStart w:id="59" w:name="page60"/>
    <w:bookmarkEnd w:id="59"/>
    <w:p>
      <w:pPr>
        <w:ind w:right="20"/>
        <w:spacing w:after="0" w:line="222" w:lineRule="auto"/>
        <w:rPr>
          <w:sz w:val="20"/>
          <w:szCs w:val="20"/>
          <w:color w:val="auto"/>
        </w:rPr>
      </w:pPr>
      <w:r>
        <w:rPr>
          <w:rFonts w:ascii="Times New Roman" w:cs="Times New Roman" w:eastAsia="Times New Roman" w:hAnsi="Times New Roman"/>
          <w:sz w:val="21"/>
          <w:szCs w:val="21"/>
          <w:u w:val="single" w:color="auto"/>
          <w:color w:val="auto"/>
        </w:rPr>
        <w:t>Schedule 6.15(a)(2)</w:t>
      </w:r>
      <w:r>
        <w:rPr>
          <w:rFonts w:ascii="Times New Roman" w:cs="Times New Roman" w:eastAsia="Times New Roman" w:hAnsi="Times New Roman"/>
          <w:sz w:val="21"/>
          <w:szCs w:val="21"/>
          <w:color w:val="auto"/>
        </w:rPr>
        <w:t xml:space="preserve"> sets forth a complete and accurate list as of the Closing Date or the relevant Delayed Draw Closing Date, as the case may be, of all material in-bound license agreements, or material sublicense agreements with respect to any Intellectual Property that is owned by a Third Party and that is used in and material to the operation of the business of the Borrower and the Subsidiaries as currently conducted (but excluding inbound licenses of over-the-counter or “open source” software that is commercially available to the public or licenses to other Intellectual Property licensed or otherwise made available pursuant to a click-wrap, shrink wrap or similar agreement or on a subscription basis). For each item of Intellectual Property listed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6.15(a)(1)</w:t>
      </w:r>
      <w:r>
        <w:rPr>
          <w:rFonts w:ascii="Times New Roman" w:cs="Times New Roman" w:eastAsia="Times New Roman" w:hAnsi="Times New Roman"/>
          <w:sz w:val="21"/>
          <w:szCs w:val="21"/>
          <w:color w:val="auto"/>
        </w:rPr>
        <w:t>, the Borrower has, where relevant, indicated (A) the countries in which such item is registered, (B) the application numbers, (C) the registration or patent numbers, (D) the owner of such item of Intellectual Property owned by any Third Party.</w:t>
      </w:r>
    </w:p>
    <w:p>
      <w:pPr>
        <w:spacing w:after="0" w:line="157" w:lineRule="exact"/>
        <w:rPr>
          <w:sz w:val="20"/>
          <w:szCs w:val="20"/>
          <w:color w:val="auto"/>
        </w:rPr>
      </w:pPr>
    </w:p>
    <w:p>
      <w:pPr>
        <w:ind w:firstLine="656"/>
        <w:spacing w:after="0" w:line="225" w:lineRule="auto"/>
        <w:tabs>
          <w:tab w:leader="none" w:pos="12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Borrower, the Owned Intellectual Property and Licensed Intellectual Property together constitute all material Intellectual Property that is necessary for the operation of the business of the Borrower and the Subsidiaries as currently conducted and as currently proposed to be conducted.</w:t>
      </w:r>
    </w:p>
    <w:p>
      <w:pPr>
        <w:spacing w:after="0" w:line="152" w:lineRule="exact"/>
        <w:rPr>
          <w:rFonts w:ascii="Times New Roman" w:cs="Times New Roman" w:eastAsia="Times New Roman" w:hAnsi="Times New Roman"/>
          <w:sz w:val="22"/>
          <w:szCs w:val="22"/>
          <w:color w:val="auto"/>
        </w:rPr>
      </w:pPr>
    </w:p>
    <w:p>
      <w:pPr>
        <w:ind w:firstLine="656"/>
        <w:spacing w:after="0" w:line="212" w:lineRule="auto"/>
        <w:tabs>
          <w:tab w:leader="none" w:pos="129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Borrower and each Subsidiary owns, or has a valid license or rights in any other form, as applicable, to all rights associated with the Owned Intellectual Property that is material for the operation of the business of the Borrower and its Subsidiaries, except for jointly owned Intellectual Property as indicated in </w:t>
      </w:r>
      <w:r>
        <w:rPr>
          <w:rFonts w:ascii="Times New Roman" w:cs="Times New Roman" w:eastAsia="Times New Roman" w:hAnsi="Times New Roman"/>
          <w:sz w:val="22"/>
          <w:szCs w:val="22"/>
          <w:u w:val="single" w:color="auto"/>
          <w:color w:val="auto"/>
        </w:rPr>
        <w:t>Schedule 6.15(a)(1)</w:t>
      </w:r>
      <w:r>
        <w:rPr>
          <w:rFonts w:ascii="Times New Roman" w:cs="Times New Roman" w:eastAsia="Times New Roman" w:hAnsi="Times New Roman"/>
          <w:sz w:val="22"/>
          <w:szCs w:val="22"/>
          <w:color w:val="auto"/>
        </w:rPr>
        <w:t xml:space="preserve"> in which case Borrower and each Subsidiary has such rights over its portion of such Owned Intellectual Property, and the Licensed Intellectual Property that is material for the operation of the business of the Borrower and its Subsidiaries, in each case, in all material respects. The Owned Intellectual Property and the agreements associated with the Licensed Intellectual Property are free and clear of any and all Liens other than Liens permitted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6.15(c)</w:t>
      </w:r>
      <w:r>
        <w:rPr>
          <w:rFonts w:ascii="Times New Roman" w:cs="Times New Roman" w:eastAsia="Times New Roman" w:hAnsi="Times New Roman"/>
          <w:sz w:val="22"/>
          <w:szCs w:val="22"/>
          <w:color w:val="auto"/>
        </w:rPr>
        <w:t xml:space="preserve"> shall not be construed as a representation that the Borrower or any Subsidiary is Infringing any Intellectual Property of any Person.</w:t>
      </w:r>
    </w:p>
    <w:p>
      <w:pPr>
        <w:spacing w:after="0" w:line="156" w:lineRule="exact"/>
        <w:rPr>
          <w:rFonts w:ascii="Times New Roman" w:cs="Times New Roman" w:eastAsia="Times New Roman" w:hAnsi="Times New Roman"/>
          <w:sz w:val="22"/>
          <w:szCs w:val="22"/>
          <w:color w:val="auto"/>
        </w:rPr>
      </w:pPr>
    </w:p>
    <w:p>
      <w:pPr>
        <w:ind w:right="20" w:firstLine="656"/>
        <w:spacing w:after="0" w:line="211" w:lineRule="auto"/>
        <w:tabs>
          <w:tab w:leader="none" w:pos="12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a Subsidiary, as applicable, is the sole and exclusive owner of all right, title and interest in and to all of its Owned Intellectual Property that is material for the operation of the business of the Borrower and its Subsidiaries, except for jointly owned Intellectual Property as indicated in </w:t>
      </w:r>
      <w:r>
        <w:rPr>
          <w:rFonts w:ascii="Times New Roman" w:cs="Times New Roman" w:eastAsia="Times New Roman" w:hAnsi="Times New Roman"/>
          <w:sz w:val="22"/>
          <w:szCs w:val="22"/>
          <w:u w:val="single" w:color="auto"/>
          <w:color w:val="auto"/>
        </w:rPr>
        <w:t>Schedule 6.15(a)(1)</w:t>
      </w:r>
      <w:r>
        <w:rPr>
          <w:rFonts w:ascii="Times New Roman" w:cs="Times New Roman" w:eastAsia="Times New Roman" w:hAnsi="Times New Roman"/>
          <w:sz w:val="22"/>
          <w:szCs w:val="22"/>
          <w:color w:val="auto"/>
        </w:rPr>
        <w:t xml:space="preserve"> in which case Borrower and each Subsidiary has such rights over its portion of such Owned Intellectual Property, and with respect to such Owned Intellectual Property, has possession of a proper chain of title from each inventor of any technology claimed in any Patent or Patent application assigning full unconditional ownership to each of the Borrower or such Subsidiary, as applicable, in each case of the foregoing, in all material respects. All Owned Intellectual Property that is material for the operation of the business of the Borrower and its Subsidiaries is subsisting and has not expired, lapsed or been forfeited, cancelled or abandoned unless (A) permitted hereunder or (B) such expiration, lapse, forfeiture, cancellation or abandonment occurred in the normal course of prosecution of such material Owned Intellectual Property with a Governmental Authority.</w:t>
      </w:r>
    </w:p>
    <w:p>
      <w:pPr>
        <w:spacing w:after="0" w:line="151" w:lineRule="exact"/>
        <w:rPr>
          <w:rFonts w:ascii="Times New Roman" w:cs="Times New Roman" w:eastAsia="Times New Roman" w:hAnsi="Times New Roman"/>
          <w:sz w:val="22"/>
          <w:szCs w:val="22"/>
          <w:color w:val="auto"/>
        </w:rPr>
      </w:pPr>
    </w:p>
    <w:p>
      <w:pPr>
        <w:ind w:right="20" w:firstLine="656"/>
        <w:spacing w:after="0" w:line="236" w:lineRule="auto"/>
        <w:tabs>
          <w:tab w:leader="none" w:pos="1293"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 and each Subsidiary, as applicable, has taken commercially reasonable actions to maintain and protect all Owned Intellectual Property, including by timely paying all registration, maintenance, renewal and annuity fees, as applicable, except where the failure to take such action would not reasonably be expected to cause a Material Adverse Effect.</w:t>
      </w:r>
    </w:p>
    <w:p>
      <w:pPr>
        <w:spacing w:after="0" w:line="151" w:lineRule="exact"/>
        <w:rPr>
          <w:rFonts w:ascii="Times New Roman" w:cs="Times New Roman" w:eastAsia="Times New Roman" w:hAnsi="Times New Roman"/>
          <w:sz w:val="21"/>
          <w:szCs w:val="21"/>
          <w:color w:val="auto"/>
        </w:rPr>
      </w:pPr>
    </w:p>
    <w:p>
      <w:pPr>
        <w:ind w:right="60" w:firstLine="656"/>
        <w:spacing w:after="0" w:line="217"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6.15(f)</w:t>
      </w:r>
      <w:r>
        <w:rPr>
          <w:rFonts w:ascii="Times New Roman" w:cs="Times New Roman" w:eastAsia="Times New Roman" w:hAnsi="Times New Roman"/>
          <w:sz w:val="22"/>
          <w:szCs w:val="22"/>
          <w:color w:val="auto"/>
        </w:rPr>
        <w:t>, (i) there is no proceeding challenging the ownership, inventorship validity or enforceability of any Owned Intellectual Property (other than in the normal course of prosecution of such Owned Intellectual Property with a Governmental Authority), (ii) neither the Borrower nor any of the Subsidiaries is involved in any proceeding where it is challenging the ownership, validity or enforceability of any Intellectual Property of any other Person, and (iii) none of the Owned Intellectual Property is the subject of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395" w:right="339" w:bottom="1440" w:gutter="0" w:footer="0" w:header="0"/>
        </w:sectPr>
      </w:pPr>
    </w:p>
    <w:bookmarkStart w:id="60" w:name="page61"/>
    <w:bookmarkEnd w:id="60"/>
    <w:p>
      <w:pPr>
        <w:ind w:right="900"/>
        <w:spacing w:after="0" w:line="236" w:lineRule="auto"/>
        <w:rPr>
          <w:sz w:val="20"/>
          <w:szCs w:val="20"/>
          <w:color w:val="auto"/>
        </w:rPr>
      </w:pPr>
      <w:r>
        <w:rPr>
          <w:rFonts w:ascii="Times New Roman" w:cs="Times New Roman" w:eastAsia="Times New Roman" w:hAnsi="Times New Roman"/>
          <w:sz w:val="22"/>
          <w:szCs w:val="22"/>
          <w:color w:val="auto"/>
        </w:rPr>
        <w:t>Other Administrative Proceeding, except in each case, on any Delayed Draw Closing Date, where such challenge is not reasonably expected to be material to the Borrower and its Subsidiaries.</w:t>
      </w:r>
    </w:p>
    <w:p>
      <w:pPr>
        <w:spacing w:after="0" w:line="150" w:lineRule="exact"/>
        <w:rPr>
          <w:sz w:val="20"/>
          <w:szCs w:val="20"/>
          <w:color w:val="auto"/>
        </w:rPr>
      </w:pPr>
    </w:p>
    <w:p>
      <w:pPr>
        <w:ind w:right="40" w:firstLine="656"/>
        <w:spacing w:after="0" w:line="220"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6.15(g)</w:t>
      </w:r>
      <w:r>
        <w:rPr>
          <w:rFonts w:ascii="Times New Roman" w:cs="Times New Roman" w:eastAsia="Times New Roman" w:hAnsi="Times New Roman"/>
          <w:sz w:val="22"/>
          <w:szCs w:val="22"/>
          <w:color w:val="auto"/>
        </w:rPr>
        <w:t>, to the knowledge of the Borrower, (i) all Owned Intellectual Property and the Licensed Intellectual Property is valid and enforceable, and (ii) no event has occurred, and nothing has been done or omitted to have been done, that would affect the validity or enforceability of any Owned Intellectual Property or Licensed Intellectual Property, except where such event is not reasonably expected to have a Material Adverse Effect.</w:t>
      </w:r>
    </w:p>
    <w:p>
      <w:pPr>
        <w:spacing w:after="0" w:line="152" w:lineRule="exact"/>
        <w:rPr>
          <w:rFonts w:ascii="Times New Roman" w:cs="Times New Roman" w:eastAsia="Times New Roman" w:hAnsi="Times New Roman"/>
          <w:sz w:val="22"/>
          <w:szCs w:val="22"/>
          <w:color w:val="auto"/>
        </w:rPr>
      </w:pPr>
    </w:p>
    <w:p>
      <w:pPr>
        <w:ind w:firstLine="656"/>
        <w:spacing w:after="0" w:line="215"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claims pending or threatened in writing that have been brought by the Borrower or any of the Subsidiaries against any Person alleging Infringement of any Owned Intellectual Property or Licensed Intellectual Property, except for, on any Delayed Draw Closing Date, any claims that are not reasonably expected to be material to the Borrower and its Subsidiaries. To the knowledge of the Borrower, no Third Party is committing any act of Infringement of any Owned Intellectual Property or Licensed Intellectual Property, except where such Infringement is not reasonably expected to have a Material Adverse Effect.</w:t>
      </w:r>
    </w:p>
    <w:p>
      <w:pPr>
        <w:spacing w:after="0" w:line="152" w:lineRule="exact"/>
        <w:rPr>
          <w:rFonts w:ascii="Times New Roman" w:cs="Times New Roman" w:eastAsia="Times New Roman" w:hAnsi="Times New Roman"/>
          <w:sz w:val="22"/>
          <w:szCs w:val="22"/>
          <w:color w:val="auto"/>
        </w:rPr>
      </w:pPr>
    </w:p>
    <w:p>
      <w:pPr>
        <w:ind w:firstLine="656"/>
        <w:spacing w:after="0" w:line="211" w:lineRule="auto"/>
        <w:tabs>
          <w:tab w:leader="none" w:pos="128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license agreement listed on </w:t>
      </w:r>
      <w:r>
        <w:rPr>
          <w:rFonts w:ascii="Times New Roman" w:cs="Times New Roman" w:eastAsia="Times New Roman" w:hAnsi="Times New Roman"/>
          <w:sz w:val="22"/>
          <w:szCs w:val="22"/>
          <w:u w:val="single" w:color="auto"/>
          <w:color w:val="auto"/>
        </w:rPr>
        <w:t>Schedule 6.15(a)(2)</w:t>
      </w:r>
      <w:r>
        <w:rPr>
          <w:rFonts w:ascii="Times New Roman" w:cs="Times New Roman" w:eastAsia="Times New Roman" w:hAnsi="Times New Roman"/>
          <w:sz w:val="22"/>
          <w:szCs w:val="22"/>
          <w:color w:val="auto"/>
        </w:rPr>
        <w:t>, such license agreement (i) is in full force and effect and is binding upon and enforceable against the Borrower and the Subsidiaries to the extent party thereto and, to the knowledge of the Borrower, all other parties thereto in accordance with its terms, (ii) has not been amended or otherwise modified, except as set forth on Schedule 6.15(a)(2), and (iii) has not suffered a material default or material breach thereunder (and with respect to material defaults or material breaches of parties other than the Borrower and the Subsidiaries to such license agreements, to the knowledge of the Borrower). With respect to each license agreement listed on Schedule 6.15(a)(2), to the Borrower’s knowledge, neither the Borrower nor any of the Subsidiaries has taken or omitted to take any action that would permit any other Person party to such license agreement to have, and, no such Person otherwise has, any defenses, counterclaims, termination rights or rights of setoff thereunder that could reasonably be expected to be material to the Borrower and its Subsidiaries.</w:t>
      </w:r>
    </w:p>
    <w:p>
      <w:pPr>
        <w:spacing w:after="0" w:line="151" w:lineRule="exact"/>
        <w:rPr>
          <w:rFonts w:ascii="Times New Roman" w:cs="Times New Roman" w:eastAsia="Times New Roman" w:hAnsi="Times New Roman"/>
          <w:sz w:val="22"/>
          <w:szCs w:val="22"/>
          <w:color w:val="auto"/>
        </w:rPr>
      </w:pPr>
    </w:p>
    <w:p>
      <w:pPr>
        <w:ind w:right="80" w:firstLine="656"/>
        <w:spacing w:after="0" w:line="221" w:lineRule="auto"/>
        <w:tabs>
          <w:tab w:leader="none" w:pos="128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of the Closing Date and each Delayed Draw Closing Date, as the case may be, except as set forth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6.15(j)(1)</w:t>
      </w:r>
      <w:r>
        <w:rPr>
          <w:rFonts w:ascii="Times New Roman" w:cs="Times New Roman" w:eastAsia="Times New Roman" w:hAnsi="Times New Roman"/>
          <w:sz w:val="21"/>
          <w:szCs w:val="21"/>
          <w:color w:val="auto"/>
        </w:rPr>
        <w:t xml:space="preserve">, and as would not reasonably be expected to be material to the Borrower and its Subsidiaries, neither the Borrower nor any of the Subsidiaries has received written notice or, to the knowledge of the Borrower, any other communications from any Third Party: (i) alleging that the conduct of the business of the Borrower or any of the Subsidiaries (including the development, manufacture, use, sale or other commercialization of any Product) Infringes any Intellectual Property of that or any other Third Party or (ii) challenging the validity or enforceability of any Patent owned by the Borrower or any Subsidiary (other than in the normal course of prosecution of such Patent with a Governmental Authority). To the knowledge of the Borrower, except as set forth on </w:t>
      </w:r>
      <w:r>
        <w:rPr>
          <w:rFonts w:ascii="Times New Roman" w:cs="Times New Roman" w:eastAsia="Times New Roman" w:hAnsi="Times New Roman"/>
          <w:sz w:val="21"/>
          <w:szCs w:val="21"/>
          <w:u w:val="single" w:color="auto"/>
          <w:color w:val="auto"/>
        </w:rPr>
        <w:t>Schedule 6.15(j)(2)</w:t>
      </w:r>
      <w:r>
        <w:rPr>
          <w:rFonts w:ascii="Times New Roman" w:cs="Times New Roman" w:eastAsia="Times New Roman" w:hAnsi="Times New Roman"/>
          <w:sz w:val="21"/>
          <w:szCs w:val="21"/>
          <w:color w:val="auto"/>
        </w:rPr>
        <w:t>, the conduct of its respective business and the business of the Subsidiaries (including the development, manufacture, use, sale or other commercialization of any Product) does not Infringe any Intellectual Property of any Third Party, except as would not reasonably be expected to be material to the Borrower and its Subsidiaries.</w:t>
      </w:r>
    </w:p>
    <w:p>
      <w:pPr>
        <w:spacing w:after="0" w:line="152" w:lineRule="exact"/>
        <w:rPr>
          <w:rFonts w:ascii="Times New Roman" w:cs="Times New Roman" w:eastAsia="Times New Roman" w:hAnsi="Times New Roman"/>
          <w:sz w:val="21"/>
          <w:szCs w:val="21"/>
          <w:color w:val="auto"/>
        </w:rPr>
      </w:pPr>
    </w:p>
    <w:p>
      <w:pPr>
        <w:ind w:right="140" w:firstLine="656"/>
        <w:spacing w:after="0" w:line="220"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the Subsidiaries have used commercially reasonable efforts and precautions to protect, to the extent material to the business of the Borrower and its Subsidiaries, their (i) rights in, and with respect to, Confidential Business Information, and maintain the confidentiality of, their respective Owned Intellectual Property and (ii) respective commercially significant unregistered Intellectual Property.</w:t>
      </w:r>
    </w:p>
    <w:p>
      <w:pPr>
        <w:spacing w:after="0" w:line="152" w:lineRule="exact"/>
        <w:rPr>
          <w:sz w:val="20"/>
          <w:szCs w:val="20"/>
          <w:color w:val="auto"/>
        </w:rPr>
      </w:pPr>
    </w:p>
    <w:p>
      <w:pPr>
        <w:ind w:right="3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6.16 </w:t>
      </w:r>
      <w:r>
        <w:rPr>
          <w:rFonts w:ascii="Times New Roman" w:cs="Times New Roman" w:eastAsia="Times New Roman" w:hAnsi="Times New Roman"/>
          <w:sz w:val="22"/>
          <w:szCs w:val="22"/>
          <w:u w:val="single" w:color="auto"/>
          <w:color w:val="auto"/>
        </w:rPr>
        <w:t>Material Agreements</w:t>
      </w:r>
      <w:r>
        <w:rPr>
          <w:rFonts w:ascii="Times New Roman" w:cs="Times New Roman" w:eastAsia="Times New Roman" w:hAnsi="Times New Roman"/>
          <w:sz w:val="22"/>
          <w:szCs w:val="22"/>
          <w:color w:val="auto"/>
        </w:rPr>
        <w:t xml:space="preserve">. Set forth in Part I of </w:t>
      </w:r>
      <w:r>
        <w:rPr>
          <w:rFonts w:ascii="Times New Roman" w:cs="Times New Roman" w:eastAsia="Times New Roman" w:hAnsi="Times New Roman"/>
          <w:sz w:val="22"/>
          <w:szCs w:val="22"/>
          <w:u w:val="single" w:color="auto"/>
          <w:color w:val="auto"/>
        </w:rPr>
        <w:t>Schedule 6.16</w:t>
      </w:r>
      <w:r>
        <w:rPr>
          <w:rFonts w:ascii="Times New Roman" w:cs="Times New Roman" w:eastAsia="Times New Roman" w:hAnsi="Times New Roman"/>
          <w:sz w:val="22"/>
          <w:szCs w:val="22"/>
          <w:color w:val="auto"/>
        </w:rPr>
        <w:t xml:space="preserve"> is a complete and accurate list as of the Closing Date or the relevant Delayed Draw Closing Date,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395" w:right="359" w:bottom="1440" w:gutter="0" w:footer="0" w:header="0"/>
        </w:sectPr>
      </w:pPr>
    </w:p>
    <w:bookmarkStart w:id="61" w:name="page62"/>
    <w:bookmarkEnd w:id="61"/>
    <w:p>
      <w:pPr>
        <w:ind w:right="20"/>
        <w:spacing w:after="0" w:line="219" w:lineRule="auto"/>
        <w:rPr>
          <w:sz w:val="20"/>
          <w:szCs w:val="20"/>
          <w:color w:val="auto"/>
        </w:rPr>
      </w:pPr>
      <w:r>
        <w:rPr>
          <w:rFonts w:ascii="Times New Roman" w:cs="Times New Roman" w:eastAsia="Times New Roman" w:hAnsi="Times New Roman"/>
          <w:sz w:val="21"/>
          <w:szCs w:val="21"/>
          <w:color w:val="auto"/>
        </w:rPr>
        <w:t xml:space="preserve">the case may be, of all Material Agreements of the Borrower and the Subsidiaries, including any amendments and modifications thereto. Except for the Material Agreements set forth in Part II of </w:t>
      </w:r>
      <w:r>
        <w:rPr>
          <w:rFonts w:ascii="Times New Roman" w:cs="Times New Roman" w:eastAsia="Times New Roman" w:hAnsi="Times New Roman"/>
          <w:sz w:val="21"/>
          <w:szCs w:val="21"/>
          <w:u w:val="single" w:color="auto"/>
          <w:color w:val="auto"/>
        </w:rPr>
        <w:t>Schedule 6.16</w:t>
      </w:r>
      <w:r>
        <w:rPr>
          <w:rFonts w:ascii="Times New Roman" w:cs="Times New Roman" w:eastAsia="Times New Roman" w:hAnsi="Times New Roman"/>
          <w:sz w:val="21"/>
          <w:szCs w:val="21"/>
          <w:color w:val="auto"/>
        </w:rPr>
        <w:t xml:space="preserve"> which are subject to applicable confidentiality restrictions, the Borrower has provided to the Administrative Agent and the Lenders full, complete and correct copies of all Material Agreements (including all exhibits and schedules thereto) as of the Closing Date or the relevant Delayed Draw Closing Date, as the case may be. Each Material Agreement is in full force and effect (except to the extent terminated after the Closing Date in accordance with its terms and not as a result of a default thereunder) and the legal, valid and binding obligation of (x) the Borrower or the Subsidiary party thereto and, (y) to the knowledge of the Borrower, the other parties thereto, enforceable against the Borrower and the Subsidiaries party thereto and all other parties thereto in accordance with its terms (except, in any case, as such enforceability may be limited by applicable bankruptcy, insolvency, reorganization or similar laws affecting creditors’ rights generally and by principles of equity). (A) Neither the Borrower nor any of the Subsidiaries is, in any material respect, in breach or in default under any Material Agreement, nor has the Borrower or any of the Subsidiaries taken any action that would permit any other Person party to any Material Agreement to have, and no such Person otherwise has, any defenses, counterclaims, termination rights or rights of setoff thereunder and (B) to the knowledge of the Borrower, no such other Person party to such Material Agreement is, in any material respect, in breach or in default thereunder.</w:t>
      </w:r>
    </w:p>
    <w:p>
      <w:pPr>
        <w:spacing w:after="0" w:line="155"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6.17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The Borrower and the Subsidiaries have all material Permits required for the ownership, operation and conduct of their business, as currently conducted, including their testing and distribution of the Products. All such Permits are validly held, and there are no defaults thereunder, except as could not reasonably be expected to have a Material Adverse Effect.</w:t>
      </w:r>
    </w:p>
    <w:p>
      <w:pPr>
        <w:spacing w:after="0" w:line="152"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6.18</w:t>
      </w:r>
      <w:r>
        <w:rPr>
          <w:sz w:val="20"/>
          <w:szCs w:val="20"/>
          <w:color w:val="auto"/>
        </w:rPr>
        <w:tab/>
      </w:r>
      <w:r>
        <w:rPr>
          <w:rFonts w:ascii="Times New Roman" w:cs="Times New Roman" w:eastAsia="Times New Roman" w:hAnsi="Times New Roman"/>
          <w:sz w:val="21"/>
          <w:szCs w:val="21"/>
          <w:u w:val="single" w:color="auto"/>
          <w:color w:val="auto"/>
        </w:rPr>
        <w:t>Regulatory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180" w:firstLine="656"/>
        <w:spacing w:after="0" w:line="217" w:lineRule="auto"/>
        <w:tabs>
          <w:tab w:leader="none" w:pos="12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required notices, registrations and listings, supplemental applications or notifications, reports and other required filings with respect to the Products have been filed with applicable Governmental Authorities, except where the failure to file the same would not, whether individually or in the aggregate, reasonably be expected to have a Material Adverse Effect. None of the Borrower or any of the Subsidiaries has received any written notice that any Key Permits have been or are being revoked, withdrawn, suspended, or materially limited.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each case as would not reasonably be expected to have a Material Adverse Effect, since January 1, 2020,</w:t>
      </w:r>
    </w:p>
    <w:p>
      <w:pPr>
        <w:ind w:firstLine="8"/>
        <w:spacing w:after="0" w:line="217" w:lineRule="auto"/>
        <w:tabs>
          <w:tab w:leader="none" w:pos="25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Products, as well as the business of the Borrower and the Subsidiaries, comply with (A) all applicable Laws, including, without limitation, applicable requirements of CLIA and the FD&amp;C Act, and (B) the terms of all Product Authorizations and Key Permits; (ii) all laboratory testing services have been conducted in compliance with applicable requirements of CLIA and all applicable federal and state laws regarding laboratory testing services; (iii) all LDTs have been designed, developed, validated, performed and otherwise commercialized in compliance with applicable requirements of CLIA and all federal and state laws applicable to laboratory testing services; (iv) all IVDs have been designed, researched, developed, manufactured, promoted, distributed and otherwise commercialized in compliance with the applicable requirements of FD&amp;C Act and all federal and state laws applicable to medical devices; (v) none of the Borrower and the Subsidiaries, or, to the knowledge of the Borrower, their respective suppliers, have received any inspection reports, warning letters, Untitled Letters or similar documents with respect to any Product and/or with respect to the business of the Borrower and/or the Subsidiaries, from any Governmental Authority that assert lack of compliance with any applicable Laws; (vi) none of the Borrower or any of the Subsidiaries has received any written notice of, or otherwise have knowledge of, any pending regulatory enforcement action, investigation, or inquiry against the Borrower or any of the Subsidiaries or, to the knowledge of the Borrower, any of their respective suppliers,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395" w:right="359" w:bottom="1440" w:gutter="0" w:footer="0" w:header="0"/>
        </w:sectPr>
      </w:pPr>
    </w:p>
    <w:bookmarkStart w:id="62" w:name="page63"/>
    <w:bookmarkEnd w:id="62"/>
    <w:p>
      <w:pPr>
        <w:spacing w:after="0" w:line="209" w:lineRule="auto"/>
        <w:rPr>
          <w:sz w:val="20"/>
          <w:szCs w:val="20"/>
          <w:color w:val="auto"/>
        </w:rPr>
      </w:pPr>
      <w:r>
        <w:rPr>
          <w:rFonts w:ascii="Times New Roman" w:cs="Times New Roman" w:eastAsia="Times New Roman" w:hAnsi="Times New Roman"/>
          <w:sz w:val="22"/>
          <w:szCs w:val="22"/>
          <w:color w:val="auto"/>
        </w:rPr>
        <w:t>respect to the Products and/or with respect to the business of the Borrower and/or the Subsidiaries; (vii) to the knowledge of the Borrower, there have been no Product recalls, safety alerts, withdrawals, clinical holds, marketing suspensions, removals, seizures, injunctions or the like conducted, undertaken or issued by any Person, whether or not at the request, demand or order of any Governmental Authority or otherwise, with respect to any Product nor, to the knowledge of the Borrower, has any such action been requested, demanded, or ordered by any Governmental Authority; (viii) to the knowledge of the Borrower, none of the Borrower or any of the Subsidiaries has received any written notice of (A) any criminal, injunctive, seizure, detention or civil penalty actions that have at any time been commenced or threatened in writing by any Governmental Authority with respect to or in connection with any Products, or (B) any consent decrees (including plea agreements) which relate to any Products; and (ix) to the knowledge of the Borrower, there are no criminal, injunctive, seizure, detention, or civil penalty actions by any Governmental Authority relating to the Products or for issuance of any consent decrees. To the knowledge of the Borrower, none of the Borrower or any of the Subsidiaries is employing or utilizing the services of any individual who has been debarred or suspended under any applicable Law since January 1, 2020 other than, with respect to each Delayed Draw Closing Date, any employee or service provider that has been terminated by Borrower reasonably promptly following the Borrower or its Subsidiaries becoming aware of such suspension or debarment.</w:t>
      </w:r>
    </w:p>
    <w:p>
      <w:pPr>
        <w:spacing w:after="0" w:line="156" w:lineRule="exact"/>
        <w:rPr>
          <w:sz w:val="20"/>
          <w:szCs w:val="20"/>
          <w:color w:val="auto"/>
        </w:rPr>
      </w:pPr>
    </w:p>
    <w:p>
      <w:pPr>
        <w:ind w:right="40" w:firstLine="656"/>
        <w:spacing w:after="0" w:line="209" w:lineRule="auto"/>
        <w:tabs>
          <w:tab w:leader="none" w:pos="129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Borrower, as of the Closing Date (and, except as would not reasonably be expected to result in a Material Adverse Effect, as of each Delayed Draw Closing Date) (i) all clinical trials conducted within the past five years, or being conducted, by or on behalf of the Borrower and the Subsidiaries with respect to any Product have been or are being, conducted in compliance in all material respects with applicable Laws and applicable GCPs; (ii) all preclinical studies and tests relating to the Products conducted within the past five years by or on behalf of the Borrower or any of the Subsidiaries have been conducted, and are currently being conducted, in material compliance with all applicable Laws, including, but not limited to, applicable provisions of the CLIA and the FD&amp;C Act, including applicable GLPs; (iii) none of the Borrower or the Subsidiaries has received during the past five years any written notice from, any Governmental Authority or an institutional review board or ethics committee alleging any material non-compliance with applicable laws or GCPs/GLPs or otherwise requiring the termination or suspension any clinical trial (in-whole or in-part) conducted during the past five years, or being conducted, by or on behalf of the Borrower and the Subsidiaries with respect to any Product; and (iv) no clinical trial conducted during the past five years, or being conducted, by or on behalf of the Borrower, and/or the Subsidiaries with respect to any Product has used, or is using, any clinical investigator who has been disqualified from conducting clinical investigations by FDA or other Governmental Authority.</w:t>
      </w:r>
    </w:p>
    <w:p>
      <w:pPr>
        <w:spacing w:after="0" w:line="155" w:lineRule="exact"/>
        <w:rPr>
          <w:rFonts w:ascii="Times New Roman" w:cs="Times New Roman" w:eastAsia="Times New Roman" w:hAnsi="Times New Roman"/>
          <w:sz w:val="22"/>
          <w:szCs w:val="22"/>
          <w:color w:val="auto"/>
        </w:rPr>
      </w:pPr>
    </w:p>
    <w:p>
      <w:pPr>
        <w:ind w:right="40" w:firstLine="656"/>
        <w:spacing w:after="0" w:line="215" w:lineRule="auto"/>
        <w:tabs>
          <w:tab w:leader="none" w:pos="129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manufacturing facilities owned or operated by the Borrower or any of the Subsidiaries, or used in the production of any Product subject to the FD&amp;C Act, are and have been, during the last five years, operated in compliance with QSRs and all other applicable Laws, except where such noncompliance could not, individually or in the aggregate, reasonably be expected to have a Material Adverse Effect. During the last three years, the FDA has not issued any Form 483, warning letter, or any material Untitled Letter with respect to any such facility, or otherwise alleged in writing any material non-compliance with applicable QSRs.</w:t>
      </w:r>
    </w:p>
    <w:p>
      <w:pPr>
        <w:spacing w:after="0" w:line="152" w:lineRule="exact"/>
        <w:rPr>
          <w:rFonts w:ascii="Times New Roman" w:cs="Times New Roman" w:eastAsia="Times New Roman" w:hAnsi="Times New Roman"/>
          <w:sz w:val="22"/>
          <w:szCs w:val="22"/>
          <w:color w:val="auto"/>
        </w:rPr>
      </w:pPr>
    </w:p>
    <w:p>
      <w:pPr>
        <w:ind w:right="100" w:firstLine="656"/>
        <w:spacing w:after="0" w:line="231" w:lineRule="auto"/>
        <w:tabs>
          <w:tab w:leader="none" w:pos="129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Borrower’s knowledge, there has been no material untrue statement of fact and no fraudulent statement made by the Borrower or any of the Subsidiaries at the time such statements were made, or to the knowledge of the Borrower, any of their respective agents or representatives (when acting in such capacity) to the CMS, the FDA or any other Governmental Authority, and there has been no failure to disclose any material fact required to be disclosed to any Regulatory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395" w:right="359" w:bottom="1440" w:gutter="0" w:footer="0" w:header="0"/>
        </w:sectPr>
      </w:pPr>
    </w:p>
    <w:bookmarkStart w:id="63" w:name="page64"/>
    <w:bookmarkEnd w:id="63"/>
    <w:p>
      <w:pPr>
        <w:ind w:right="100" w:firstLine="656"/>
        <w:spacing w:after="0" w:line="217"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6.18(f)</w:t>
      </w:r>
      <w:r>
        <w:rPr>
          <w:rFonts w:ascii="Times New Roman" w:cs="Times New Roman" w:eastAsia="Times New Roman" w:hAnsi="Times New Roman"/>
          <w:sz w:val="22"/>
          <w:szCs w:val="22"/>
          <w:color w:val="auto"/>
        </w:rPr>
        <w:t xml:space="preserve">, Borrower and the Subsidiaries are in material compliance with applicable federal and state fraud and abuse laws, including the federal Anti-Kickback Statute, the False Claims Act, the Foreign Corrupt Practices Act, and similar state, federal or foreign laws. Except as set forth on </w:t>
      </w:r>
      <w:r>
        <w:rPr>
          <w:rFonts w:ascii="Times New Roman" w:cs="Times New Roman" w:eastAsia="Times New Roman" w:hAnsi="Times New Roman"/>
          <w:sz w:val="22"/>
          <w:szCs w:val="22"/>
          <w:u w:val="single" w:color="auto"/>
          <w:color w:val="auto"/>
        </w:rPr>
        <w:t>Schedule 6.18(f),</w:t>
      </w:r>
      <w:r>
        <w:rPr>
          <w:rFonts w:ascii="Times New Roman" w:cs="Times New Roman" w:eastAsia="Times New Roman" w:hAnsi="Times New Roman"/>
          <w:sz w:val="22"/>
          <w:szCs w:val="22"/>
          <w:color w:val="auto"/>
        </w:rPr>
        <w:t xml:space="preserve"> as of the Closing Date, none of the Borrower or any of the Subsidiaries has received any written notice during the past five years from any applicable Governmental Authority alleging any violation of any such laws in any material respect.</w:t>
      </w:r>
    </w:p>
    <w:p>
      <w:pPr>
        <w:spacing w:after="0" w:line="152" w:lineRule="exact"/>
        <w:rPr>
          <w:rFonts w:ascii="Times New Roman" w:cs="Times New Roman" w:eastAsia="Times New Roman" w:hAnsi="Times New Roman"/>
          <w:sz w:val="22"/>
          <w:szCs w:val="22"/>
          <w:color w:val="auto"/>
        </w:rPr>
      </w:pPr>
    </w:p>
    <w:p>
      <w:pPr>
        <w:ind w:firstLine="656"/>
        <w:spacing w:after="0" w:line="225" w:lineRule="auto"/>
        <w:tabs>
          <w:tab w:leader="none" w:pos="129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contemplated by the Loan Documents (or contemplated by the conditions to effectiveness of any Loan Document) will not materially impair the Borrower’s or any of the Subsidiaries’ ownership of or rights under (or the license or other right to use, as the case may be) any Key Permits relating to the Products.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firstLine="656"/>
        <w:spacing w:after="0" w:line="219" w:lineRule="auto"/>
        <w:tabs>
          <w:tab w:leader="none" w:pos="128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to be material to the Borrower and its Subsidiaries, since January 1, 2020, none of the Borrower or any of the Subsidiaries, nor, to the Borrower’s knowledge, any individual who is an officer, director, manager, employee, stockholder, agent or managing agent of the Borrower or any of the Subsidiaries has been convicted of or, to the Borrower’s knowledge, charged with or investigated for any Governmental Payor-related offense or been excluded or suspended from participation in any Governmental Payor; or, to the Borrower’s knowledge, within the past five years, has been convicted of, or charged with, a violation of Laws related to fraud, theft, embezzlement breach of fiduciary responsibility, financial misconduct, obstruction of an investigation or controlled substances, or has been subject to any judgment, stipulation, order or decree of, or criminal or civil fine or penalty imposed by, any Governmental Authority related to fraud, theft, embezzlement breach of fiduciary responsibility, financial misconduct, obstruction of an investigation or controlled substances. None of the Borrower or any of the Subsidiaries, nor, to the Borrower’s knowledge, any individual who is an officer, director, manager, employee, agent or managing agent of the Borrower or any of the Subsidiaries has been convicted of any crime that has resulted or would reasonably be expected to result in a debarment or exclusion under (i) 21 U.S.C. Section 335a or (ii) any similar applicable Law. No debarment proceedings or investigations in respect of the business of the Borrower or any of the Subsidiaries are pending or, to the Borrower’s knowledge, threatened against the Borrower, any of the Subsidiaries or any individual who is an officer, director, manager, employee, agent or managing agent of the Borrower or any of the Subsidiaries.</w:t>
      </w:r>
    </w:p>
    <w:p>
      <w:pPr>
        <w:spacing w:after="0" w:line="151"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6.19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6.19</w:t>
      </w:r>
      <w:r>
        <w:rPr>
          <w:rFonts w:ascii="Times New Roman" w:cs="Times New Roman" w:eastAsia="Times New Roman" w:hAnsi="Times New Roman"/>
          <w:sz w:val="22"/>
          <w:szCs w:val="22"/>
          <w:color w:val="auto"/>
        </w:rPr>
        <w:t>, none of the Borrower or any Subsidiary is a party to, any transaction (including the purchase, sale, lease, transfer or exchange of property or assets of any kind or the rendering of services of any kind) with any of its Affiliates as of the Closing Date, except for such transactions conducted on an arms-length basis in the ordinary course of business.</w:t>
      </w:r>
    </w:p>
    <w:p>
      <w:pPr>
        <w:spacing w:after="0" w:line="152" w:lineRule="exact"/>
        <w:rPr>
          <w:sz w:val="20"/>
          <w:szCs w:val="20"/>
          <w:color w:val="auto"/>
        </w:rPr>
      </w:pPr>
    </w:p>
    <w:p>
      <w:pPr>
        <w:ind w:right="1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6.20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None of the Borrower or any Subsidiary is an “investment company” or is “controlled” by an “investment company”, as such terms are defined in, or subject to regulation under, the Investment Company Act of 1940, as amended.</w:t>
      </w:r>
    </w:p>
    <w:p>
      <w:pPr>
        <w:spacing w:after="0" w:line="153"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6.21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None of the Borrower, any Subsidiary or, to the knowledge of the Borrower, any Related Party (a) is currently the subject of any Sanctions, (b) is located, organized or residing in any Designated Jurisdiction, or (c) is or has been (within the previous five years) engaged in any transaction with any Person who is now or was then the subject of Sanctions or who is located, organized or residing in any Designated Jurisdiction. No Loan, nor the proceeds from any Loan, has been or will be used, directly or indirectly, to lend,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395" w:right="359" w:bottom="1440" w:gutter="0" w:footer="0" w:header="0"/>
        </w:sectPr>
      </w:pPr>
    </w:p>
    <w:bookmarkStart w:id="64" w:name="page65"/>
    <w:bookmarkEnd w:id="64"/>
    <w:p>
      <w:pPr>
        <w:ind w:right="40"/>
        <w:spacing w:after="0" w:line="220" w:lineRule="auto"/>
        <w:rPr>
          <w:sz w:val="20"/>
          <w:szCs w:val="20"/>
          <w:color w:val="auto"/>
        </w:rPr>
      </w:pPr>
      <w:r>
        <w:rPr>
          <w:rFonts w:ascii="Times New Roman" w:cs="Times New Roman" w:eastAsia="Times New Roman" w:hAnsi="Times New Roman"/>
          <w:sz w:val="22"/>
          <w:szCs w:val="22"/>
          <w:color w:val="auto"/>
        </w:rPr>
        <w:t>contribute or provide to, or has been or will be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the Administrative Agent, any Lender and any of their respective Affiliates) of Sanctions.</w:t>
      </w:r>
    </w:p>
    <w:p>
      <w:pPr>
        <w:spacing w:after="0" w:line="152"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6.22 </w:t>
      </w:r>
      <w:r>
        <w:rPr>
          <w:rFonts w:ascii="Times New Roman" w:cs="Times New Roman" w:eastAsia="Times New Roman" w:hAnsi="Times New Roman"/>
          <w:sz w:val="22"/>
          <w:szCs w:val="22"/>
          <w:u w:val="single" w:color="auto"/>
          <w:color w:val="auto"/>
        </w:rPr>
        <w:t>Deposit and Disbursement Accounts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6.22</w:t>
      </w:r>
      <w:r>
        <w:rPr>
          <w:rFonts w:ascii="Times New Roman" w:cs="Times New Roman" w:eastAsia="Times New Roman" w:hAnsi="Times New Roman"/>
          <w:sz w:val="22"/>
          <w:szCs w:val="22"/>
          <w:color w:val="auto"/>
        </w:rPr>
        <w:t xml:space="preserve"> is a complete and accurate list as of the Closing Date or the relevant Delayed Draw Closing Date, as the case may be, of all banks and other financial institutions at which the Borrower or any Guarantor maintains deposit accounts, lockboxes, disbursement accounts, investment accounts or other similar accounts, such Schedule correctly identifies the name, address and telephone number of each bank or financial institution, the name in which each such account is held, the type of each such account, and the complete account number for each such account, and each such account (other than Excluded Accounts) is a Controlled Account to the extent required pursuant to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6.23</w:t>
      </w:r>
      <w:r>
        <w:rPr>
          <w:sz w:val="20"/>
          <w:szCs w:val="20"/>
          <w:color w:val="auto"/>
        </w:rPr>
        <w:tab/>
      </w:r>
      <w:r>
        <w:rPr>
          <w:rFonts w:ascii="Times New Roman" w:cs="Times New Roman" w:eastAsia="Times New Roman" w:hAnsi="Times New Roman"/>
          <w:sz w:val="21"/>
          <w:szCs w:val="21"/>
          <w:u w:val="single" w:color="auto"/>
          <w:color w:val="auto"/>
        </w:rPr>
        <w:t>Data Privacy and Information Security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maintain commercially reasonable data security policies, processes, and controls and an appropriate privacy program in accordance with applicable Law in all material respects. None of the Borrower’s or any Subsidiary’s privacy statements or disclosures in the past five years have been or are misleading or deceptive in any material manner, and the contemplated transactions to be consummated hereunder as of the Closing Date or any Delayed Draw Closing Date will not violate any privacy statements, other consumer-facing disclosures or Laws in any material respect. There is not currently pending and there has not been in the past five years any material action, proceeding, suit or claim against the Borrower or its Subsidiaries with respect to privacy or data security. To the knowledge of the Borrower, none the Borrower or any Subsidiary nor any Products have experienced in the past three years any material security incident in which an unauthorized party accessed or acquired Personal Data, Confidential Business Information or IT Assets.</w:t>
      </w:r>
    </w:p>
    <w:p>
      <w:pPr>
        <w:spacing w:after="0" w:line="158"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have contractually obligated all material Data Processors that process Personal Data on behalf of the Borrower or any of its Subsidiaries to commercially reasonable contractual terms relating to the protection and use of Personal Data and IT Assets. The Borrower and its Subsidiaries have taken commercially reasonable measures designed to ensure that Data Processors have complied with their contractual obligations.</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IT Assets are sufficient and operate and perform as is necessary to conduct the business of the Borrower and the Subsidiaries as currently conducted by the Borrower and the Subsidiaries. To the knowledge of the Borrower, as of the Closing Date (and, except as would not reasonably be expected to be material to the business of the Borrower and the Subsidiaries, as of each Delayed Draw Closing Date), neither the IT Assets nor any Products contain any “virus,” “spyware,” “malware,” “worm,” “Trojan horse” (as such terms are commonly understood in the software industry), disabling codes or instructions, or other similar code or software routines or components that are designed or intended to delete, destroy, disable, interfere with, perform unauthorized modifications to, or provide unauthorized access to any data, files, software, system, network, or other device. The Borrower and its Subsidiaries have established, implemented and tested backup and disaster recovery policies, procedures and systems consistent with generally accepted industry standards, and designed to reasonably maintain the operation of the business of the Borrower and the Subsidiaries as currently conducted by the Borrower and the Subsidiaries.</w:t>
      </w:r>
    </w:p>
    <w:p>
      <w:pPr>
        <w:spacing w:after="0" w:line="157"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its Subsidiaries and, to the knowledge of Borrower, any Data Processors have, in all material respects, implemented and maintained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395" w:right="339" w:bottom="1440" w:gutter="0" w:footer="0" w:header="0"/>
        </w:sectPr>
      </w:pPr>
    </w:p>
    <w:bookmarkStart w:id="65" w:name="page66"/>
    <w:bookmarkEnd w:id="65"/>
    <w:p>
      <w:pPr>
        <w:jc w:val="both"/>
        <w:spacing w:after="0" w:line="220" w:lineRule="auto"/>
        <w:rPr>
          <w:sz w:val="20"/>
          <w:szCs w:val="20"/>
          <w:color w:val="auto"/>
        </w:rPr>
      </w:pPr>
      <w:r>
        <w:rPr>
          <w:rFonts w:ascii="Times New Roman" w:cs="Times New Roman" w:eastAsia="Times New Roman" w:hAnsi="Times New Roman"/>
          <w:sz w:val="22"/>
          <w:szCs w:val="22"/>
          <w:color w:val="auto"/>
        </w:rPr>
        <w:t>organizational, physical, administrative and technical measures designed to protect the operation, confidentiality, integrity, and security of all Confidential Business Information, Personal Data and IT Assets (including, for clarity, all information and transactions stored or contained therein or transmitted thereby) against unauthorized access, acquisition, interruption, alteration, modification, or use.</w:t>
      </w:r>
    </w:p>
    <w:p>
      <w:pPr>
        <w:spacing w:after="0" w:line="152" w:lineRule="exact"/>
        <w:rPr>
          <w:sz w:val="20"/>
          <w:szCs w:val="20"/>
          <w:color w:val="auto"/>
        </w:rPr>
      </w:pPr>
    </w:p>
    <w:p>
      <w:pPr>
        <w:jc w:val="both"/>
        <w:ind w:firstLine="656"/>
        <w:spacing w:after="0" w:line="215" w:lineRule="auto"/>
        <w:tabs>
          <w:tab w:leader="none" w:pos="129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have taken or caused to be taken commercially reasonable precautions designed to ensure that all IT Assets (i) are free from any defect, bug, virus or programming, design or documentation error or corruption or other defect, and (ii) are fully functional and operate and run in a commercially reasonable business manner. None of the IT Assets have malfunctioned or failed or have experienced any breakdowns or continued substandard performance in the past twenty-four months that has caused material disruption or material interruption in the Borrower’s or any Subsidiary’s use thereof or to the business of the Borrower and the Subsidiaries.</w:t>
      </w:r>
    </w:p>
    <w:p>
      <w:pPr>
        <w:spacing w:after="0" w:line="152"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6.24</w:t>
      </w:r>
      <w:r>
        <w:rPr>
          <w:sz w:val="20"/>
          <w:szCs w:val="20"/>
          <w:color w:val="auto"/>
        </w:rPr>
        <w:tab/>
      </w:r>
      <w:r>
        <w:rPr>
          <w:rFonts w:ascii="Times New Roman" w:cs="Times New Roman" w:eastAsia="Times New Roman" w:hAnsi="Times New Roman"/>
          <w:sz w:val="21"/>
          <w:szCs w:val="21"/>
          <w:u w:val="single" w:color="auto"/>
          <w:color w:val="auto"/>
        </w:rPr>
        <w:t>HIPAA</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2" w:lineRule="auto"/>
        <w:tabs>
          <w:tab w:leader="none" w:pos="129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Subsidiary that acts as a Covered Entity, has implemented reasonable and adequate policies, procedures and training designed to assure continued compliance and to detect non-compliance. Except as would not reasonably be expected to have a Material Adverse Effect, the Borrower, and each Subsidiary that acts as a Covered Entity, has provided all requisite notices, obtained all required consents, and satisfied all other requirements (i) for its use and disclosure of Protected Health Information and (ii) as necessary for the conduct of business as currently conducted and in connection with this Agreement. Except as would not reasonably be expected to have a Material Adverse Effect, the Borrower, and each Subsidiary that acts as a Covered Entity, has entered into business associate agreements with Subsidiaries and Data Processors in all situations where required by 45 C.F.R. §§ 164.502(e) and 164.504(e).</w:t>
      </w:r>
    </w:p>
    <w:p>
      <w:pPr>
        <w:spacing w:after="0" w:line="156"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Subsidiaries act as Business Associates on behalf of Covered Entities. In those instances where the Borrower, any Subsidiary, or, to the knowledge of Borrower, any Data Processor acts as a Business Associate on behalf of Covered Entities, such entity has entered into a Business Associate Agreement that is in material compliance with 45 C.F.R.</w:t>
      </w:r>
    </w:p>
    <w:p>
      <w:pPr>
        <w:spacing w:after="0" w:line="1" w:lineRule="exact"/>
        <w:rPr>
          <w:rFonts w:ascii="Times New Roman" w:cs="Times New Roman" w:eastAsia="Times New Roman" w:hAnsi="Times New Roman"/>
          <w:sz w:val="22"/>
          <w:szCs w:val="22"/>
          <w:color w:val="auto"/>
        </w:rPr>
      </w:pPr>
    </w:p>
    <w:p>
      <w:pPr>
        <w:jc w:val="both"/>
        <w:ind w:firstLine="8"/>
        <w:spacing w:after="0" w:line="212" w:lineRule="auto"/>
        <w:tabs>
          <w:tab w:leader="none" w:pos="16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164.504(e) with each such Covered Entity, as required by 45 C.F.R. § 164.502(e)(2), except where failure to have entered into a Business Associate Agreement would not have a Material Adverse Effect. In each instance where the Borrower, any Subsidiary, or, to the knowledge of Borrower, any Data Processor acts as a Business Associate, the Borrower, each such Subsidiary or each such Data Processor, respectively and as applicable, is, and has been, in material compliance with all applicable Business Associate agreements and those portions of HIPAA applicable to Business Associates.</w:t>
      </w:r>
    </w:p>
    <w:p>
      <w:pPr>
        <w:spacing w:after="0" w:line="154"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Closing Date (and, except as would not reasonably be expected to result in a Material Adverse Effect, as of each Delayed Draw Closing Date), (i) in each instance where the Borrower or any Subsidiary acts as a Covered Entity or Business Associate, the Borrower or each such Subsidiary, respectively and as applicable, is in material compliance with all security requirements required by HIPAA, including the HIPAA security rule and (ii) except as set forth on </w:t>
      </w:r>
      <w:r>
        <w:rPr>
          <w:rFonts w:ascii="Times New Roman" w:cs="Times New Roman" w:eastAsia="Times New Roman" w:hAnsi="Times New Roman"/>
          <w:sz w:val="22"/>
          <w:szCs w:val="22"/>
          <w:u w:val="single" w:color="auto"/>
          <w:color w:val="auto"/>
        </w:rPr>
        <w:t>Schedule 6.23(a)</w:t>
      </w:r>
      <w:r>
        <w:rPr>
          <w:rFonts w:ascii="Times New Roman" w:cs="Times New Roman" w:eastAsia="Times New Roman" w:hAnsi="Times New Roman"/>
          <w:sz w:val="22"/>
          <w:szCs w:val="22"/>
          <w:color w:val="auto"/>
        </w:rPr>
        <w:t>, for the past three years, there has been no material security incident or breach of any Protected Health Information held by the Borrower or any Subsidiary, including any loss or unauthorized access, use or disclosure, of Protected Health Information that would constitute a breach for which notification to individuals, the media, or the U.S. Department of Health and Human Services is required under 45 C.F.R. Part 164, Subpart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395" w:right="339"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22"/>
          <w:szCs w:val="22"/>
          <w:color w:val="auto"/>
        </w:rPr>
        <w:t>ARTICLE VII</w:t>
      </w:r>
    </w:p>
    <w:p>
      <w:pPr>
        <w:jc w:val="center"/>
        <w:ind w:right="-19"/>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182"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The Borrower covenants and agrees with the Administrative Agent and the Lenders that until the Termination Date has occurred, the Borrower will, and will cause the Subsidiaries to, perform or cause to be performed the obligations set forth below.</w:t>
      </w:r>
    </w:p>
    <w:p>
      <w:pPr>
        <w:spacing w:after="0" w:line="108"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Financial Information, Reports, Notices, Etc</w:t>
      </w:r>
      <w:r>
        <w:rPr>
          <w:rFonts w:ascii="Times New Roman" w:cs="Times New Roman" w:eastAsia="Times New Roman" w:hAnsi="Times New Roman"/>
          <w:sz w:val="22"/>
          <w:szCs w:val="22"/>
          <w:color w:val="auto"/>
        </w:rPr>
        <w:t>. The Borrower will furnish the Administrative Agent for further delivery to the Lenders copies of the following financial statements, reports, notices and information:</w:t>
      </w:r>
    </w:p>
    <w:p>
      <w:pPr>
        <w:spacing w:after="0" w:line="150" w:lineRule="exact"/>
        <w:rPr>
          <w:sz w:val="20"/>
          <w:szCs w:val="20"/>
          <w:color w:val="auto"/>
        </w:rPr>
      </w:pPr>
    </w:p>
    <w:p>
      <w:pPr>
        <w:ind w:right="180" w:firstLine="656"/>
        <w:spacing w:after="0" w:line="213" w:lineRule="auto"/>
        <w:tabs>
          <w:tab w:leader="none" w:pos="129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as soon as available and in any event within 30 days after the end of each calendar month, in each case with supporting detail and certified as complete and correct by the chief financial or accounting Authorized Officer of the Borrower, unaudited reports of (i) beginning with the calendar month ending December 31, 2025, the Revenue Base for such calendar month and for the twelve-month period ending with the end of such calendar month and including (in each case) in comparative form the figures for the corresponding calendar month in the immediately preceding Fiscal Year and the corresponding twelve-month period immediately preceding such twelve-month period, and (ii) beginning with the calendar month ending August 31, 2025, a Monthly KPI Report with respect to such calendar month;</w:t>
      </w:r>
    </w:p>
    <w:p>
      <w:pPr>
        <w:spacing w:after="0" w:line="156" w:lineRule="exact"/>
        <w:rPr>
          <w:rFonts w:ascii="Times New Roman" w:cs="Times New Roman" w:eastAsia="Times New Roman" w:hAnsi="Times New Roman"/>
          <w:sz w:val="22"/>
          <w:szCs w:val="22"/>
          <w:color w:val="auto"/>
        </w:rPr>
      </w:pPr>
    </w:p>
    <w:p>
      <w:pPr>
        <w:ind w:right="120" w:firstLine="656"/>
        <w:spacing w:after="0" w:line="220" w:lineRule="auto"/>
        <w:tabs>
          <w:tab w:leader="none" w:pos="129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as soon as available and in any event (A) within 45 days after the end of each of the first three Fiscal Quarters of each Fiscal Year and (B) within 90 days after the end of the last Fiscal Quarter of each Fiscal Year, beginning with the fiscal quarter ended September 30, 2025, an unaudited (without any Impermissible Qualification) consolidated balance sheet of the Borrower and the Subsidiaries as of the end of such Fiscal Quarter and related consolidated statements of income, stockholders’ equity and cash flows of the Borrower and the Subsidiaries for such Fiscal Quarter and for the period commencing at the end of the previous Fiscal Year and ending with the end of such Fiscal Quarter, and including (in each case) in comparative form the figures for the corresponding Fiscal Quarter in the immediately preceding Fiscal Year, and (ii) as soon as available and in any event within 45 days after the end of each Fiscal Quarter of each Fiscal Year, the Revenue Base for such Fiscal Quarter and for the twelve-month period ending with the end of such Fiscal Quarter and including (in each case) in comparative form the figures for the corresponding Fiscal Quarter in the immediately preceding Fiscal Year and the corresponding twelve-month period immediately preceding such twelve-month period, certified as complete and correct by the chief financial or accounting Authorized Officer of the Borrower (subject to normal year-end audit adjustments and the absence of footnotes);</w:t>
      </w:r>
    </w:p>
    <w:p>
      <w:pPr>
        <w:spacing w:after="0" w:line="151" w:lineRule="exact"/>
        <w:rPr>
          <w:rFonts w:ascii="Times New Roman" w:cs="Times New Roman" w:eastAsia="Times New Roman" w:hAnsi="Times New Roman"/>
          <w:sz w:val="21"/>
          <w:szCs w:val="21"/>
          <w:color w:val="auto"/>
        </w:rPr>
      </w:pPr>
    </w:p>
    <w:p>
      <w:pPr>
        <w:ind w:firstLine="656"/>
        <w:spacing w:after="0" w:line="222" w:lineRule="auto"/>
        <w:tabs>
          <w:tab w:leader="none" w:pos="129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and in any event within 90 days after the end of each Fiscal Year beginning with the Fiscal Year ended December 31, 2025, (i) a copy of the consolidated balance sheet of the Borrower and the Subsidiaries, and the related consolidated statements of income, stockholders’ equity and cash flows of the Borrower and the Subsidiaries for such Fiscal Year, setting forth in comparative form the figures for the immediately preceding Fiscal Year, audited (without any Impermissible Qualification) by independent public accountants acceptable to the Required Lenders (it being understood that Ernst &amp; Young LLP or any other “Big Four” accounting firm are reasonably acceptable to the Required Lenders)</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xml:space="preserve"> and (ii) a report of the Revenue Base for the Fiscal Quarter then ending and such Fiscal Year and including in comparative form the figures for the corresponding Fiscal Quarter in the immediately preceding Fiscal Year and the immediately preceding Fiscal Year;</w:t>
      </w:r>
    </w:p>
    <w:p>
      <w:pPr>
        <w:spacing w:after="0" w:line="157" w:lineRule="exact"/>
        <w:rPr>
          <w:rFonts w:ascii="Times New Roman" w:cs="Times New Roman" w:eastAsia="Times New Roman" w:hAnsi="Times New Roman"/>
          <w:sz w:val="21"/>
          <w:szCs w:val="21"/>
          <w:color w:val="auto"/>
        </w:rPr>
      </w:pPr>
    </w:p>
    <w:p>
      <w:pPr>
        <w:ind w:right="60" w:firstLine="656"/>
        <w:spacing w:after="0" w:line="225" w:lineRule="auto"/>
        <w:tabs>
          <w:tab w:leader="none" w:pos="12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of the financial information pursuant to clause (a), clause (b) (solely with respect to the first three Fiscal Quarters of each Fiscal Year) and clause (c), a Compliance Certificate, executed by the chief financial or accounting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382" w:right="339" w:bottom="1440" w:gutter="0" w:footer="0" w:header="0"/>
        </w:sectPr>
      </w:pPr>
    </w:p>
    <w:bookmarkStart w:id="67" w:name="page68"/>
    <w:bookmarkEnd w:id="67"/>
    <w:p>
      <w:pPr>
        <w:ind w:right="120"/>
        <w:spacing w:after="0" w:line="210" w:lineRule="auto"/>
        <w:rPr>
          <w:sz w:val="20"/>
          <w:szCs w:val="20"/>
          <w:color w:val="auto"/>
        </w:rPr>
      </w:pPr>
      <w:r>
        <w:rPr>
          <w:rFonts w:ascii="Times New Roman" w:cs="Times New Roman" w:eastAsia="Times New Roman" w:hAnsi="Times New Roman"/>
          <w:sz w:val="22"/>
          <w:szCs w:val="22"/>
          <w:color w:val="auto"/>
        </w:rPr>
        <w:t xml:space="preserve">of the Borrower, (i) showing compliance with the financial covenant set forth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(ii) stating that no Default has occurred and is continuing (or, if a Default has occurred, specifying the details of such Default and the action that the Borrower or any of the Subsidiaries has taken or proposes to take with respect thereto), (iii) stating that no Subsidiary has been formed or acquired since the delivery of the last Compliance Certificate (or, if a Subsidiary has been formed or acquired since the delivery of the last Compliance Certificate, a statement that such Subsidiary has complied with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(iv) stating that no Material Real Property has been acquired by any Loan Party or any of the Subsidiaries since the delivery of the last Compliance Certificate (or, if any Material Real Property has been acquired since the delivery of the last Compliance Certificate, a statement that the Loan Parties have complied with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with respect to any such real property), and (v) stating that, since the delivery of the last Compliance Certificate, there has been no financial recoupment, recovery, dispute or claim related to any Product or inventory that involves more than $3,000,000 (or, if there has been such financial recoupment, recovery, dispute or claim, a description of such);</w:t>
      </w:r>
    </w:p>
    <w:p>
      <w:pPr>
        <w:spacing w:after="0" w:line="157" w:lineRule="exact"/>
        <w:rPr>
          <w:sz w:val="20"/>
          <w:szCs w:val="20"/>
          <w:color w:val="auto"/>
        </w:rPr>
      </w:pPr>
    </w:p>
    <w:p>
      <w:pPr>
        <w:ind w:right="100" w:firstLine="656"/>
        <w:spacing w:after="0" w:line="225" w:lineRule="auto"/>
        <w:tabs>
          <w:tab w:leader="none" w:pos="12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possible and in any event within four Business Days after the Borrower obtains knowledge of the occurrence of a Default, a statement of an Authorized Officer of the Borrower setting forth details of such Default and the action which the Borrower or any of the Subsidiaries has taken or proposes to take with respect thereto;</w:t>
      </w:r>
    </w:p>
    <w:p>
      <w:pPr>
        <w:spacing w:after="0" w:line="152" w:lineRule="exact"/>
        <w:rPr>
          <w:rFonts w:ascii="Times New Roman" w:cs="Times New Roman" w:eastAsia="Times New Roman" w:hAnsi="Times New Roman"/>
          <w:sz w:val="22"/>
          <w:szCs w:val="22"/>
          <w:color w:val="auto"/>
        </w:rPr>
      </w:pPr>
    </w:p>
    <w:p>
      <w:pPr>
        <w:ind w:right="60" w:firstLine="656"/>
        <w:spacing w:after="0" w:line="217"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possible and in any event within four Business Days after the Borrower obtains knowledge of (i) the occurrence of any material adverse development with respect to any litigation, action, proceeding or labor controversy described in </w:t>
      </w:r>
      <w:r>
        <w:rPr>
          <w:rFonts w:ascii="Times New Roman" w:cs="Times New Roman" w:eastAsia="Times New Roman" w:hAnsi="Times New Roman"/>
          <w:sz w:val="22"/>
          <w:szCs w:val="22"/>
          <w:u w:val="single" w:color="auto"/>
          <w:color w:val="auto"/>
        </w:rPr>
        <w:t>Schedule 6.7(a)</w:t>
      </w:r>
      <w:r>
        <w:rPr>
          <w:rFonts w:ascii="Times New Roman" w:cs="Times New Roman" w:eastAsia="Times New Roman" w:hAnsi="Times New Roman"/>
          <w:sz w:val="22"/>
          <w:szCs w:val="22"/>
          <w:color w:val="auto"/>
        </w:rPr>
        <w:t xml:space="preserve"> or (ii) the commencement of any litigation, action, proceeding or labor controversy of the type and materiality described in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notice thereof and, to the extent any Lender requests, copies of all documentation reasonably requested by such Lender relating thereto (excluding any documentation subject to attorney-client privilege);</w:t>
      </w:r>
    </w:p>
    <w:p>
      <w:pPr>
        <w:spacing w:after="0" w:line="152" w:lineRule="exact"/>
        <w:rPr>
          <w:rFonts w:ascii="Times New Roman" w:cs="Times New Roman" w:eastAsia="Times New Roman" w:hAnsi="Times New Roman"/>
          <w:sz w:val="22"/>
          <w:szCs w:val="22"/>
          <w:color w:val="auto"/>
        </w:rPr>
      </w:pPr>
    </w:p>
    <w:p>
      <w:pPr>
        <w:ind w:right="60" w:firstLine="656"/>
        <w:spacing w:after="0" w:line="213" w:lineRule="auto"/>
        <w:tabs>
          <w:tab w:leader="none" w:pos="12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possible and in any event within four days after the Borrower obtains knowledge of: (i) any claim that the Borrower, any of the Subsidiaries or one of their ERISA Affiliates has actual or potential liability under a Benefit Plan that, individually or in the aggregate, would reasonably be expected to result in a Material Adverse Effect, (ii) any effort to unionize the employees of the Borrower or any Subsidiary that, individually or in the aggregate, would reasonably be expected to result in a Material Adverse Effect, or (iii) material, non-routine correspondence with the Internal Revenue Service regarding the qualification of a retirement plan under section 401(a) of the Code that could reasonably be expected to result in liabilities to the Borrower or any of the Subsidiaries in excess of $2,000,000;</w:t>
      </w:r>
    </w:p>
    <w:p>
      <w:pPr>
        <w:spacing w:after="0" w:line="156" w:lineRule="exact"/>
        <w:rPr>
          <w:rFonts w:ascii="Times New Roman" w:cs="Times New Roman" w:eastAsia="Times New Roman" w:hAnsi="Times New Roman"/>
          <w:sz w:val="22"/>
          <w:szCs w:val="22"/>
          <w:color w:val="auto"/>
        </w:rPr>
      </w:pPr>
    </w:p>
    <w:p>
      <w:pPr>
        <w:ind w:right="140" w:firstLine="656"/>
        <w:spacing w:after="0" w:line="225" w:lineRule="auto"/>
        <w:tabs>
          <w:tab w:leader="none" w:pos="12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and in any event within four days of, receipt thereof, copies of all “management letters” (or equivalent) (other than routine communications) submitted to the Borrower or any of the Subsidiaries by the independent public accountants referred to in clause (c) in connection with each audit made by such accountants;</w:t>
      </w:r>
    </w:p>
    <w:p>
      <w:pPr>
        <w:spacing w:after="0" w:line="152" w:lineRule="exact"/>
        <w:rPr>
          <w:rFonts w:ascii="Times New Roman" w:cs="Times New Roman" w:eastAsia="Times New Roman" w:hAnsi="Times New Roman"/>
          <w:sz w:val="22"/>
          <w:szCs w:val="22"/>
          <w:color w:val="auto"/>
        </w:rPr>
      </w:pPr>
    </w:p>
    <w:p>
      <w:pPr>
        <w:ind w:firstLine="656"/>
        <w:spacing w:after="0" w:line="224" w:lineRule="auto"/>
        <w:tabs>
          <w:tab w:leader="none" w:pos="128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receipt thereof, copies of all subpoenas, requests for information and other notices regarding any active or potential investigation of, or claim or litigation against, the Borrower or any of the Subsidiaries by any Governmental Authority, and the results of any inspections of any manufacturing facilities of the Borrower or any of the Subsidiaries or, where the results are known by the Borrower, any Third Party suppliers of the Borrower or any of the Subsidiaries by any Governmental Authority (including any Form FDA 483s), in each case, (A) to the extent that such investigation, claim or litigation, or the results of any such inspection, would reasonably be expected to result in liabilities in excess of $3,000,000; and (B) unless the Borrower and/or its Subsidiaries are prohibited from disclosing such information or documents by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395" w:right="359" w:bottom="1440" w:gutter="0" w:footer="0" w:header="0"/>
        </w:sectPr>
      </w:pPr>
    </w:p>
    <w:bookmarkStart w:id="68" w:name="page69"/>
    <w:bookmarkEnd w:id="68"/>
    <w:p>
      <w:pPr>
        <w:ind w:right="60" w:firstLine="656"/>
        <w:spacing w:after="0" w:line="236" w:lineRule="auto"/>
        <w:tabs>
          <w:tab w:leader="none" w:pos="128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sending or filing thereof, copies of all reports, notices, prospectuses and registration statements which the Borrower or any of the Subsidiaries files with the SEC or any national securities exchange;</w:t>
      </w:r>
    </w:p>
    <w:p>
      <w:pPr>
        <w:spacing w:after="0" w:line="150" w:lineRule="exact"/>
        <w:rPr>
          <w:rFonts w:ascii="Times New Roman" w:cs="Times New Roman" w:eastAsia="Times New Roman" w:hAnsi="Times New Roman"/>
          <w:sz w:val="22"/>
          <w:szCs w:val="22"/>
          <w:color w:val="auto"/>
        </w:rPr>
      </w:pPr>
    </w:p>
    <w:p>
      <w:pPr>
        <w:ind w:right="300" w:firstLine="656"/>
        <w:spacing w:after="0" w:line="236" w:lineRule="auto"/>
        <w:tabs>
          <w:tab w:leader="none" w:pos="12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not later than January 31 of each calendar year, the Borrower’s budget for such year, as approved by the Borrower’s board of directors (or equivalent);</w:t>
      </w:r>
    </w:p>
    <w:p>
      <w:pPr>
        <w:spacing w:after="0" w:line="150" w:lineRule="exact"/>
        <w:rPr>
          <w:rFonts w:ascii="Times New Roman" w:cs="Times New Roman" w:eastAsia="Times New Roman" w:hAnsi="Times New Roman"/>
          <w:sz w:val="22"/>
          <w:szCs w:val="22"/>
          <w:color w:val="auto"/>
        </w:rPr>
      </w:pPr>
    </w:p>
    <w:p>
      <w:pPr>
        <w:ind w:right="340" w:firstLine="656"/>
        <w:spacing w:after="0" w:line="236" w:lineRule="auto"/>
        <w:tabs>
          <w:tab w:leader="none" w:pos="128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not later than February 28 of each calendar year, the Borrower’s financial and business projections; and</w:t>
      </w:r>
    </w:p>
    <w:p>
      <w:pPr>
        <w:spacing w:after="0" w:line="150" w:lineRule="exact"/>
        <w:rPr>
          <w:rFonts w:ascii="Times New Roman" w:cs="Times New Roman" w:eastAsia="Times New Roman" w:hAnsi="Times New Roman"/>
          <w:sz w:val="22"/>
          <w:szCs w:val="22"/>
          <w:color w:val="auto"/>
        </w:rPr>
      </w:pPr>
    </w:p>
    <w:p>
      <w:pPr>
        <w:ind w:right="120" w:firstLine="656"/>
        <w:spacing w:after="0" w:line="225" w:lineRule="auto"/>
        <w:tabs>
          <w:tab w:leader="none" w:pos="128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financial and other information as any Lender or the Administrative Agent may from time to time reasonably request (including information and reports in such detail as such Lender or the Administrative Agent may reasonably request with respect to the terms of and information provided pursuant to the Compliance Certificate).</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Borrower hereby acknowledges that (a) the Administrative Agent will make available to the Lenders materials and/or information provided by or on behalf of the Borrower hereunder (collectively, “</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by posting the Borrower Materials on the Platform and (b) certain of the Lenders may be “public-side” Lenders (i.e., Lenders that do not wish to receive material non-public information with respect to the Borrower or its securities) (each, a “</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The Borrower hereby agrees that (w) it will ensure that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and the Lenders to treat the Borrower Materials as either information that would be made publicly available if the Borrower was a public company or not material information (although it may be sensitive and proprietary) with respect to the Borrower for purposes of United States Federal and state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Borrower Materials constitute Confidential Information, the same shall be treated as set forth in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(y) all Borrower Materials marked “PUBLIC” are permitted to be made available through a portion of the Platform designated “Public Lender” and (z) the Administrative Agent shall treat the Borrower Materials that are not marked “PUBLIC” as being suitable only for posting on a portion of the Platform designated “Private Lender.” Notwithstanding the foregoing, the Borrower shall not be under any obligation to make any Borrower Materials public.</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To the extent applicable, documents required to be delivered pursuant to clauses (b), (c), (j) and (m) of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be deemed to have been delivered on the date on which such documents are filed for public availability on the SEC’s Electronic Data Gathering and Retrieval System;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notify the Administrative Agent in writing of the filing of any such documents and provide to the Administrative Agent copies of such documents concurrently with such filing.</w:t>
      </w:r>
    </w:p>
    <w:p>
      <w:pPr>
        <w:spacing w:after="0" w:line="152"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Maintenance of Existence; Compliance with Contracts, Laws, Etc</w:t>
      </w:r>
      <w:r>
        <w:rPr>
          <w:rFonts w:ascii="Times New Roman" w:cs="Times New Roman" w:eastAsia="Times New Roman" w:hAnsi="Times New Roman"/>
          <w:sz w:val="22"/>
          <w:szCs w:val="22"/>
          <w:color w:val="auto"/>
        </w:rPr>
        <w:t xml:space="preserve">. The Borrower and each Subsidiary will (a) preserve and maintain its legal existence (except as otherwise permitted by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in its jurisdiction of organization and each other jurisdiction in which they are it is qualified to do business other than any such jurisdiction (other than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395" w:right="339" w:bottom="1440" w:gutter="0" w:footer="0" w:header="0"/>
        </w:sectPr>
      </w:pPr>
    </w:p>
    <w:bookmarkStart w:id="69" w:name="page70"/>
    <w:bookmarkEnd w:id="69"/>
    <w:p>
      <w:pPr>
        <w:ind w:right="120"/>
        <w:spacing w:after="0" w:line="211" w:lineRule="auto"/>
        <w:rPr>
          <w:sz w:val="20"/>
          <w:szCs w:val="20"/>
          <w:color w:val="auto"/>
        </w:rPr>
      </w:pPr>
      <w:r>
        <w:rPr>
          <w:rFonts w:ascii="Times New Roman" w:cs="Times New Roman" w:eastAsia="Times New Roman" w:hAnsi="Times New Roman"/>
          <w:sz w:val="22"/>
          <w:szCs w:val="22"/>
          <w:color w:val="auto"/>
        </w:rPr>
        <w:t xml:space="preserve">jurisdiction of organization) where the failure to be so qualified or in good standing would not reasonably be expected to have a Material Adverse Effect; (b) perform in all material respects its obligations under Material Agreements, except where the failure to do so would not reasonably be expected to have a Material Adverse Effect; (c) comply in all material respects with all applicable Laws, rules, regulations and orders, including any newly enacted Laws (including, without limitation, the Verifying Accurate Leading-edge IVCT Development (VALID) Act, should it be enacted), </w:t>
      </w:r>
      <w:r>
        <w:rPr>
          <w:rFonts w:ascii="Times New Roman" w:cs="Times New Roman" w:eastAsia="Times New Roman" w:hAnsi="Times New Roman"/>
          <w:sz w:val="19"/>
          <w:szCs w:val="19"/>
          <w:color w:val="auto"/>
        </w:rPr>
        <w:t>except</w:t>
      </w:r>
      <w:r>
        <w:rPr>
          <w:rFonts w:ascii="Times New Roman" w:cs="Times New Roman" w:eastAsia="Times New Roman" w:hAnsi="Times New Roman"/>
          <w:sz w:val="22"/>
          <w:szCs w:val="22"/>
          <w:color w:val="auto"/>
        </w:rPr>
        <w:t xml:space="preserve"> where the failure to do so would not reasonably be expected to have a Material Adverse Effect; and (d) pay (before the same become delinquent) all material Taxes imposed upon the Borrower or any of the Subsidiaries or upon their property except to the extent any such Taxes are being diligently contested in good faith by appropriate proceedings and for which adequate reserves in accordance with GAAP have been set aside on the books of the Borrower or any of the Subsidiaries, as applicable.</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Maintenance of Properties</w:t>
      </w:r>
      <w:r>
        <w:rPr>
          <w:rFonts w:ascii="Times New Roman" w:cs="Times New Roman" w:eastAsia="Times New Roman" w:hAnsi="Times New Roman"/>
          <w:sz w:val="22"/>
          <w:szCs w:val="22"/>
          <w:color w:val="auto"/>
        </w:rPr>
        <w:t xml:space="preserve">. The Borrower and the Subsidiaries will, in all material respects, maintain, preserve, protect and keep its and their respective properties in good repair, working order and condition (ordinary wear and tear excepted), and make reasonably necessary repairs, renewals and replacements so that the business carried on by the Borrower or any of the Subsidiaries may be conducted at all times, unless the Borrower or any of the Subsidiaries determines in good faith that the continued maintenance of such property is no longer economically desirable, necessary or useful to the business of the Borrower or any of the Subsidiaries or the Disposition of such property is otherwise permitted by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Borrower and each of the Subsidiaries will maintain:</w:t>
      </w:r>
    </w:p>
    <w:p>
      <w:pPr>
        <w:spacing w:after="0" w:line="179" w:lineRule="exact"/>
        <w:rPr>
          <w:sz w:val="20"/>
          <w:szCs w:val="20"/>
          <w:color w:val="auto"/>
        </w:rPr>
      </w:pPr>
    </w:p>
    <w:p>
      <w:pPr>
        <w:ind w:right="120" w:firstLine="656"/>
        <w:spacing w:after="0" w:line="220" w:lineRule="auto"/>
        <w:tabs>
          <w:tab w:leader="none" w:pos="129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on its property with financially sound and reputable insurance companies against business interruption, loss and damage in at least the amounts (and with only those deductibles) customarily maintained, and against such risks as are typically insured against in the same general area, by Persons of comparable size engaged in the same or similar business as the Borrower and the Subsidiaries; and</w:t>
      </w:r>
    </w:p>
    <w:p>
      <w:pPr>
        <w:spacing w:after="0" w:line="152" w:lineRule="exact"/>
        <w:rPr>
          <w:rFonts w:ascii="Times New Roman" w:cs="Times New Roman" w:eastAsia="Times New Roman" w:hAnsi="Times New Roman"/>
          <w:sz w:val="22"/>
          <w:szCs w:val="22"/>
          <w:color w:val="auto"/>
        </w:rPr>
      </w:pPr>
    </w:p>
    <w:p>
      <w:pPr>
        <w:ind w:right="180" w:firstLine="656"/>
        <w:spacing w:after="0" w:line="236" w:lineRule="auto"/>
        <w:tabs>
          <w:tab w:leader="none" w:pos="12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worker’s compensation, employer’s liability insurance or similar insurance as may be required under the laws of any state or jurisdiction in which it may be engaged in business.</w:t>
      </w:r>
    </w:p>
    <w:p>
      <w:pPr>
        <w:spacing w:after="0" w:line="17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Without limiting the foregoing, the Loan Parties shall deliver to the Administrative Agent endorsements to the property/casualty insurance and liability insurance policies in form and substance reasonably acceptable to the Administrative Agent and the Required Lenders that: (i) (x) in the case of property/casualty insurance, name the Administrative Agent as mortgagee (if applicable) and lender loss payee, and (y) in the case of liability insurance, name the Administrative Agent as additional insured; and (ii) provide that no cancellation or modification as to the amount or scope of coverage of such property/casualty and liability policies will be made without at least thirty 30 days’ prior written notice thereof (or ten days’ prior written notice thereof in the case of cancellation due to non-payment of premiums) to the Administrative Agent.</w:t>
      </w:r>
    </w:p>
    <w:p>
      <w:pPr>
        <w:spacing w:after="0" w:line="153"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Borrower and each of the Subsidiaries will keep books and records in accordance with GAAP which accurately reflect all of its business affairs and transactions and permit the Administrative Agent, any Lender or any of their respective representatives, at reasonable times and intervals upon reasonable notice to the Borrower, to visit the Borrower’s or any of the Subsidiaries’ offices during normal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1395" w:right="359" w:bottom="1440" w:gutter="0" w:footer="0" w:header="0"/>
        </w:sectPr>
      </w:pPr>
    </w:p>
    <w:bookmarkStart w:id="70" w:name="page71"/>
    <w:bookmarkEnd w:id="70"/>
    <w:p>
      <w:pPr>
        <w:spacing w:after="0" w:line="209" w:lineRule="auto"/>
        <w:rPr>
          <w:sz w:val="20"/>
          <w:szCs w:val="20"/>
          <w:color w:val="auto"/>
        </w:rPr>
      </w:pPr>
      <w:r>
        <w:rPr>
          <w:rFonts w:ascii="Times New Roman" w:cs="Times New Roman" w:eastAsia="Times New Roman" w:hAnsi="Times New Roman"/>
          <w:sz w:val="22"/>
          <w:szCs w:val="22"/>
          <w:color w:val="auto"/>
        </w:rPr>
        <w:t xml:space="preserve">hours, to discuss the Borrower’s or any of the Subsidiaries’ financial or other matters with its officers and employees, and its independent public accountants (the Borrower shall be given the opportunity to participate in any discussions with the Borrower’s independent public accounts, but the Borrower hereby authorizes such independent public accountant to discuss the Borrower’s and any of the Subsidiaries’ financial and other matters with the Administrative Agent, any Lender or their respective representatives whether or not any representative of the Borrower or any of the Subsidiaries is present) and to examine any of its books and records;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excluding any such visits and inspections during the continuation of any Event of Default, no more than one such visit during any calendar year shall be at the Borrower’s expense. The Borrower shall pay any fees of such independent public accountant incurred in connection with the Administrative Agent’s or any Lender’s exercise of its rights pursuant to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Notwithstanding anything to the contrary in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none of the Borrower or any of the Subsidiaries will be required to disclose, permit the inspection, examination or making copies or abstracts of, or discussion of, any document, information or other matter that (a) constitutes non-financial trade secrets or non-financial proprietary information, (b) in respect of which disclosure to the Administrative Agent or any Lender (or their respective representatives) is prohibited by law or any binding agreement or (c) is subject to attorney-client or similar privilege or constitutes attorney work product. In any event, the inspections described in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shall be conducted in a manner that will not unreasonably interfere with the business operations of the Borrower and the Subsidiaries.</w:t>
      </w:r>
    </w:p>
    <w:p>
      <w:pPr>
        <w:spacing w:after="0" w:line="151" w:lineRule="exact"/>
        <w:rPr>
          <w:sz w:val="20"/>
          <w:szCs w:val="20"/>
          <w:color w:val="auto"/>
        </w:rPr>
      </w:pPr>
    </w:p>
    <w:p>
      <w:pPr>
        <w:ind w:right="8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Environmental Law Covenant</w:t>
      </w:r>
      <w:r>
        <w:rPr>
          <w:rFonts w:ascii="Times New Roman" w:cs="Times New Roman" w:eastAsia="Times New Roman" w:hAnsi="Times New Roman"/>
          <w:sz w:val="22"/>
          <w:szCs w:val="22"/>
          <w:color w:val="auto"/>
        </w:rPr>
        <w:t>. The Borrower and each of the Subsidiaries will (i) use and operate all of its and their businesses, facilities and properties in material compliance with all Environmental Laws, and keep and maintain all Environmental Permits and remain in compliance therewith, except as could not reasonably be expected to have a Material Adverse Effect, and (ii) promptly notify the Administrative Agent of, and provide the Administrative Agent with copies of all material claims, complaints, notices or inquiries relating to, any actual or alleged non-compliance with any Environmental Laws or Environmental Permits or any actual or alleged Environmental Liabilities. The Borrower and each of the Subsidiaries will promptly resolve, remedy and mitigate any such non-compliance or Environmental Liabilities, except as could not reasonably be expected to have a Material Adverse Effect.</w:t>
      </w:r>
    </w:p>
    <w:p>
      <w:pPr>
        <w:spacing w:after="0" w:line="156"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Borrower will use the proceeds of the Loans for working capital and general corporate purposes, to consummate the Existing Debt Refinancing and to pay fees and expenses associated with the Closing Date Transactions and the other transactions contemplated hereby and thereby.</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SECTION 7.8 </w:t>
      </w:r>
      <w:r>
        <w:rPr>
          <w:rFonts w:ascii="Times New Roman" w:cs="Times New Roman" w:eastAsia="Times New Roman" w:hAnsi="Times New Roman"/>
          <w:sz w:val="21"/>
          <w:szCs w:val="21"/>
          <w:u w:val="single" w:color="auto"/>
          <w:color w:val="auto"/>
        </w:rPr>
        <w:t>Future Guarantors, Security, Etc</w:t>
      </w:r>
      <w:r>
        <w:rPr>
          <w:rFonts w:ascii="Times New Roman" w:cs="Times New Roman" w:eastAsia="Times New Roman" w:hAnsi="Times New Roman"/>
          <w:sz w:val="21"/>
          <w:szCs w:val="21"/>
          <w:color w:val="auto"/>
        </w:rPr>
        <w:t xml:space="preserve">. The Loan Parties will execute any documents, financing statements, agreements and instruments, and take all further action that may be required under applicable Law, or that the Administrative Agent or the Required Lenders may reasonably request, in order to effectuate the transactions contemplated by the Loan Documents and in order to grant, preserve, protect and perfect the validity and first priority (subject to Liens permitted by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and any exceptions and limitations expressly permitted by the Loan Documents) of the Liens created or intended to be created by the Loan Documents. The Borrower will cause (a) (i) any subsequently acquired Subsidiary (other than any Excluded Subsidiary), within 15 Business Days (or such later date as agreed by the Administrative Agent in its reasonable discretion) of its acquisition, and (ii) any subsequently organized Subsidiary (other than any Excluded Subsidiary), within 15 Business Days (or such later date as agreed by the Administrative Agent in its reasonable discretion) of its formation, to execute a supplement (in form and substance reasonably satisfactory to the Administrative Agent and the Required Lenders) to the Guarantee and each other applicable Loan Document in favor of the Administrative Agent for the benefit of the Secured Parties, to cause such Subsidiary to become compliant with the terms of the Security Agreement, and take such other actions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395" w:right="339" w:bottom="1440" w:gutter="0" w:footer="0" w:header="0"/>
        </w:sectPr>
      </w:pPr>
    </w:p>
    <w:bookmarkStart w:id="71" w:name="page72"/>
    <w:bookmarkEnd w:id="71"/>
    <w:p>
      <w:pPr>
        <w:spacing w:after="0" w:line="208" w:lineRule="auto"/>
        <w:rPr>
          <w:sz w:val="20"/>
          <w:szCs w:val="20"/>
          <w:color w:val="auto"/>
        </w:rPr>
      </w:pPr>
      <w:r>
        <w:rPr>
          <w:rFonts w:ascii="Times New Roman" w:cs="Times New Roman" w:eastAsia="Times New Roman" w:hAnsi="Times New Roman"/>
          <w:sz w:val="22"/>
          <w:szCs w:val="22"/>
          <w:color w:val="auto"/>
        </w:rPr>
        <w:t xml:space="preserve">required or reasonably requested by the Administrative Agent for the benefit of the Secured Parties to have a valid Lien with the priority intended to be created on, and security interest in, substantially all of the assets of such Subsidiary (other than any Excluded Assets), subject to no other Liens (other than Liens permitted by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and the limitations set forth below and (b) all of the presently existing or thereafter arising issued and outstanding shares of Capital Securities of any Subsidiary (other than any Excluded Subsidiary) to be pledged to the Administrative Agent for the benefit of the Secured Parties pursuant to one or more pledge agreements or other documents reasonably acceptable to the Administrative Agent. The Borrower will promptly notify the Administrative Agent of any subsequently acquired ownership interest in Material Real Property and will provide the Administrative Agent with a description of such Material Real Property, the acquisition date thereof and the purchase price therefor. In addition, from time to time, each of the Loan Parties will, at its cost and expense, reasonably promptly take such actions as shall be necessary to secure the Obligations by pledging or creating, or causing to be pledged or created, perfected Liens with respect to such assets and properties as the Administrative Agent or the Required Lenders shall designate (other than any Excluded Assets and fee-owned real property that does not qualify as Material Real Property), it being agreed that it is the intent of the parties that the Obligations shall be secured by, among other things, substantially all the assets of the Loan Parties (including Material Real Property and personal property acquired subsequent to the Closing Date but excluding any Excluded Assets and fee-owned real property that does not qualify as Material Real Property). Such Liens will be created under the Loan Documents in form and substance reasonably satisfactory to the Administrative Agent and the Required Lenders, and the Loan Parties shall deliver or cause to be delivered to the Administrative Agent all such instruments and documents (including mortgages, legal opinions, title insurance policies and lien searches) as the Administrative Agent or the Required Lenders shall reasonably request to evidence compliance with this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right="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Obtaining of Permits, Etc</w:t>
      </w:r>
      <w:r>
        <w:rPr>
          <w:rFonts w:ascii="Times New Roman" w:cs="Times New Roman" w:eastAsia="Times New Roman" w:hAnsi="Times New Roman"/>
          <w:sz w:val="22"/>
          <w:szCs w:val="22"/>
          <w:color w:val="auto"/>
        </w:rPr>
        <w:t>. With respect to Products, the Borrower and each of the Subsidiaries will obtain, maintain and preserve, and take all necessary action to timely renew all Permits and accreditations which are necessary in the proper conduct of its business.</w:t>
      </w:r>
    </w:p>
    <w:p>
      <w:pPr>
        <w:spacing w:after="0" w:line="153"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7.10</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7.11</w:t>
      </w:r>
      <w:r>
        <w:rPr>
          <w:sz w:val="20"/>
          <w:szCs w:val="20"/>
          <w:color w:val="auto"/>
        </w:rPr>
        <w:tab/>
      </w:r>
      <w:r>
        <w:rPr>
          <w:rFonts w:ascii="Times New Roman" w:cs="Times New Roman" w:eastAsia="Times New Roman" w:hAnsi="Times New Roman"/>
          <w:sz w:val="21"/>
          <w:szCs w:val="21"/>
          <w:u w:val="single" w:color="auto"/>
          <w:color w:val="auto"/>
        </w:rPr>
        <w:t>Maintenance of Regulatory Authorizations, Contracts, Intellectual Property, Etc</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40" w:firstLine="656"/>
        <w:spacing w:after="0" w:line="209" w:lineRule="auto"/>
        <w:tabs>
          <w:tab w:leader="none" w:pos="12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Products, each of the Borrower and each of the Subsidiaries will, in all material respects, (i) maintain in full force and effect all Regulatory Authorizations, contract rights, or other rights, in each case, material and necessary for the operations of its business; (ii) maintain in full force and effect or pursue the prosecution of, as the case may be, and pay all costs and expenses relating to, all Owned Intellectual Property and all Material Agreements, except in the event that the Borrower or any of the Subsidiaries determines in its reasonable commercial judgment not to do so; (iii) notify the Administrative Agent, promptly after commencing any legal action, of any legal action brought by the Borrower or any of its Subsidiaries alleging Infringement by any Person of any Owned Intellectual Property, except where providing such notice could reasonably compromise attorney-client privilege or otherwise adversely affect Borrower or its Subsidiaries ability to effectively enforce any Owned Intellectual Property, or otherwise pursue Infringement except in any specific circumstances where the Borrower reasonably determines it is not commercially reasonable to do so; (iv) use commercially reasonable efforts to pursue and maintain in full force and effect legal protection for, and protect against Infringement with respect to, all Owned Intellectual Property and all Licensed Intellectual Property for which Borrower or any Subsidiary has the right to enforce, except in the event that the Borrower or any of the Subsidiaries determines in its reasonable commercial judgment not to do so; (v) notify the Administrative Agent, where it is permissible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1395" w:right="359" w:bottom="1440" w:gutter="0" w:footer="0" w:header="0"/>
        </w:sectPr>
      </w:pPr>
    </w:p>
    <w:bookmarkStart w:id="72" w:name="page73"/>
    <w:bookmarkEnd w:id="72"/>
    <w:p>
      <w:pPr>
        <w:ind w:right="20"/>
        <w:spacing w:after="0" w:line="208" w:lineRule="auto"/>
        <w:rPr>
          <w:sz w:val="20"/>
          <w:szCs w:val="20"/>
          <w:color w:val="auto"/>
        </w:rPr>
      </w:pPr>
      <w:r>
        <w:rPr>
          <w:rFonts w:ascii="Times New Roman" w:cs="Times New Roman" w:eastAsia="Times New Roman" w:hAnsi="Times New Roman"/>
          <w:sz w:val="22"/>
          <w:szCs w:val="22"/>
          <w:color w:val="auto"/>
        </w:rPr>
        <w:t>do so and promptly after learning thereof, of (1) any legal action filed by any Third Party with a Government Authority, or any written notice, allegation, or other communication from any Third Party, alleging that the conduct of the business of Borrower or any of the Subsidiaries (including the development, manufacture, use, sale or other commercialization of any Product) Infringes any Intellectual Property of that or any other Third Party and which could be material to the business of the Borrower and its Subsidiaries or challenging the validity or enforceability of any material Owned Intellectual Property or any material Licensed Intellectual Property, except where (1) it is not commercially reasonable to provide such notice or (2) where providing such notice could reasonably compromise attorney-client privilege or otherwise adversely affect Borrower or its Subsidiaries ability to effectively defend against any claims of Infringement, invalidity, or unenforceability and Borrower will use commercially reasonable efforts to resolve any such claim(s), except where the Borrower or any of its Subsidiaries determines in its reasonable commercial judgment not to do so; (vi) maintain an appropriate information security program with organizational, physical, administrative and technical measures consistent with generally accepted standards for the industry in which the Borrower operates to protect the operation, confidentiality, integrity, and security of all Confidential Business Information, Personal Data and IT Assets (including, for clarity, all information and transactions stored or contained therein or transmitted thereby) against unauthorized access, acquisition, interruption, alteration, modification, or use; and (vii) notify the Lender, promptly after learning thereof, of any product recalls, safety alerts, corrections, withdrawals, marketing suspensions, removals conducted or issued, by the Borrower or any of the Subsidiaries (A) at the request, demand or order of any Governmental Authority or (B) otherwise with respect to any Product, to the extent, with respect to clause (B), the foregoing is reasonably likely to result in liabilities in excess of $5,000,000.</w:t>
      </w:r>
    </w:p>
    <w:p>
      <w:pPr>
        <w:spacing w:after="0" w:line="158" w:lineRule="exact"/>
        <w:rPr>
          <w:sz w:val="20"/>
          <w:szCs w:val="20"/>
          <w:color w:val="auto"/>
        </w:rPr>
      </w:pPr>
    </w:p>
    <w:p>
      <w:pPr>
        <w:ind w:right="320" w:firstLine="656"/>
        <w:spacing w:after="0" w:line="225" w:lineRule="auto"/>
        <w:tabs>
          <w:tab w:leader="none" w:pos="129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its Subsidiaries will furnish to the Administrative Agent prompt written notice of the following, and, with respect to clauses (i) and (ii) below, copies of any notices from, or responses to, any Governmental Authority:</w:t>
      </w:r>
    </w:p>
    <w:p>
      <w:pPr>
        <w:spacing w:after="0" w:line="152" w:lineRule="exact"/>
        <w:rPr>
          <w:rFonts w:ascii="Times New Roman" w:cs="Times New Roman" w:eastAsia="Times New Roman" w:hAnsi="Times New Roman"/>
          <w:sz w:val="22"/>
          <w:szCs w:val="22"/>
          <w:color w:val="auto"/>
        </w:rPr>
      </w:pPr>
    </w:p>
    <w:p>
      <w:pPr>
        <w:ind w:left="660" w:right="600" w:firstLine="644"/>
        <w:spacing w:after="0" w:line="225" w:lineRule="auto"/>
        <w:tabs>
          <w:tab w:leader="none" w:pos="194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written notice that any Governmental Authority is limiting, suspending or revoking any material Regulatory Authorization, changing the market classification or labeling of or otherwise materially restricting the marketing of the Products of the Borrower or any of its Subsidiaries;</w:t>
      </w:r>
    </w:p>
    <w:p>
      <w:pPr>
        <w:spacing w:after="0" w:line="152" w:lineRule="exact"/>
        <w:rPr>
          <w:rFonts w:ascii="Times New Roman" w:cs="Times New Roman" w:eastAsia="Times New Roman" w:hAnsi="Times New Roman"/>
          <w:sz w:val="22"/>
          <w:szCs w:val="22"/>
          <w:color w:val="auto"/>
        </w:rPr>
      </w:pPr>
    </w:p>
    <w:p>
      <w:pPr>
        <w:ind w:left="660" w:firstLine="644"/>
        <w:spacing w:after="0" w:line="213" w:lineRule="auto"/>
        <w:tabs>
          <w:tab w:leader="none" w:pos="195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receiving written notice from CMS, FDA or another Governmental Authority of (A) such Person becoming subject to any warning letter, Untitled Letter, notice of violation letter, or similar notification, (B) a shut-down or suspension of testing services at any laboratory operated by the Borrower or any of its Subsidiaries; or (C) any Product of the Borrower or any of its Subsidiaries being seized, withdrawn, recalled, detained, or subject to a suspension of manufacturing or import alert, or the commencement of any proceedings in the United States or any other jurisdiction seeking the withdrawal, recall, suspension, import detention or refusal, or seizure of any Product are pending or threatened against the Borrower or any of its Subsidiaries; or</w:t>
      </w:r>
    </w:p>
    <w:p>
      <w:pPr>
        <w:spacing w:after="0" w:line="156" w:lineRule="exact"/>
        <w:rPr>
          <w:rFonts w:ascii="Times New Roman" w:cs="Times New Roman" w:eastAsia="Times New Roman" w:hAnsi="Times New Roman"/>
          <w:sz w:val="22"/>
          <w:szCs w:val="22"/>
          <w:color w:val="auto"/>
        </w:rPr>
      </w:pPr>
    </w:p>
    <w:p>
      <w:pPr>
        <w:jc w:val="both"/>
        <w:ind w:left="660" w:right="60" w:firstLine="644"/>
        <w:spacing w:after="0" w:line="217" w:lineRule="auto"/>
        <w:tabs>
          <w:tab w:leader="none" w:pos="195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any written recommendation from any Governmental Authority or other regulatory body that the Borrower or any of its Subsidiaries, or any obligor (to the extent received by the Borrower) to which the Borrower or any of its Subsidiaries provides services that are material to the Borrower and its Subsidiaries, taken as a whole, should have any material licensure, clearance(s), provider or supplier number, or accreditation suspended or revoked, or any material penalties or sanctions imposed.</w:t>
      </w:r>
    </w:p>
    <w:p>
      <w:pPr>
        <w:spacing w:after="0" w:line="152" w:lineRule="exact"/>
        <w:rPr>
          <w:rFonts w:ascii="Times New Roman" w:cs="Times New Roman" w:eastAsia="Times New Roman" w:hAnsi="Times New Roman"/>
          <w:sz w:val="22"/>
          <w:szCs w:val="22"/>
          <w:color w:val="auto"/>
        </w:rPr>
      </w:pPr>
    </w:p>
    <w:p>
      <w:pPr>
        <w:ind w:right="140" w:firstLine="656"/>
        <w:spacing w:after="0" w:line="236" w:lineRule="auto"/>
        <w:tabs>
          <w:tab w:leader="none" w:pos="129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the Subsidiaries will promptly notify the Administrative Agent as soon as possible and in any event within five days of introducing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395" w:right="359" w:bottom="1440" w:gutter="0" w:footer="0" w:header="0"/>
        </w:sectPr>
      </w:pPr>
    </w:p>
    <w:bookmarkStart w:id="73" w:name="page74"/>
    <w:bookmarkEnd w:id="73"/>
    <w:p>
      <w:pPr>
        <w:ind w:right="340"/>
        <w:spacing w:after="0" w:line="236" w:lineRule="auto"/>
        <w:rPr>
          <w:sz w:val="20"/>
          <w:szCs w:val="20"/>
          <w:color w:val="auto"/>
        </w:rPr>
      </w:pPr>
      <w:r>
        <w:rPr>
          <w:rFonts w:ascii="Times New Roman" w:cs="Times New Roman" w:eastAsia="Times New Roman" w:hAnsi="Times New Roman"/>
          <w:sz w:val="22"/>
          <w:szCs w:val="22"/>
          <w:color w:val="auto"/>
        </w:rPr>
        <w:t>Product that the Borrower and the Subsidiaries or the FDA determines is subject to regulation by the FDA, or any comparable foreign Governmental Authority, as a medical device.</w:t>
      </w:r>
    </w:p>
    <w:p>
      <w:pPr>
        <w:spacing w:after="0" w:line="150"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7.12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7.13</w:t>
      </w:r>
      <w:r>
        <w:rPr>
          <w:sz w:val="20"/>
          <w:szCs w:val="20"/>
          <w:color w:val="auto"/>
        </w:rPr>
        <w:tab/>
      </w:r>
      <w:r>
        <w:rPr>
          <w:rFonts w:ascii="Times New Roman" w:cs="Times New Roman" w:eastAsia="Times New Roman" w:hAnsi="Times New Roman"/>
          <w:sz w:val="21"/>
          <w:szCs w:val="21"/>
          <w:u w:val="single" w:color="auto"/>
          <w:color w:val="auto"/>
        </w:rPr>
        <w:t>Cash Management</w:t>
      </w:r>
      <w:r>
        <w:rPr>
          <w:rFonts w:ascii="Times New Roman" w:cs="Times New Roman" w:eastAsia="Times New Roman" w:hAnsi="Times New Roman"/>
          <w:sz w:val="21"/>
          <w:szCs w:val="21"/>
          <w:color w:val="auto"/>
        </w:rPr>
        <w:t>. The Loan Parties will:</w:t>
      </w:r>
    </w:p>
    <w:p>
      <w:pPr>
        <w:spacing w:after="0" w:line="179" w:lineRule="exact"/>
        <w:rPr>
          <w:sz w:val="20"/>
          <w:szCs w:val="20"/>
          <w:color w:val="auto"/>
        </w:rPr>
      </w:pPr>
    </w:p>
    <w:p>
      <w:pPr>
        <w:ind w:firstLine="656"/>
        <w:spacing w:after="0" w:line="207" w:lineRule="auto"/>
        <w:tabs>
          <w:tab w:leader="none" w:pos="129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maintain a current and complete list of all accounts (of the type initially set forth on </w:t>
      </w:r>
      <w:r>
        <w:rPr>
          <w:rFonts w:ascii="Times New Roman" w:cs="Times New Roman" w:eastAsia="Times New Roman" w:hAnsi="Times New Roman"/>
          <w:sz w:val="22"/>
          <w:szCs w:val="22"/>
          <w:u w:val="single" w:color="auto"/>
          <w:color w:val="auto"/>
        </w:rPr>
        <w:t>Schedule 6.22</w:t>
      </w:r>
      <w:r>
        <w:rPr>
          <w:rFonts w:ascii="Times New Roman" w:cs="Times New Roman" w:eastAsia="Times New Roman" w:hAnsi="Times New Roman"/>
          <w:sz w:val="22"/>
          <w:szCs w:val="22"/>
          <w:color w:val="auto"/>
        </w:rPr>
        <w:t xml:space="preserve">) of the Loan Parties (other than (A) any accounts exclusively used for payroll, payroll taxes and other employee wage and benefit programs to or for the benefit of the Borrower’s or a Subsidiary’s employees, which shall in no event hold in the aggregate more than the amount reasonably expected to meet such payroll expenses for the following calendar month, including bonuses and other payments to be paid within the following calendar month, (B) accounts of the Borrower and the Guarantors constituting trust, fiduciary and escrow accounts, (C) accounts of the Borrower and the Guarantors that solely secure obligations in respect of letters of credit, credit cards and other obligations which are permitted by clauses (h), (m), (n) and (o) of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(D) accounts of the Borrower and the Guarantors located outside the United States, in which, in the case of this clause (D), there is not maintained at any point in time funds on deposit, together with funds on deposit in accounts of Excluded Subsidiaries in compliance with clause (iv) of the definition of “Excluded Subsidiary”, greater than $8,000,000 in the aggregate at any time from the Closing Date up to and including March 31, 2026 (or such later date as the Administrative Agent may agree in its discretion), and $5,000,000 thereafter in the aggregate for all such accounts under such clause, and (E) zero balance accounts so long as the balance in such account is zero at the end of each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accounts pursuant to this clause (E) shall remain zero balance accounts for such purpose during the term of this Agreement and shall be subject to a sweep agreement reasonably satisfactory to the Administrative Agent and the Lenders, and the Borrower shall use commercially reasonable efforts to require that the depositary bank thereunder provide ten days’ prior notice to the Administrative Agent and the Lenders prior to any change to the terms of the daily sweep of such account(s)) (clauses (A) - (E), collectively, the “</w:t>
      </w:r>
      <w:r>
        <w:rPr>
          <w:rFonts w:ascii="Times New Roman" w:cs="Times New Roman" w:eastAsia="Times New Roman" w:hAnsi="Times New Roman"/>
          <w:sz w:val="22"/>
          <w:szCs w:val="22"/>
          <w:u w:val="single" w:color="auto"/>
          <w:color w:val="auto"/>
        </w:rPr>
        <w:t>Excluded Accounts</w:t>
      </w:r>
      <w:r>
        <w:rPr>
          <w:rFonts w:ascii="Times New Roman" w:cs="Times New Roman" w:eastAsia="Times New Roman" w:hAnsi="Times New Roman"/>
          <w:sz w:val="22"/>
          <w:szCs w:val="22"/>
          <w:color w:val="auto"/>
        </w:rPr>
        <w:t>”)) and promptly deliver any updates to such list to the Administrative Agent; and (ii) in addition to complying with clause (c) below as applicable, execute and maintain a “springing” account control agreement for each such account (other than Excluded Accounts) in form and substance reasonably acceptable to the Administrative Agent and the Required Lenders (each such account, a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right="280" w:firstLine="656"/>
        <w:spacing w:after="0" w:line="225" w:lineRule="auto"/>
        <w:tabs>
          <w:tab w:leader="none" w:pos="129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promptly after the date of receipt thereof in accordance with prudent business practices all cash, checks, drafts or other similar items of payment relating to or constituting payments made in respect of any and all accounts and other rights and interests into Controlled Accounts except to the extent permitted to be kept in Excluded Accounts;</w:t>
      </w:r>
    </w:p>
    <w:p>
      <w:pPr>
        <w:spacing w:after="0" w:line="152" w:lineRule="exact"/>
        <w:rPr>
          <w:rFonts w:ascii="Times New Roman" w:cs="Times New Roman" w:eastAsia="Times New Roman" w:hAnsi="Times New Roman"/>
          <w:sz w:val="22"/>
          <w:szCs w:val="22"/>
          <w:color w:val="auto"/>
        </w:rPr>
      </w:pPr>
    </w:p>
    <w:p>
      <w:pPr>
        <w:ind w:right="240" w:firstLine="656"/>
        <w:spacing w:after="0" w:line="219" w:lineRule="auto"/>
        <w:tabs>
          <w:tab w:leader="none" w:pos="129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to perfect Administrative Agent’s security interest in funds received from Governmental Payors making payments under Medicare, Medicaid or any other federal or state healthcare program for which such an arrangement is reasonably necessary to perfect such an interest, the Loan Parties will create and maintain a segregated account into which all deposits from existing accounts which contain funds received from Governmental Payors shall be swept on a daily basis, and such segregated account shall be a Controlled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no breach of this </w:t>
      </w:r>
      <w:r>
        <w:rPr>
          <w:rFonts w:ascii="Times New Roman" w:cs="Times New Roman" w:eastAsia="Times New Roman" w:hAnsi="Times New Roman"/>
          <w:sz w:val="21"/>
          <w:szCs w:val="21"/>
          <w:u w:val="single" w:color="auto"/>
          <w:color w:val="auto"/>
        </w:rPr>
        <w:t>Section</w:t>
      </w:r>
    </w:p>
    <w:p>
      <w:pPr>
        <w:spacing w:after="0" w:line="2" w:lineRule="exact"/>
        <w:rPr>
          <w:rFonts w:ascii="Times New Roman" w:cs="Times New Roman" w:eastAsia="Times New Roman" w:hAnsi="Times New Roman"/>
          <w:sz w:val="21"/>
          <w:szCs w:val="21"/>
          <w:color w:val="auto"/>
        </w:rPr>
      </w:pPr>
    </w:p>
    <w:p>
      <w:pPr>
        <w:ind w:right="30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7.13(c)</w:t>
      </w:r>
      <w:r>
        <w:rPr>
          <w:rFonts w:ascii="Times New Roman" w:cs="Times New Roman" w:eastAsia="Times New Roman" w:hAnsi="Times New Roman"/>
          <w:sz w:val="22"/>
          <w:szCs w:val="22"/>
          <w:color w:val="auto"/>
        </w:rPr>
        <w:t xml:space="preserve"> shall be deemed to have occurred and the Loan Parties shall be deemed compliant with this </w:t>
      </w:r>
      <w:r>
        <w:rPr>
          <w:rFonts w:ascii="Times New Roman" w:cs="Times New Roman" w:eastAsia="Times New Roman" w:hAnsi="Times New Roman"/>
          <w:sz w:val="22"/>
          <w:szCs w:val="22"/>
          <w:u w:val="single" w:color="auto"/>
          <w:color w:val="auto"/>
        </w:rPr>
        <w:t>Section 7.13(c)</w:t>
      </w:r>
      <w:r>
        <w:rPr>
          <w:rFonts w:ascii="Times New Roman" w:cs="Times New Roman" w:eastAsia="Times New Roman" w:hAnsi="Times New Roman"/>
          <w:sz w:val="22"/>
          <w:szCs w:val="22"/>
          <w:color w:val="auto"/>
        </w:rPr>
        <w:t xml:space="preserve"> if any such funds shall not be swept on a daily basis in accordance with the foregoing provisions in this </w:t>
      </w:r>
      <w:r>
        <w:rPr>
          <w:rFonts w:ascii="Times New Roman" w:cs="Times New Roman" w:eastAsia="Times New Roman" w:hAnsi="Times New Roman"/>
          <w:sz w:val="22"/>
          <w:szCs w:val="22"/>
          <w:u w:val="single" w:color="auto"/>
          <w:color w:val="auto"/>
        </w:rPr>
        <w:t>Section 7.13(c)</w:t>
      </w:r>
      <w:r>
        <w:rPr>
          <w:rFonts w:ascii="Times New Roman" w:cs="Times New Roman" w:eastAsia="Times New Roman" w:hAnsi="Times New Roman"/>
          <w:sz w:val="22"/>
          <w:szCs w:val="22"/>
          <w:color w:val="auto"/>
        </w:rPr>
        <w:t xml:space="preserve"> solely due to the account bank’s failure to perform its obligations under the applicable account documentation and not due to any action by the Loan Parties or any failure of the Loan Parties to perform their respective obligations hereunder or under any account documentation;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395" w:right="339" w:bottom="1440" w:gutter="0" w:footer="0" w:header="0"/>
        </w:sectPr>
      </w:pPr>
    </w:p>
    <w:bookmarkStart w:id="74" w:name="page75"/>
    <w:bookmarkEnd w:id="74"/>
    <w:p>
      <w:pPr>
        <w:ind w:right="400" w:firstLine="656"/>
        <w:spacing w:after="0" w:line="220" w:lineRule="auto"/>
        <w:tabs>
          <w:tab w:leader="none" w:pos="129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occurrence and during the continuance of an Event of Default, at the request of the Administrative Agent (acting at the direction of the Required Lenders), promptly cause all payments constituting proceeds of accounts to be directed into lockbox accounts under agreements in form and substance reasonably satisfactory to the Administrative Agent.</w:t>
      </w:r>
    </w:p>
    <w:p>
      <w:pPr>
        <w:spacing w:after="0" w:line="152"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1"/>
          <w:szCs w:val="21"/>
          <w:color w:val="auto"/>
        </w:rPr>
        <w:t xml:space="preserve">SECTION 7.14 </w:t>
      </w:r>
      <w:r>
        <w:rPr>
          <w:rFonts w:ascii="Times New Roman" w:cs="Times New Roman" w:eastAsia="Times New Roman" w:hAnsi="Times New Roman"/>
          <w:sz w:val="21"/>
          <w:szCs w:val="21"/>
          <w:u w:val="single" w:color="auto"/>
          <w:color w:val="auto"/>
        </w:rPr>
        <w:t>Excluded Subsidiaries</w:t>
      </w:r>
      <w:r>
        <w:rPr>
          <w:rFonts w:ascii="Times New Roman" w:cs="Times New Roman" w:eastAsia="Times New Roman" w:hAnsi="Times New Roman"/>
          <w:sz w:val="21"/>
          <w:szCs w:val="21"/>
          <w:color w:val="auto"/>
        </w:rPr>
        <w:t xml:space="preserve">. If at any time (a) the aggregate cash or Cash Equivalent Investments attributable to all Excluded Subsidiaries exceeds $8,000,000 in the aggregate at any time from the Closing Date up to and including March 31, 2026 (or such later date as the Administrative Agent may agree in its discretion), and $5,000,000 thereafter, the Borrower shall (i) within five Business Days after the end of the calendar week in which such excess occurs, designate sufficient Subsidiaries as “Guarantors” to eliminate such excess, and such designated Subsidiaries shall for all purposes of this Agreement constitute Guarantors and be subject to the provisions of </w:t>
      </w:r>
      <w:r>
        <w:rPr>
          <w:rFonts w:ascii="Times New Roman" w:cs="Times New Roman" w:eastAsia="Times New Roman" w:hAnsi="Times New Roman"/>
          <w:sz w:val="21"/>
          <w:szCs w:val="21"/>
          <w:u w:val="single" w:color="auto"/>
          <w:color w:val="auto"/>
        </w:rPr>
        <w:t>Section 7.8</w:t>
      </w:r>
      <w:r>
        <w:rPr>
          <w:rFonts w:ascii="Times New Roman" w:cs="Times New Roman" w:eastAsia="Times New Roman" w:hAnsi="Times New Roman"/>
          <w:sz w:val="21"/>
          <w:szCs w:val="21"/>
          <w:color w:val="auto"/>
        </w:rPr>
        <w:t>, or (ii) within five Business Days after the end of such calendar week in which such excess occurs, repatriate cash and/or Cash Equivalent Investments in an aggregate amount sufficient to eliminate such excess, (b) the aggregate portion of the Revenue attributable to (I) an Excluded Subsidiary exceeds</w:t>
      </w:r>
    </w:p>
    <w:p>
      <w:pPr>
        <w:spacing w:after="0" w:line="5" w:lineRule="exact"/>
        <w:rPr>
          <w:sz w:val="20"/>
          <w:szCs w:val="20"/>
          <w:color w:val="auto"/>
        </w:rPr>
      </w:pPr>
    </w:p>
    <w:p>
      <w:pPr>
        <w:spacing w:after="0" w:line="206" w:lineRule="auto"/>
        <w:rPr>
          <w:sz w:val="20"/>
          <w:szCs w:val="20"/>
          <w:color w:val="auto"/>
        </w:rPr>
      </w:pPr>
      <w:r>
        <w:rPr>
          <w:rFonts w:ascii="Times New Roman" w:cs="Times New Roman" w:eastAsia="Times New Roman" w:hAnsi="Times New Roman"/>
          <w:sz w:val="22"/>
          <w:szCs w:val="22"/>
          <w:color w:val="auto"/>
        </w:rPr>
        <w:t xml:space="preserve">5.0% of the Revenue of the Borrower and its Subsidiaries or (II) all Excluded Subsidiaries exceeds 7.5% of the Revenue of the Borrower and its Subsidiaries, as applicable, in each case for any period of four consecutive Fiscal Quarters (determined as of the last day of the most recent Fiscal Quarter for which financial statements have been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if prior to the date of the delivery of the first financial statements to be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the most recent financial statements referred to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within ten Business Days after the end of the fiscal quarter in which such excess occurs, the Borrower shall designate such Excluded Subsidiary or sufficient Subsidiaries as “Guarantors” to eliminate such excess, and such designated Subsidiaries shall for all purposes of this Agreement constitute Guarantors and be subject to the provisions of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or (c) the aggregate portion of total assets attributable to (I) an Excluded Subsidiary exceeds 5.0% of the consolidated total assets of the Borrower and its Subsidiaries or (II) all Excluded Subsidiaries exceeds 7.5% of the consolidated total assets of the Borrower and its Subsidiaries, as applicable, in each case for any period of four consecutive Fiscal Quarters (determined as of the last day of the most recent Fiscal Quarter for which financial statements have been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if prior to the date of the delivery of the first financial statements to be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the most recent financial statements referred to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within ten Business Days after the end of the fiscal quarter in which such excess occurs, the Borrower shall designate such Excluded Subsidiary or sufficient Subsidiaries as “Guarantors” to eliminate such excess, and such designated Subsidiaries shall for all purposes of this Agreement constitute Guarantors and be subject to the provisions of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In addition, should an Excluded Subsidiary cease to meet the criteria set forth in clauses (i), (ii) or (iii) of the definition thereof, within ten Business Days after the end of the fiscal quarter in which such excess occurs, the Borrower shall designate such Subsidiary as a “Guarantor”, and such Subsidiary shall for all purposes of this Agreement constitute a Guarantor and be subject to the provisions of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Post-Closing Deliverables</w:t>
      </w:r>
      <w:r>
        <w:rPr>
          <w:rFonts w:ascii="Times New Roman" w:cs="Times New Roman" w:eastAsia="Times New Roman" w:hAnsi="Times New Roman"/>
          <w:sz w:val="22"/>
          <w:szCs w:val="22"/>
          <w:color w:val="auto"/>
        </w:rPr>
        <w:t xml:space="preserve">. Notwithstanding anything to the contrary herein or in the other Loan Documents (it being understood that to the extent that the existence of any of the following post-closing obligations that is not overdue would otherwise cause any representation, warranty, covenant, default or event of default in this Agreement or any other Loan Document to be in breach, the Lenders hereby waive such breach for the period from the Closing Date until the first date on which such condition is required to be fulfilled (giving effect to any extensions thereof) pursuant to this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the Borrower shall deliver or cause to be delivered the following items to the Administrative Agent, or take or cause to be taken the following actions, in each case, no later than the dates set forth below (or such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1395" w:right="359" w:bottom="1440" w:gutter="0" w:footer="0" w:header="0"/>
        </w:sectPr>
      </w:pPr>
    </w:p>
    <w:bookmarkStart w:id="75" w:name="page76"/>
    <w:bookmarkEnd w:id="75"/>
    <w:p>
      <w:pPr>
        <w:ind w:right="80"/>
        <w:spacing w:after="0" w:line="236" w:lineRule="auto"/>
        <w:rPr>
          <w:sz w:val="20"/>
          <w:szCs w:val="20"/>
          <w:color w:val="auto"/>
        </w:rPr>
      </w:pPr>
      <w:r>
        <w:rPr>
          <w:rFonts w:ascii="Times New Roman" w:cs="Times New Roman" w:eastAsia="Times New Roman" w:hAnsi="Times New Roman"/>
          <w:sz w:val="22"/>
          <w:szCs w:val="22"/>
          <w:color w:val="auto"/>
        </w:rPr>
        <w:t>date agreed to by the Administrative Agent in its sole discretion), and each deliverable shall be in form and substance reasonably satisfactory to the Administrative Agent:</w:t>
      </w:r>
    </w:p>
    <w:p>
      <w:pPr>
        <w:spacing w:after="0" w:line="150" w:lineRule="exact"/>
        <w:rPr>
          <w:sz w:val="20"/>
          <w:szCs w:val="20"/>
          <w:color w:val="auto"/>
        </w:rPr>
      </w:pPr>
    </w:p>
    <w:p>
      <w:pPr>
        <w:ind w:right="200" w:firstLine="656"/>
        <w:spacing w:after="0" w:line="236" w:lineRule="auto"/>
        <w:tabs>
          <w:tab w:leader="none" w:pos="12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after the Closing Date, all endorsements to insurance policies required to be maintained pursuant to the Loan Documents in favor of the Administrative Agent required under the Loan Documents;</w:t>
      </w:r>
    </w:p>
    <w:p>
      <w:pPr>
        <w:spacing w:after="0" w:line="150" w:lineRule="exact"/>
        <w:rPr>
          <w:rFonts w:ascii="Times New Roman" w:cs="Times New Roman" w:eastAsia="Times New Roman" w:hAnsi="Times New Roman"/>
          <w:sz w:val="22"/>
          <w:szCs w:val="22"/>
          <w:color w:val="auto"/>
        </w:rPr>
      </w:pPr>
    </w:p>
    <w:p>
      <w:pPr>
        <w:ind w:right="40" w:firstLine="656"/>
        <w:spacing w:after="0" w:line="225" w:lineRule="auto"/>
        <w:tabs>
          <w:tab w:leader="none" w:pos="12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 days after the Closing Date, evidence that all deposit accounts, lockboxes, disbursement accounts, investment accounts or other similar accounts of the Borrower and each Guarantor are Controlled Accounts (other than Excluded Accounts);</w:t>
      </w:r>
    </w:p>
    <w:p>
      <w:pPr>
        <w:spacing w:after="0" w:line="152" w:lineRule="exact"/>
        <w:rPr>
          <w:rFonts w:ascii="Times New Roman" w:cs="Times New Roman" w:eastAsia="Times New Roman" w:hAnsi="Times New Roman"/>
          <w:sz w:val="22"/>
          <w:szCs w:val="22"/>
          <w:color w:val="auto"/>
        </w:rPr>
      </w:pPr>
    </w:p>
    <w:p>
      <w:pPr>
        <w:ind w:firstLine="656"/>
        <w:spacing w:after="0" w:line="225" w:lineRule="auto"/>
        <w:tabs>
          <w:tab w:leader="none" w:pos="12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 days after the Closing Date, landlord access agreements and bailee letters in form and substance reasonably satisfactory to the Lenders from each landlord to a Loan Party and each other Person, in each case, that has possession of Collateral having a value in excess of $1,000,000; and</w:t>
      </w:r>
    </w:p>
    <w:p>
      <w:pPr>
        <w:spacing w:after="0" w:line="152" w:lineRule="exact"/>
        <w:rPr>
          <w:rFonts w:ascii="Times New Roman" w:cs="Times New Roman" w:eastAsia="Times New Roman" w:hAnsi="Times New Roman"/>
          <w:sz w:val="22"/>
          <w:szCs w:val="22"/>
          <w:color w:val="auto"/>
        </w:rPr>
      </w:pPr>
    </w:p>
    <w:p>
      <w:pPr>
        <w:ind w:firstLine="656"/>
        <w:spacing w:after="0" w:line="217" w:lineRule="auto"/>
        <w:tabs>
          <w:tab w:leader="none" w:pos="12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 days after the Closing Date, UCC “fixture filing” financing statements suitable in form for naming the applicable Loan Party as a debtor and the Administrative Agent as the secured party, or other similar instruments or documents to be filed under the UCC of all jurisdictions as may be necessary or, in the opinion of the Required Lenders, desirable to perfect the security interests of the Administrative Agent, on behalf of the Secured Parties, in the Collateral located at each of the Fixture Locations.</w:t>
      </w:r>
    </w:p>
    <w:p>
      <w:pPr>
        <w:spacing w:after="0" w:line="1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ARTICLE VIII</w:t>
      </w:r>
    </w:p>
    <w:p>
      <w:pPr>
        <w:ind w:left="4400"/>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18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The Borrower covenants and agrees with the Administrative Agent and the Lenders that until the Termination Date has occurred, the Borrower and the Subsidiaries will perform or cause to be performed the obligations set forth below.</w:t>
      </w:r>
    </w:p>
    <w:p>
      <w:pPr>
        <w:spacing w:after="0" w:line="131"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Business Activities</w:t>
      </w:r>
      <w:r>
        <w:rPr>
          <w:rFonts w:ascii="Times New Roman" w:cs="Times New Roman" w:eastAsia="Times New Roman" w:hAnsi="Times New Roman"/>
          <w:sz w:val="22"/>
          <w:szCs w:val="22"/>
          <w:color w:val="auto"/>
        </w:rPr>
        <w:t>. None of the Borrower or any of the Subsidiaries will engage in any business activity except those business activities engaged in on the date of this Agreement and activities reasonably incidental or ancillary thereto.</w:t>
      </w:r>
    </w:p>
    <w:p>
      <w:pPr>
        <w:spacing w:after="0" w:line="152"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None of the Borrower or any of the Subsidiaries will create, incur, assume or permit to exist any Indebtedness, other than:</w:t>
      </w:r>
    </w:p>
    <w:p>
      <w:pPr>
        <w:spacing w:after="0" w:line="150"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the Obligations;</w:t>
      </w:r>
    </w:p>
    <w:p>
      <w:pPr>
        <w:spacing w:after="0" w:line="179" w:lineRule="exact"/>
        <w:rPr>
          <w:rFonts w:ascii="Times New Roman" w:cs="Times New Roman" w:eastAsia="Times New Roman" w:hAnsi="Times New Roman"/>
          <w:sz w:val="22"/>
          <w:szCs w:val="22"/>
          <w:color w:val="auto"/>
        </w:rPr>
      </w:pPr>
    </w:p>
    <w:p>
      <w:pPr>
        <w:ind w:right="40" w:firstLine="656"/>
        <w:spacing w:after="0" w:line="221" w:lineRule="auto"/>
        <w:tabs>
          <w:tab w:leader="none" w:pos="129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incurred in connection with Permitted Acquisitions or other Investments permitted by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(including existing Indebtedness of a Person acquired in connection with a Permitted Acquisition or any such permitted Investment,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Indebtedness was not incurred in anticipation of such Permitted Acquisition or permitted Investment);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aggregate amount of all such Indebtedness, at any one time outstanding, shall not exceed $10,000,000;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obligors in respect of any such Indebtedness assumed in connection with a Permitted Acquisition or other Investment permitted by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shall be solely the entities acquired in such Permitted Acquisition or such permitted Investment;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any such Indebtedness incurred (rather than assumed) in connection with Permitted Acquisitions or other Investments permitted by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shall be solely Indebtedness of the Loan Parties (including any entities that will become Loan Parties in connection with such Permitted Acquisition or such permitted Investment) and shall be unsecured and subordinated to the Obligations in a manner satisfactory to Administrative Agent and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1395" w:right="359" w:bottom="1440" w:gutter="0" w:footer="0" w:header="0"/>
        </w:sectPr>
      </w:pPr>
    </w:p>
    <w:bookmarkStart w:id="76" w:name="page77"/>
    <w:bookmarkEnd w:id="76"/>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existing as of the Closing Date which is identified in </w:t>
      </w:r>
      <w:r>
        <w:rPr>
          <w:rFonts w:ascii="Times New Roman" w:cs="Times New Roman" w:eastAsia="Times New Roman" w:hAnsi="Times New Roman"/>
          <w:sz w:val="22"/>
          <w:szCs w:val="22"/>
          <w:u w:val="single" w:color="auto"/>
          <w:color w:val="auto"/>
        </w:rPr>
        <w:t>Schedule 8.2(c)</w:t>
      </w:r>
      <w:r>
        <w:rPr>
          <w:rFonts w:ascii="Times New Roman" w:cs="Times New Roman" w:eastAsia="Times New Roman" w:hAnsi="Times New Roman"/>
          <w:sz w:val="22"/>
          <w:szCs w:val="22"/>
          <w:color w:val="auto"/>
        </w:rPr>
        <w:t xml:space="preserve"> and Permitted Refinancings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w:t>
      </w:r>
    </w:p>
    <w:p>
      <w:pPr>
        <w:spacing w:after="0" w:line="155" w:lineRule="exact"/>
        <w:rPr>
          <w:rFonts w:ascii="Times New Roman" w:cs="Times New Roman" w:eastAsia="Times New Roman" w:hAnsi="Times New Roman"/>
          <w:sz w:val="22"/>
          <w:szCs w:val="22"/>
          <w:color w:val="auto"/>
        </w:rPr>
      </w:pPr>
    </w:p>
    <w:p>
      <w:pPr>
        <w:ind w:right="360" w:firstLine="656"/>
        <w:spacing w:after="0" w:line="236"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in respect of performance, surety or appeal bonds provided or incurred in the ordinary course of business;</w:t>
      </w:r>
    </w:p>
    <w:p>
      <w:pPr>
        <w:spacing w:after="0" w:line="150" w:lineRule="exact"/>
        <w:rPr>
          <w:rFonts w:ascii="Times New Roman" w:cs="Times New Roman" w:eastAsia="Times New Roman" w:hAnsi="Times New Roman"/>
          <w:sz w:val="22"/>
          <w:szCs w:val="22"/>
          <w:color w:val="auto"/>
        </w:rPr>
      </w:pPr>
    </w:p>
    <w:p>
      <w:pPr>
        <w:ind w:right="140" w:firstLine="656"/>
        <w:spacing w:after="0" w:line="236" w:lineRule="auto"/>
        <w:tabs>
          <w:tab w:leader="none" w:pos="129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Indebtedness and Capitalized Lease Liabilities in a principal amount not to exceed $10,000,000 in the aggregate outstanding at any time and Permitted Refinancings thereof;</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Subordinated Indebtedness and Permitted Refinancings thereof;</w:t>
      </w:r>
    </w:p>
    <w:p>
      <w:pPr>
        <w:spacing w:after="0" w:line="179" w:lineRule="exact"/>
        <w:rPr>
          <w:rFonts w:ascii="Times New Roman" w:cs="Times New Roman" w:eastAsia="Times New Roman" w:hAnsi="Times New Roman"/>
          <w:sz w:val="22"/>
          <w:szCs w:val="22"/>
          <w:color w:val="auto"/>
        </w:rPr>
      </w:pPr>
    </w:p>
    <w:p>
      <w:pPr>
        <w:ind w:right="740" w:firstLine="656"/>
        <w:spacing w:after="0" w:line="244"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deferred revenue incurred in the ordinary course of business in connection with SneakPeek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biopharma contracts, or Precise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MRD (or any other related or similar contracts or products);</w:t>
      </w:r>
    </w:p>
    <w:p>
      <w:pPr>
        <w:spacing w:after="0" w:line="63" w:lineRule="exact"/>
        <w:rPr>
          <w:rFonts w:ascii="Times New Roman" w:cs="Times New Roman" w:eastAsia="Times New Roman" w:hAnsi="Times New Roman"/>
          <w:sz w:val="22"/>
          <w:szCs w:val="22"/>
          <w:color w:val="auto"/>
        </w:rPr>
      </w:pPr>
    </w:p>
    <w:p>
      <w:pPr>
        <w:ind w:right="100" w:firstLine="656"/>
        <w:spacing w:after="0" w:line="220"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Hedging Obligations (including the Permitted Call Spread Swap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obligations are (or were) entered into by a Loan Party or a Subsidiary for the purpose of directly mitigating risks associated with liabilities, commitments, investments, assets, or property held or reasonably anticipated by such Person and not for purposes of speculation;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Guarantor or the Borrower owing to the Borrower or any Guarantor;</w:t>
      </w:r>
    </w:p>
    <w:p>
      <w:pPr>
        <w:spacing w:after="0" w:line="179" w:lineRule="exact"/>
        <w:rPr>
          <w:rFonts w:ascii="Times New Roman" w:cs="Times New Roman" w:eastAsia="Times New Roman" w:hAnsi="Times New Roman"/>
          <w:sz w:val="22"/>
          <w:szCs w:val="22"/>
          <w:color w:val="auto"/>
        </w:rPr>
      </w:pPr>
    </w:p>
    <w:p>
      <w:pPr>
        <w:ind w:right="360" w:firstLine="656"/>
        <w:spacing w:after="0" w:line="236" w:lineRule="auto"/>
        <w:tabs>
          <w:tab w:leader="none" w:pos="12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of the Borrower and the Subsidiaries in an aggregate amount at any time outstanding not to exceed $2,000,000;</w:t>
      </w:r>
    </w:p>
    <w:p>
      <w:pPr>
        <w:spacing w:after="0" w:line="150" w:lineRule="exact"/>
        <w:rPr>
          <w:rFonts w:ascii="Times New Roman" w:cs="Times New Roman" w:eastAsia="Times New Roman" w:hAnsi="Times New Roman"/>
          <w:sz w:val="22"/>
          <w:szCs w:val="22"/>
          <w:color w:val="auto"/>
        </w:rPr>
      </w:pPr>
    </w:p>
    <w:p>
      <w:pPr>
        <w:ind w:right="40" w:firstLine="656"/>
        <w:spacing w:after="0" w:line="213"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(i) the Borrower or any Guarantor owing to an Excluded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of such Indebtedness shall be subordinated to the Obligations pursuant to an intercompany debt subordination agreement in a form approved by the Administrative Agent and the Required Lenders in their reasonable discretion, (ii) any Excluded Subsidiaries owing to the Borrower or any Guarantor in an aggregate principal amount at any time outstanding not to exceed, when combined with outstanding Investments by the Borrower or any Guarantor in or to any Excluded Subsidiary pursuant to </w:t>
      </w:r>
      <w:r>
        <w:rPr>
          <w:rFonts w:ascii="Times New Roman" w:cs="Times New Roman" w:eastAsia="Times New Roman" w:hAnsi="Times New Roman"/>
          <w:sz w:val="22"/>
          <w:szCs w:val="22"/>
          <w:u w:val="single" w:color="auto"/>
          <w:color w:val="auto"/>
        </w:rPr>
        <w:t>Section 8.5(h)</w:t>
      </w:r>
      <w:r>
        <w:rPr>
          <w:rFonts w:ascii="Times New Roman" w:cs="Times New Roman" w:eastAsia="Times New Roman" w:hAnsi="Times New Roman"/>
          <w:sz w:val="22"/>
          <w:szCs w:val="22"/>
          <w:color w:val="auto"/>
        </w:rPr>
        <w:t xml:space="preserve"> and the fair market value of any Dispositions by the Borrower or any Guarantor pursuant to </w:t>
      </w:r>
      <w:r>
        <w:rPr>
          <w:rFonts w:ascii="Times New Roman" w:cs="Times New Roman" w:eastAsia="Times New Roman" w:hAnsi="Times New Roman"/>
          <w:sz w:val="22"/>
          <w:szCs w:val="22"/>
          <w:u w:val="single" w:color="auto"/>
          <w:color w:val="auto"/>
        </w:rPr>
        <w:t>Section 8.8(d)(ii)</w:t>
      </w:r>
      <w:r>
        <w:rPr>
          <w:rFonts w:ascii="Times New Roman" w:cs="Times New Roman" w:eastAsia="Times New Roman" w:hAnsi="Times New Roman"/>
          <w:sz w:val="22"/>
          <w:szCs w:val="22"/>
          <w:color w:val="auto"/>
        </w:rPr>
        <w:t>, $2,000,000, and (iii) any Excluded Subsidiaries owing to any other Excluded Subsidiary;</w:t>
      </w:r>
    </w:p>
    <w:p>
      <w:pPr>
        <w:spacing w:after="0" w:line="156" w:lineRule="exact"/>
        <w:rPr>
          <w:rFonts w:ascii="Times New Roman" w:cs="Times New Roman" w:eastAsia="Times New Roman" w:hAnsi="Times New Roman"/>
          <w:sz w:val="22"/>
          <w:szCs w:val="22"/>
          <w:color w:val="auto"/>
        </w:rPr>
      </w:pPr>
    </w:p>
    <w:p>
      <w:pPr>
        <w:ind w:firstLine="656"/>
        <w:spacing w:after="0" w:line="220" w:lineRule="auto"/>
        <w:tabs>
          <w:tab w:leader="none" w:pos="12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any Person providing property, casualty, liability, or other insurance to the Loan Parties, including to finance insurance premiums, so long as the amount of such Indebtedness is not in excess of the amount of the unpaid cost of, and shall be incurred only to defer the cost of, such insurance for the policy year in which such Indebtedness is incurred and such Indebtedness is outstanding only during such policy year;</w:t>
      </w:r>
    </w:p>
    <w:p>
      <w:pPr>
        <w:spacing w:after="0" w:line="152" w:lineRule="exact"/>
        <w:rPr>
          <w:rFonts w:ascii="Times New Roman" w:cs="Times New Roman" w:eastAsia="Times New Roman" w:hAnsi="Times New Roman"/>
          <w:sz w:val="22"/>
          <w:szCs w:val="22"/>
          <w:color w:val="auto"/>
        </w:rPr>
      </w:pPr>
    </w:p>
    <w:p>
      <w:pPr>
        <w:ind w:firstLine="656"/>
        <w:spacing w:after="0" w:line="213" w:lineRule="auto"/>
        <w:tabs>
          <w:tab w:leader="none" w:pos="12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the ordinary course of business in connection with credit cards (including commercial cards (including so-called “purchase cards”, “procurement cards” or “p-cards”)), credit card processing services, debit cards, stored value cards, and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customary cash management arrangements incurred in the ordinary course of business in an aggregate amount not to exceed $15,000,000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00"/>
          </w:cols>
          <w:pgMar w:left="320" w:top="1382" w:right="379" w:bottom="1440" w:gutter="0" w:footer="0" w:header="0"/>
        </w:sectPr>
      </w:pPr>
    </w:p>
    <w:bookmarkStart w:id="77" w:name="page78"/>
    <w:bookmarkEnd w:id="77"/>
    <w:p>
      <w:pPr>
        <w:jc w:val="both"/>
        <w:ind w:firstLine="656"/>
        <w:spacing w:after="0" w:line="225" w:lineRule="auto"/>
        <w:tabs>
          <w:tab w:leader="none" w:pos="129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respect of letters of credit, bank guarantees, and similar obligations incurred in the ordinary course of business in an aggregate amount not to exceed $5,000,000 issued at any time and any Permitted Refinancing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Indebtedness under this clause (n) may be cash collateralized;</w:t>
      </w:r>
    </w:p>
    <w:p>
      <w:pPr>
        <w:spacing w:after="0" w:line="152" w:lineRule="exact"/>
        <w:rPr>
          <w:rFonts w:ascii="Times New Roman" w:cs="Times New Roman" w:eastAsia="Times New Roman" w:hAnsi="Times New Roman"/>
          <w:sz w:val="22"/>
          <w:szCs w:val="22"/>
          <w:color w:val="auto"/>
        </w:rPr>
      </w:pPr>
    </w:p>
    <w:p>
      <w:pPr>
        <w:ind w:right="180" w:firstLine="656"/>
        <w:spacing w:after="0" w:line="236" w:lineRule="auto"/>
        <w:tabs>
          <w:tab w:leader="none" w:pos="129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with respect to warehouse receipts, surety and appeal bonds, performance bonds, customs bonds or similar instruments issued to support performance obligations incurred in the ordinary course of business;</w:t>
      </w:r>
    </w:p>
    <w:p>
      <w:pPr>
        <w:spacing w:after="0" w:line="150" w:lineRule="exact"/>
        <w:rPr>
          <w:rFonts w:ascii="Times New Roman" w:cs="Times New Roman" w:eastAsia="Times New Roman" w:hAnsi="Times New Roman"/>
          <w:sz w:val="22"/>
          <w:szCs w:val="22"/>
          <w:color w:val="auto"/>
        </w:rPr>
      </w:pPr>
    </w:p>
    <w:p>
      <w:pPr>
        <w:ind w:right="220" w:firstLine="656"/>
        <w:spacing w:after="0" w:line="236" w:lineRule="auto"/>
        <w:tabs>
          <w:tab w:leader="none" w:pos="129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overdraft protections and other like services, in each case incurred in the ordinary course of business;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right="380" w:firstLine="656"/>
        <w:spacing w:after="0" w:line="225" w:lineRule="auto"/>
        <w:tabs>
          <w:tab w:leader="none" w:pos="129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Indebtedness in respect of any judgment or order for the payment of money rendered against the Borrower or its Subsidiaries, individually or in the aggregate, in an amount that would not result in an Event of Default under </w:t>
      </w:r>
      <w:r>
        <w:rPr>
          <w:rFonts w:ascii="Times New Roman" w:cs="Times New Roman" w:eastAsia="Times New Roman" w:hAnsi="Times New Roman"/>
          <w:sz w:val="22"/>
          <w:szCs w:val="22"/>
          <w:u w:val="single" w:color="auto"/>
          <w:color w:val="auto"/>
        </w:rPr>
        <w:t>Section 9.1(f)</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Revolving Credit Facility Indebtedness;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Convertible Indebtedness; and</w:t>
      </w:r>
    </w:p>
    <w:p>
      <w:pPr>
        <w:spacing w:after="0" w:line="179" w:lineRule="exact"/>
        <w:rPr>
          <w:rFonts w:ascii="Times New Roman" w:cs="Times New Roman" w:eastAsia="Times New Roman" w:hAnsi="Times New Roman"/>
          <w:sz w:val="22"/>
          <w:szCs w:val="22"/>
          <w:color w:val="auto"/>
        </w:rPr>
      </w:pPr>
    </w:p>
    <w:p>
      <w:pPr>
        <w:ind w:right="480" w:firstLine="656"/>
        <w:spacing w:after="0" w:line="225" w:lineRule="auto"/>
        <w:tabs>
          <w:tab w:leader="none" w:pos="129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agreements of the Borrower or any Subsidiary providing for indemnification, adjustment of purchase or acquisition price or similar obligations (including earn-outs), in each case, incurred or assumed in connection with any Permitted Acquisition.</w:t>
      </w:r>
    </w:p>
    <w:p>
      <w:pPr>
        <w:spacing w:after="0" w:line="179" w:lineRule="exact"/>
        <w:rPr>
          <w:rFonts w:ascii="Times New Roman" w:cs="Times New Roman" w:eastAsia="Times New Roman" w:hAnsi="Times New Roman"/>
          <w:sz w:val="22"/>
          <w:szCs w:val="22"/>
          <w:color w:val="auto"/>
        </w:rPr>
      </w:pPr>
    </w:p>
    <w:p>
      <w:pPr>
        <w:jc w:val="both"/>
        <w:ind w:right="500" w:firstLine="656"/>
        <w:spacing w:after="0" w:line="256" w:lineRule="auto"/>
        <w:tabs>
          <w:tab w:leader="none" w:pos="128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Indebtedness otherwise permitted by clauses (b), (c), (e), (f), (j), (k), (t), (u) and (v) shall be assumed, created or otherwise incurred if a Default has occurred and is then continuing or would result therefrom;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all such Indebtedness assumed, created or otherwise incurred prior to such Default and not in violation of this Agreement shall be permitted.</w:t>
      </w:r>
    </w:p>
    <w:p>
      <w:pPr>
        <w:spacing w:after="0" w:line="149" w:lineRule="exact"/>
        <w:rPr>
          <w:sz w:val="20"/>
          <w:szCs w:val="20"/>
          <w:color w:val="auto"/>
        </w:rPr>
      </w:pPr>
    </w:p>
    <w:p>
      <w:pPr>
        <w:ind w:right="1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None of the Borrower or any of the Subsidiaries will create, incur, assume or permit to exist any Lien upon any of its property (including Capital Securities of any Person), revenues or assets, whether now owned or hereafter acquired, except:</w:t>
      </w:r>
    </w:p>
    <w:p>
      <w:pPr>
        <w:spacing w:after="0" w:line="152" w:lineRule="exact"/>
        <w:rPr>
          <w:sz w:val="20"/>
          <w:szCs w:val="20"/>
          <w:color w:val="auto"/>
        </w:rPr>
      </w:pPr>
    </w:p>
    <w:p>
      <w:pPr>
        <w:ind w:left="1300" w:hanging="644"/>
        <w:spacing w:after="0"/>
        <w:tabs>
          <w:tab w:leader="none" w:pos="13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payment of the Obligations;</w:t>
      </w:r>
    </w:p>
    <w:p>
      <w:pPr>
        <w:spacing w:after="0" w:line="179" w:lineRule="exact"/>
        <w:rPr>
          <w:rFonts w:ascii="Times New Roman" w:cs="Times New Roman" w:eastAsia="Times New Roman" w:hAnsi="Times New Roman"/>
          <w:sz w:val="22"/>
          <w:szCs w:val="22"/>
          <w:color w:val="auto"/>
        </w:rPr>
      </w:pPr>
    </w:p>
    <w:p>
      <w:pPr>
        <w:ind w:right="140" w:firstLine="656"/>
        <w:spacing w:after="0" w:line="222" w:lineRule="auto"/>
        <w:tabs>
          <w:tab w:leader="none" w:pos="129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Lien existing on any property or asset prior to the acquisition thereof by a Loan Party or existing on any property or asset of any Person that becomes a Subsidiary after the Closing Date prior to the time such Person becomes a Subsidiary, in each case, in connection with a Permitted Acquisition or other Investment permitted by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 w:lineRule="exact"/>
        <w:rPr>
          <w:rFonts w:ascii="Times New Roman" w:cs="Times New Roman" w:eastAsia="Times New Roman" w:hAnsi="Times New Roman"/>
          <w:sz w:val="21"/>
          <w:szCs w:val="21"/>
          <w:color w:val="auto"/>
        </w:rPr>
      </w:pPr>
    </w:p>
    <w:p>
      <w:pPr>
        <w:ind w:right="60" w:firstLine="8"/>
        <w:spacing w:after="0" w:line="214" w:lineRule="auto"/>
        <w:tabs>
          <w:tab w:leader="none" w:pos="30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 is not created in contemplation of or in connection with such acquisition or such Person becoming a Subsidiary, as the case may be, (2) such Lien shall not apply to any other property or assets of the Loan Parties (other than the proceeds and products thereof, accessions thereto and improvements thereon), and (3) such Liens existing pursuant to this clause (b) shall only secure Indebtedness in the aggregate not to exceed $10,000,000;</w:t>
      </w:r>
    </w:p>
    <w:p>
      <w:pPr>
        <w:spacing w:after="0" w:line="153" w:lineRule="exact"/>
        <w:rPr>
          <w:rFonts w:ascii="Times New Roman" w:cs="Times New Roman" w:eastAsia="Times New Roman" w:hAnsi="Times New Roman"/>
          <w:sz w:val="22"/>
          <w:szCs w:val="22"/>
          <w:color w:val="auto"/>
        </w:rPr>
      </w:pPr>
    </w:p>
    <w:p>
      <w:pPr>
        <w:ind w:right="100" w:firstLine="656"/>
        <w:spacing w:after="0" w:line="236" w:lineRule="auto"/>
        <w:tabs>
          <w:tab w:leader="none" w:pos="129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as of the Closing Date and disclosed in </w:t>
      </w:r>
      <w:r>
        <w:rPr>
          <w:rFonts w:ascii="Times New Roman" w:cs="Times New Roman" w:eastAsia="Times New Roman" w:hAnsi="Times New Roman"/>
          <w:sz w:val="22"/>
          <w:szCs w:val="22"/>
          <w:u w:val="single" w:color="auto"/>
          <w:color w:val="auto"/>
        </w:rPr>
        <w:t>Schedule 8.3(c)</w:t>
      </w:r>
      <w:r>
        <w:rPr>
          <w:rFonts w:ascii="Times New Roman" w:cs="Times New Roman" w:eastAsia="Times New Roman" w:hAnsi="Times New Roman"/>
          <w:sz w:val="22"/>
          <w:szCs w:val="22"/>
          <w:color w:val="auto"/>
        </w:rPr>
        <w:t xml:space="preserve"> securing Indebtedness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8.2(c)</w:t>
      </w:r>
      <w:r>
        <w:rPr>
          <w:rFonts w:ascii="Times New Roman" w:cs="Times New Roman" w:eastAsia="Times New Roman" w:hAnsi="Times New Roman"/>
          <w:sz w:val="22"/>
          <w:szCs w:val="22"/>
          <w:color w:val="auto"/>
        </w:rPr>
        <w:t xml:space="preserve">, and Permitted Refinancings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395" w:right="359" w:bottom="1440" w:gutter="0" w:footer="0" w:header="0"/>
        </w:sectPr>
      </w:pPr>
    </w:p>
    <w:bookmarkStart w:id="78" w:name="page79"/>
    <w:bookmarkEnd w:id="78"/>
    <w:p>
      <w:pPr>
        <w:spacing w:after="0" w:line="236" w:lineRule="auto"/>
        <w:rPr>
          <w:sz w:val="20"/>
          <w:szCs w:val="20"/>
          <w:color w:val="auto"/>
        </w:rPr>
      </w:pPr>
      <w:r>
        <w:rPr>
          <w:rFonts w:ascii="Times New Roman" w:cs="Times New Roman" w:eastAsia="Times New Roman" w:hAnsi="Times New Roman"/>
          <w:sz w:val="22"/>
          <w:szCs w:val="22"/>
          <w:color w:val="auto"/>
        </w:rPr>
        <w:t>such Lien shall encumber any additional property and the amount of Indebtedness secured by such Lien is not increased from that existing on the Closing Date or any Permitted Refinancings thereof;</w:t>
      </w:r>
    </w:p>
    <w:p>
      <w:pPr>
        <w:spacing w:after="0" w:line="150" w:lineRule="exact"/>
        <w:rPr>
          <w:sz w:val="20"/>
          <w:szCs w:val="20"/>
          <w:color w:val="auto"/>
        </w:rPr>
      </w:pPr>
    </w:p>
    <w:p>
      <w:pPr>
        <w:ind w:firstLine="656"/>
        <w:spacing w:after="0" w:line="225"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payment of Permitted Subordinated Indebtedness that are (i) subordinate to the Liens securing payment of the Obligations and all other Indebtedness owing from the Borrower or the Subsidiaries to the Secured Parties and (ii) subject to a written subordination agreement satisfactory to the Administrative Agent in its sole discretion;</w:t>
      </w:r>
    </w:p>
    <w:p>
      <w:pPr>
        <w:spacing w:after="0" w:line="152" w:lineRule="exact"/>
        <w:rPr>
          <w:rFonts w:ascii="Times New Roman" w:cs="Times New Roman" w:eastAsia="Times New Roman" w:hAnsi="Times New Roman"/>
          <w:sz w:val="22"/>
          <w:szCs w:val="22"/>
          <w:color w:val="auto"/>
        </w:rPr>
      </w:pPr>
    </w:p>
    <w:p>
      <w:pPr>
        <w:ind w:right="160" w:firstLine="656"/>
        <w:spacing w:after="0" w:line="220"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of the Borrower or the Subsidiaries permitted pursuant to </w:t>
      </w:r>
      <w:r>
        <w:rPr>
          <w:rFonts w:ascii="Times New Roman" w:cs="Times New Roman" w:eastAsia="Times New Roman" w:hAnsi="Times New Roman"/>
          <w:sz w:val="22"/>
          <w:szCs w:val="22"/>
          <w:u w:val="single" w:color="auto"/>
          <w:color w:val="auto"/>
        </w:rPr>
        <w:t>Section 8.2(e)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shall be created substantially simultaneously with, or within 180 days of, the acquisition, repair, replacement, construction or improvement of the assets financed with such Indebtedness and (ii) such Liens do not at any time encumber any property other than the property so financed);</w:t>
      </w:r>
    </w:p>
    <w:p>
      <w:pPr>
        <w:spacing w:after="0" w:line="152" w:lineRule="exact"/>
        <w:rPr>
          <w:rFonts w:ascii="Times New Roman" w:cs="Times New Roman" w:eastAsia="Times New Roman" w:hAnsi="Times New Roman"/>
          <w:sz w:val="22"/>
          <w:szCs w:val="22"/>
          <w:color w:val="auto"/>
        </w:rPr>
      </w:pPr>
    </w:p>
    <w:p>
      <w:pPr>
        <w:ind w:right="140" w:firstLine="656"/>
        <w:spacing w:after="0" w:line="225"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landlords’ and like Liens arising in the ordinary course of business for amounts not overdue for more than 60 days or being diligently contested in good faith by appropriate proceedings and for which adequate reserves in accordance with GAAP shall have been set aside on its books;</w:t>
      </w:r>
    </w:p>
    <w:p>
      <w:pPr>
        <w:spacing w:after="0" w:line="152" w:lineRule="exact"/>
        <w:rPr>
          <w:rFonts w:ascii="Times New Roman" w:cs="Times New Roman" w:eastAsia="Times New Roman" w:hAnsi="Times New Roman"/>
          <w:sz w:val="22"/>
          <w:szCs w:val="22"/>
          <w:color w:val="auto"/>
        </w:rPr>
      </w:pPr>
    </w:p>
    <w:p>
      <w:pPr>
        <w:ind w:right="100" w:firstLine="656"/>
        <w:spacing w:after="0" w:line="215"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(x) incurred or deposits made in the ordinary course of business in connection with worker’s compensation, unemployment insurance or other forms of governmental insurance or benefits, or to secure performance of tenders, statutory obligations, bids, leases or other similar obligations (other than for borrowed money) entered into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existing pursuant to this clause (x) shall only secure Indebtedness in the aggregate not to exceed $2,000,000, or (y) to secure obligations on surety and appeal bonds or performance bonds entered into in the ordinary course of business;</w:t>
      </w:r>
    </w:p>
    <w:p>
      <w:pPr>
        <w:spacing w:after="0" w:line="152" w:lineRule="exact"/>
        <w:rPr>
          <w:rFonts w:ascii="Times New Roman" w:cs="Times New Roman" w:eastAsia="Times New Roman" w:hAnsi="Times New Roman"/>
          <w:sz w:val="22"/>
          <w:szCs w:val="22"/>
          <w:color w:val="auto"/>
        </w:rPr>
      </w:pPr>
    </w:p>
    <w:p>
      <w:pPr>
        <w:ind w:right="360" w:firstLine="656"/>
        <w:spacing w:after="0" w:line="225"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Liens in existence for less than 45 days after the entry thereof or with respect to which execution has been stayed or the payment of which is covered in full (subject to a customary deductible) by insurance maintained with responsible insurance companies and which do not otherwise result in an Event of Default under </w:t>
      </w:r>
      <w:r>
        <w:rPr>
          <w:rFonts w:ascii="Times New Roman" w:cs="Times New Roman" w:eastAsia="Times New Roman" w:hAnsi="Times New Roman"/>
          <w:sz w:val="22"/>
          <w:szCs w:val="22"/>
          <w:u w:val="single" w:color="auto"/>
          <w:color w:val="auto"/>
        </w:rPr>
        <w:t>Section 9.1(f)</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right="740" w:firstLine="656"/>
        <w:spacing w:after="0" w:line="255" w:lineRule="auto"/>
        <w:tabs>
          <w:tab w:leader="none" w:pos="128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rights-of-way, zoning restrictions, minor defects or irregularities in title and other similar encumbrances not interfering in any material respect with the value or use of the property to which such Lien is attached;</w:t>
      </w:r>
    </w:p>
    <w:p>
      <w:pPr>
        <w:spacing w:after="0" w:line="134" w:lineRule="exact"/>
        <w:rPr>
          <w:rFonts w:ascii="Times New Roman" w:cs="Times New Roman" w:eastAsia="Times New Roman" w:hAnsi="Times New Roman"/>
          <w:sz w:val="21"/>
          <w:szCs w:val="21"/>
          <w:color w:val="auto"/>
        </w:rPr>
      </w:pPr>
    </w:p>
    <w:p>
      <w:pPr>
        <w:ind w:right="60" w:firstLine="656"/>
        <w:spacing w:after="0" w:line="225" w:lineRule="auto"/>
        <w:tabs>
          <w:tab w:leader="none" w:pos="128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at the time delinquent or thereafter payable without penalty or being diligently contested in good faith by appropriate proceedings and for which adequate reserves in accordance with GAAP shall have been set aside on its books;</w:t>
      </w:r>
    </w:p>
    <w:p>
      <w:pPr>
        <w:spacing w:after="0" w:line="152" w:lineRule="exact"/>
        <w:rPr>
          <w:rFonts w:ascii="Times New Roman" w:cs="Times New Roman" w:eastAsia="Times New Roman" w:hAnsi="Times New Roman"/>
          <w:sz w:val="22"/>
          <w:szCs w:val="22"/>
          <w:color w:val="auto"/>
        </w:rPr>
      </w:pPr>
    </w:p>
    <w:p>
      <w:pPr>
        <w:ind w:right="280" w:firstLine="656"/>
        <w:spacing w:after="0" w:line="225"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and/or sublicenses of Intellectual Property otherwise permitted under this Agreement or the other Loan Documents, and restrictions under licenses of Intellectual Property entered into in the ordinary course of business pursuant to which the Borrower or any Subsidiary is a licensee;</w:t>
      </w:r>
    </w:p>
    <w:p>
      <w:pPr>
        <w:spacing w:after="0" w:line="152" w:lineRule="exact"/>
        <w:rPr>
          <w:rFonts w:ascii="Times New Roman" w:cs="Times New Roman" w:eastAsia="Times New Roman" w:hAnsi="Times New Roman"/>
          <w:sz w:val="22"/>
          <w:szCs w:val="22"/>
          <w:color w:val="auto"/>
        </w:rPr>
      </w:pPr>
    </w:p>
    <w:p>
      <w:pPr>
        <w:ind w:right="60" w:firstLine="656"/>
        <w:spacing w:after="0" w:line="220" w:lineRule="auto"/>
        <w:tabs>
          <w:tab w:leader="none" w:pos="128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banker’s liens, rights of setoff and similar non-consensual Liens in favor of financial institutions incurred in the ordinary course of business arising in connection with the Borrower’s or any Subsidiary’s deposit accounts or securities accounts held at such institutions to secure solely payment of fees and similar costs and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accounts are maintained in compliance with </w:t>
      </w:r>
      <w:r>
        <w:rPr>
          <w:rFonts w:ascii="Times New Roman" w:cs="Times New Roman" w:eastAsia="Times New Roman" w:hAnsi="Times New Roman"/>
          <w:sz w:val="22"/>
          <w:szCs w:val="22"/>
          <w:u w:val="single" w:color="auto"/>
          <w:color w:val="auto"/>
        </w:rPr>
        <w:t>Section 7.13(a)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1395" w:right="359" w:bottom="1440" w:gutter="0" w:footer="0" w:header="0"/>
        </w:sectPr>
      </w:pPr>
    </w:p>
    <w:bookmarkStart w:id="79" w:name="page80"/>
    <w:bookmarkEnd w:id="79"/>
    <w:p>
      <w:pPr>
        <w:ind w:right="180" w:firstLine="656"/>
        <w:spacing w:after="0" w:line="236" w:lineRule="auto"/>
        <w:tabs>
          <w:tab w:leader="none" w:pos="128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in the ordinary course of business;</w:t>
      </w:r>
    </w:p>
    <w:p>
      <w:pPr>
        <w:spacing w:after="0" w:line="150" w:lineRule="exact"/>
        <w:rPr>
          <w:rFonts w:ascii="Times New Roman" w:cs="Times New Roman" w:eastAsia="Times New Roman" w:hAnsi="Times New Roman"/>
          <w:sz w:val="22"/>
          <w:szCs w:val="22"/>
          <w:color w:val="auto"/>
        </w:rPr>
      </w:pPr>
    </w:p>
    <w:p>
      <w:pPr>
        <w:ind w:right="540" w:firstLine="656"/>
        <w:spacing w:after="0" w:line="236"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granted in the ordinary course of business on the unearned portion of insurance premiums securing the financing of insurance premiums to the extent the financing is permitted by </w:t>
      </w:r>
      <w:r>
        <w:rPr>
          <w:rFonts w:ascii="Times New Roman" w:cs="Times New Roman" w:eastAsia="Times New Roman" w:hAnsi="Times New Roman"/>
          <w:sz w:val="22"/>
          <w:szCs w:val="22"/>
          <w:u w:val="single" w:color="auto"/>
          <w:color w:val="auto"/>
        </w:rPr>
        <w:t>Section 8.2(l)</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cash and Cash Equivalent Investments securing Indebtedness to the extent permitted by </w:t>
      </w:r>
      <w:r>
        <w:rPr>
          <w:rFonts w:ascii="Times New Roman" w:cs="Times New Roman" w:eastAsia="Times New Roman" w:hAnsi="Times New Roman"/>
          <w:sz w:val="21"/>
          <w:szCs w:val="21"/>
          <w:u w:val="single" w:color="auto"/>
          <w:color w:val="auto"/>
        </w:rPr>
        <w:t>Section 8.2(m)</w:t>
      </w:r>
      <w:r>
        <w:rPr>
          <w:rFonts w:ascii="Times New Roman" w:cs="Times New Roman" w:eastAsia="Times New Roman" w:hAnsi="Times New Roman"/>
          <w:sz w:val="21"/>
          <w:szCs w:val="21"/>
          <w:color w:val="auto"/>
        </w:rPr>
        <w:t>;</w:t>
      </w:r>
    </w:p>
    <w:p>
      <w:pPr>
        <w:spacing w:after="0" w:line="190" w:lineRule="exact"/>
        <w:rPr>
          <w:rFonts w:ascii="Times New Roman" w:cs="Times New Roman" w:eastAsia="Times New Roman" w:hAnsi="Times New Roman"/>
          <w:sz w:val="21"/>
          <w:szCs w:val="21"/>
          <w:color w:val="auto"/>
        </w:rPr>
      </w:pPr>
    </w:p>
    <w:p>
      <w:pPr>
        <w:ind w:right="240" w:firstLine="656"/>
        <w:spacing w:after="0" w:line="225"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and Cash Equivalent Investments securing Indebtedness to the extent permitted by </w:t>
      </w:r>
      <w:r>
        <w:rPr>
          <w:rFonts w:ascii="Times New Roman" w:cs="Times New Roman" w:eastAsia="Times New Roman" w:hAnsi="Times New Roman"/>
          <w:sz w:val="22"/>
          <w:szCs w:val="22"/>
          <w:u w:val="single" w:color="auto"/>
          <w:color w:val="auto"/>
        </w:rPr>
        <w:t>Section 8.2(n)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Liens encumber only cash or Cash Equivalents in an aggregate amount not to exceed 105% of such obligations;</w:t>
      </w:r>
    </w:p>
    <w:p>
      <w:pPr>
        <w:spacing w:after="0" w:line="152" w:lineRule="exact"/>
        <w:rPr>
          <w:rFonts w:ascii="Times New Roman" w:cs="Times New Roman" w:eastAsia="Times New Roman" w:hAnsi="Times New Roman"/>
          <w:sz w:val="22"/>
          <w:szCs w:val="22"/>
          <w:color w:val="auto"/>
        </w:rPr>
      </w:pPr>
    </w:p>
    <w:p>
      <w:pPr>
        <w:ind w:right="200" w:firstLine="656"/>
        <w:spacing w:after="0" w:line="236"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and Cash Equivalent Investments securing Hedging Obligations permitted by </w:t>
      </w:r>
      <w:r>
        <w:rPr>
          <w:rFonts w:ascii="Times New Roman" w:cs="Times New Roman" w:eastAsia="Times New Roman" w:hAnsi="Times New Roman"/>
          <w:sz w:val="22"/>
          <w:szCs w:val="22"/>
          <w:u w:val="single" w:color="auto"/>
          <w:color w:val="auto"/>
        </w:rPr>
        <w:t>Section 8.2(h)</w:t>
      </w:r>
      <w:r>
        <w:rPr>
          <w:rFonts w:ascii="Times New Roman" w:cs="Times New Roman" w:eastAsia="Times New Roman" w:hAnsi="Times New Roman"/>
          <w:sz w:val="22"/>
          <w:szCs w:val="22"/>
          <w:color w:val="auto"/>
        </w:rPr>
        <w:t>, in an aggregate amount not to exceed $2,000,000 at any time;</w:t>
      </w:r>
    </w:p>
    <w:p>
      <w:pPr>
        <w:spacing w:after="0" w:line="150" w:lineRule="exact"/>
        <w:rPr>
          <w:rFonts w:ascii="Times New Roman" w:cs="Times New Roman" w:eastAsia="Times New Roman" w:hAnsi="Times New Roman"/>
          <w:sz w:val="22"/>
          <w:szCs w:val="22"/>
          <w:color w:val="auto"/>
        </w:rPr>
      </w:pPr>
    </w:p>
    <w:p>
      <w:pPr>
        <w:ind w:right="540" w:firstLine="656"/>
        <w:spacing w:after="0" w:line="236"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licensor, sublessor or sublicensor in any lease or license not prohibited by this Agreement and entered into in the ordinary course of business;</w:t>
      </w:r>
    </w:p>
    <w:p>
      <w:pPr>
        <w:spacing w:after="0" w:line="150" w:lineRule="exact"/>
        <w:rPr>
          <w:rFonts w:ascii="Times New Roman" w:cs="Times New Roman" w:eastAsia="Times New Roman" w:hAnsi="Times New Roman"/>
          <w:sz w:val="22"/>
          <w:szCs w:val="22"/>
          <w:color w:val="auto"/>
        </w:rPr>
      </w:pPr>
    </w:p>
    <w:p>
      <w:pPr>
        <w:ind w:right="320" w:firstLine="656"/>
        <w:spacing w:after="0" w:line="220" w:lineRule="auto"/>
        <w:tabs>
          <w:tab w:leader="none" w:pos="129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accounts receivable and related assets securing Permitted Revolving Credit Facility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lender under the facility governing such Permitted Revolving Credit Facility Indebtedness shall have entered into a customary intercreditor agreement with the Administrative Agent in form and substance reasonably satisfactory to the Administrative Agent in its sole discretion;</w:t>
      </w:r>
    </w:p>
    <w:p>
      <w:pPr>
        <w:spacing w:after="0" w:line="152" w:lineRule="exact"/>
        <w:rPr>
          <w:rFonts w:ascii="Times New Roman" w:cs="Times New Roman" w:eastAsia="Times New Roman" w:hAnsi="Times New Roman"/>
          <w:sz w:val="22"/>
          <w:szCs w:val="22"/>
          <w:color w:val="auto"/>
        </w:rPr>
      </w:pPr>
    </w:p>
    <w:p>
      <w:pPr>
        <w:ind w:right="280" w:firstLine="656"/>
        <w:spacing w:after="0" w:line="236" w:lineRule="auto"/>
        <w:tabs>
          <w:tab w:leader="none" w:pos="128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 collecting bank arising in the ordinary course of business under Section 4 210 of the UCC in effect in the relevant jurisdiction covering only the items being collected upon;</w:t>
      </w:r>
    </w:p>
    <w:p>
      <w:pPr>
        <w:spacing w:after="0" w:line="150" w:lineRule="exact"/>
        <w:rPr>
          <w:rFonts w:ascii="Times New Roman" w:cs="Times New Roman" w:eastAsia="Times New Roman" w:hAnsi="Times New Roman"/>
          <w:sz w:val="22"/>
          <w:szCs w:val="22"/>
          <w:color w:val="auto"/>
        </w:rPr>
      </w:pPr>
    </w:p>
    <w:p>
      <w:pPr>
        <w:ind w:right="20" w:firstLine="656"/>
        <w:spacing w:after="0" w:line="225"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with an aggregate fair market value of not more than $2,000,000 arising out of consignment, conditional sale, title retention or similar arrangements for the sale of goods entered into by the Borrower or any Subsidiary in the ordinary course of business; and</w:t>
      </w:r>
    </w:p>
    <w:p>
      <w:pPr>
        <w:spacing w:after="0" w:line="152" w:lineRule="exact"/>
        <w:rPr>
          <w:rFonts w:ascii="Times New Roman" w:cs="Times New Roman" w:eastAsia="Times New Roman" w:hAnsi="Times New Roman"/>
          <w:sz w:val="22"/>
          <w:szCs w:val="22"/>
          <w:color w:val="auto"/>
        </w:rPr>
      </w:pPr>
    </w:p>
    <w:p>
      <w:pPr>
        <w:ind w:right="220" w:firstLine="656"/>
        <w:spacing w:after="0" w:line="236"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that secure obligations permitted under this Agreement not exceeding $2,000,000 in the aggregate at any one time outstanding.</w:t>
      </w:r>
    </w:p>
    <w:p>
      <w:pPr>
        <w:spacing w:after="0" w:line="17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Each Secured Party agrees to execute and deliver such collateral subordination agreements and related documents as reasonably requested of it to confirm the priority of the Liens permitted pursuant to </w:t>
      </w:r>
      <w:r>
        <w:rPr>
          <w:rFonts w:ascii="Times New Roman" w:cs="Times New Roman" w:eastAsia="Times New Roman" w:hAnsi="Times New Roman"/>
          <w:sz w:val="22"/>
          <w:szCs w:val="22"/>
          <w:u w:val="single" w:color="auto"/>
          <w:color w:val="auto"/>
        </w:rPr>
        <w:t>Section 8.3(e)</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ind w:right="2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Minimum Revenue Covenant</w:t>
      </w:r>
      <w:r>
        <w:rPr>
          <w:rFonts w:ascii="Times New Roman" w:cs="Times New Roman" w:eastAsia="Times New Roman" w:hAnsi="Times New Roman"/>
          <w:sz w:val="22"/>
          <w:szCs w:val="22"/>
          <w:color w:val="auto"/>
        </w:rPr>
        <w:t>. Commencing with the month ending December 31, 2025, and for each month thereafter, the Revenue Base for the most recently ended period of twelve consecutive months shall not be less than the amount set forth in the second column below for the Fiscal Quarter in which such month occurs:</w:t>
      </w:r>
    </w:p>
    <w:p>
      <w:pPr>
        <w:spacing w:after="0" w:line="200" w:lineRule="exact"/>
        <w:rPr>
          <w:sz w:val="20"/>
          <w:szCs w:val="20"/>
          <w:color w:val="auto"/>
        </w:rPr>
      </w:pPr>
    </w:p>
    <w:tbl>
      <w:tblPr>
        <w:tblLayout w:type="fixed"/>
        <w:tblInd w:w="1850" w:type="dxa"/>
        <w:tblCellMar>
          <w:top w:w="0" w:type="dxa"/>
          <w:left w:w="0" w:type="dxa"/>
          <w:bottom w:w="0" w:type="dxa"/>
          <w:right w:w="0" w:type="dxa"/>
        </w:tblCellMar>
      </w:tblPr>
      <w:tr>
        <w:trPr>
          <w:trHeight w:val="288"/>
        </w:trPr>
        <w:tc>
          <w:tcPr>
            <w:tcW w:w="580" w:type="dxa"/>
            <w:vAlign w:val="bottom"/>
            <w:tcBorders>
              <w:top w:val="single" w:sz="8" w:color="auto"/>
              <w:left w:val="single" w:sz="8" w:color="auto"/>
            </w:tcBorders>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196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Each month in the</w:t>
            </w:r>
          </w:p>
        </w:tc>
        <w:tc>
          <w:tcPr>
            <w:tcW w:w="5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(a)</w:t>
            </w:r>
          </w:p>
        </w:tc>
        <w:tc>
          <w:tcPr>
            <w:tcW w:w="23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Minimum Revenue Base</w:t>
            </w:r>
          </w:p>
        </w:tc>
      </w:tr>
      <w:tr>
        <w:trPr>
          <w:trHeight w:val="245"/>
        </w:trPr>
        <w:tc>
          <w:tcPr>
            <w:tcW w:w="2540" w:type="dxa"/>
            <w:vAlign w:val="bottom"/>
            <w:tcBorders>
              <w:left w:val="single" w:sz="8" w:color="auto"/>
              <w:bottom w:val="single" w:sz="8" w:color="auto"/>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Fiscal Quarter ending</w:t>
            </w: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r>
      <w:tr>
        <w:trPr>
          <w:trHeight w:val="279"/>
        </w:trPr>
        <w:tc>
          <w:tcPr>
            <w:tcW w:w="5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1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Beginning with the</w:t>
            </w:r>
          </w:p>
        </w:tc>
        <w:tc>
          <w:tcPr>
            <w:tcW w:w="5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$615,000,000</w:t>
            </w:r>
          </w:p>
        </w:tc>
      </w:tr>
      <w:tr>
        <w:trPr>
          <w:trHeight w:val="216"/>
        </w:trPr>
        <w:tc>
          <w:tcPr>
            <w:tcW w:w="25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month ending December 31,</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41"/>
        </w:trPr>
        <w:tc>
          <w:tcPr>
            <w:tcW w:w="5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19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395" w:right="339" w:bottom="1440" w:gutter="0" w:footer="0" w:header="0"/>
        </w:sectPr>
      </w:pPr>
    </w:p>
    <w:bookmarkStart w:id="80" w:name="page81"/>
    <w:bookmarkEnd w:id="80"/>
    <w:p>
      <w:pPr>
        <w:spacing w:after="0" w:line="3" w:lineRule="exact"/>
        <w:rPr>
          <w:sz w:val="20"/>
          <w:szCs w:val="20"/>
          <w:color w:val="auto"/>
        </w:rPr>
      </w:pPr>
    </w:p>
    <w:tbl>
      <w:tblPr>
        <w:tblLayout w:type="fixed"/>
        <w:tblInd w:w="1850" w:type="dxa"/>
        <w:tblCellMar>
          <w:top w:w="0" w:type="dxa"/>
          <w:left w:w="0" w:type="dxa"/>
          <w:bottom w:w="0" w:type="dxa"/>
          <w:right w:w="0" w:type="dxa"/>
        </w:tblCellMar>
      </w:tblPr>
      <w:tr>
        <w:trPr>
          <w:trHeight w:val="318"/>
        </w:trPr>
        <w:tc>
          <w:tcPr>
            <w:tcW w:w="48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March 31, 2026</w:t>
            </w:r>
          </w:p>
        </w:tc>
        <w:tc>
          <w:tcPr>
            <w:tcW w:w="10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top w:val="single" w:sz="8" w:color="auto"/>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$632,000,000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June 30, 2026</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$650,000,000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September 30, 2026</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$665,000,000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December 31, 2026</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$685,000,000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March 31, 2027</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$707,000,000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June 30, 2027</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$730,000,000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September 30, 2027</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$753,000,000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December 31, 2027</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$777,000,000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March 31, 2028</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$798,000,000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June 30, 2028</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$820,000,000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September 30, 2028</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$842,000,000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December 31, 2028</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$865,000,000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March 31, 2029</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$891,000,000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June 30, 2029</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$919,000,000</w:t>
            </w:r>
          </w:p>
        </w:tc>
      </w:tr>
      <w:tr>
        <w:trPr>
          <w:trHeight w:val="304"/>
        </w:trPr>
        <w:tc>
          <w:tcPr>
            <w:tcW w:w="4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September 30, 2029</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$946,000,000</w:t>
            </w:r>
          </w:p>
        </w:tc>
      </w:tr>
      <w:tr>
        <w:trPr>
          <w:trHeight w:val="265"/>
        </w:trPr>
        <w:tc>
          <w:tcPr>
            <w:tcW w:w="4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2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December 31, 2029 and</w:t>
            </w:r>
          </w:p>
        </w:tc>
        <w:tc>
          <w:tcPr>
            <w:tcW w:w="10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w:t>
            </w:r>
          </w:p>
        </w:tc>
        <w:tc>
          <w:tcPr>
            <w:tcW w:w="1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$974,000,000</w:t>
            </w:r>
          </w:p>
        </w:tc>
      </w:tr>
      <w:tr>
        <w:trPr>
          <w:trHeight w:val="234"/>
        </w:trPr>
        <w:tc>
          <w:tcPr>
            <w:tcW w:w="25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297"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8.5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None of the Borrower or any of the Subsidiaries will purchase, make, incur, assume or permit to exist any Investment in any other Person, except:</w:t>
      </w:r>
    </w:p>
    <w:p>
      <w:pPr>
        <w:spacing w:after="0" w:line="150"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existing on the Closing Date and identified in </w:t>
      </w:r>
      <w:r>
        <w:rPr>
          <w:rFonts w:ascii="Times New Roman" w:cs="Times New Roman" w:eastAsia="Times New Roman" w:hAnsi="Times New Roman"/>
          <w:sz w:val="22"/>
          <w:szCs w:val="22"/>
          <w:u w:val="single" w:color="auto"/>
          <w:color w:val="auto"/>
        </w:rPr>
        <w:t>Schedule 8.5(a)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Equivalent Investments;</w:t>
      </w:r>
    </w:p>
    <w:p>
      <w:pPr>
        <w:spacing w:after="0" w:line="179" w:lineRule="exact"/>
        <w:rPr>
          <w:rFonts w:ascii="Times New Roman" w:cs="Times New Roman" w:eastAsia="Times New Roman" w:hAnsi="Times New Roman"/>
          <w:sz w:val="22"/>
          <w:szCs w:val="22"/>
          <w:color w:val="auto"/>
        </w:rPr>
      </w:pPr>
    </w:p>
    <w:p>
      <w:pPr>
        <w:ind w:right="60" w:firstLine="656"/>
        <w:spacing w:after="0" w:line="236" w:lineRule="auto"/>
        <w:tabs>
          <w:tab w:leader="none" w:pos="12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connection with the bankruptcy or reorganization of, or settlement of delinquent accounts and disputes with, customers and suppliers, in each case in the ordinary course of business;</w:t>
      </w:r>
    </w:p>
    <w:p>
      <w:pPr>
        <w:spacing w:after="0" w:line="150" w:lineRule="exact"/>
        <w:rPr>
          <w:rFonts w:ascii="Times New Roman" w:cs="Times New Roman" w:eastAsia="Times New Roman" w:hAnsi="Times New Roman"/>
          <w:sz w:val="22"/>
          <w:szCs w:val="22"/>
          <w:color w:val="auto"/>
        </w:rPr>
      </w:pPr>
    </w:p>
    <w:p>
      <w:pPr>
        <w:ind w:right="960" w:firstLine="656"/>
        <w:spacing w:after="0" w:line="236"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any deferred portion of the sales price received by the Borrower or any of the Subsidiaries in connection with any Disposition permitted under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656"/>
        <w:spacing w:after="0" w:line="225" w:lineRule="auto"/>
        <w:tabs>
          <w:tab w:leader="none" w:pos="12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(i) accounts receivable arising, (ii) trade debt granted, or (iii) deposits, prepayments or advances made, in each case of clauses (i) through (iii) in connection with the purchase price of goods or services, in each case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320" w:top="1440" w:right="379" w:bottom="1440" w:gutter="0" w:footer="0" w:header="0"/>
        </w:sectPr>
      </w:pPr>
    </w:p>
    <w:bookmarkStart w:id="81" w:name="page82"/>
    <w:bookmarkEnd w:id="81"/>
    <w:p>
      <w:pPr>
        <w:ind w:left="1260" w:hanging="644"/>
        <w:spacing w:after="0"/>
        <w:tabs>
          <w:tab w:leader="none" w:pos="12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179" w:lineRule="exact"/>
        <w:rPr>
          <w:rFonts w:ascii="Times New Roman" w:cs="Times New Roman" w:eastAsia="Times New Roman" w:hAnsi="Times New Roman"/>
          <w:sz w:val="22"/>
          <w:szCs w:val="22"/>
          <w:color w:val="auto"/>
        </w:rPr>
      </w:pPr>
    </w:p>
    <w:p>
      <w:pPr>
        <w:ind w:left="-40" w:right="100" w:firstLine="656"/>
        <w:spacing w:after="0" w:line="236" w:lineRule="auto"/>
        <w:tabs>
          <w:tab w:leader="none" w:pos="12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(i) the Borrower or any Guarantor in the Borrower or any Guarantor, (ii) any Excluded Subsidiary in the Borrower or any Guarantor and (iii) any Excluded Subsidiary in any other Excluded Subsidiary;</w:t>
      </w:r>
    </w:p>
    <w:p>
      <w:pPr>
        <w:spacing w:after="0" w:line="150" w:lineRule="exact"/>
        <w:rPr>
          <w:rFonts w:ascii="Times New Roman" w:cs="Times New Roman" w:eastAsia="Times New Roman" w:hAnsi="Times New Roman"/>
          <w:sz w:val="22"/>
          <w:szCs w:val="22"/>
          <w:color w:val="auto"/>
        </w:rPr>
      </w:pPr>
    </w:p>
    <w:p>
      <w:pPr>
        <w:ind w:left="-40" w:firstLine="656"/>
        <w:spacing w:after="0" w:line="220" w:lineRule="auto"/>
        <w:tabs>
          <w:tab w:leader="none" w:pos="12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by the Borrower or any Guarantor in any Excluded Subsidiary in an aggregate amount at any time outstanding not to exceed, when combined with any outstanding Indebtedness of any Excluded Subsidiary owing to the Borrower or any Guarantor pursuant to </w:t>
      </w:r>
      <w:r>
        <w:rPr>
          <w:rFonts w:ascii="Times New Roman" w:cs="Times New Roman" w:eastAsia="Times New Roman" w:hAnsi="Times New Roman"/>
          <w:sz w:val="22"/>
          <w:szCs w:val="22"/>
          <w:u w:val="single" w:color="auto"/>
          <w:color w:val="auto"/>
        </w:rPr>
        <w:t>Section 8.2(k)</w:t>
      </w:r>
      <w:r>
        <w:rPr>
          <w:rFonts w:ascii="Times New Roman" w:cs="Times New Roman" w:eastAsia="Times New Roman" w:hAnsi="Times New Roman"/>
          <w:sz w:val="22"/>
          <w:szCs w:val="22"/>
          <w:color w:val="auto"/>
        </w:rPr>
        <w:t xml:space="preserve"> and the fair market value of any Dispositions by the Borrower or any Guarantor pursuant to </w:t>
      </w:r>
      <w:r>
        <w:rPr>
          <w:rFonts w:ascii="Times New Roman" w:cs="Times New Roman" w:eastAsia="Times New Roman" w:hAnsi="Times New Roman"/>
          <w:sz w:val="22"/>
          <w:szCs w:val="22"/>
          <w:u w:val="single" w:color="auto"/>
          <w:color w:val="auto"/>
        </w:rPr>
        <w:t>Section 8.8(d)(ii)</w:t>
      </w:r>
      <w:r>
        <w:rPr>
          <w:rFonts w:ascii="Times New Roman" w:cs="Times New Roman" w:eastAsia="Times New Roman" w:hAnsi="Times New Roman"/>
          <w:sz w:val="22"/>
          <w:szCs w:val="22"/>
          <w:color w:val="auto"/>
        </w:rPr>
        <w:t xml:space="preserve">, $2,000,000 and subject to the limitations set forth in </w:t>
      </w:r>
      <w:r>
        <w:rPr>
          <w:rFonts w:ascii="Times New Roman" w:cs="Times New Roman" w:eastAsia="Times New Roman" w:hAnsi="Times New Roman"/>
          <w:sz w:val="22"/>
          <w:szCs w:val="22"/>
          <w:u w:val="single" w:color="auto"/>
          <w:color w:val="auto"/>
        </w:rPr>
        <w:t>Section 7.13(a)(i)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40" w:right="60" w:firstLine="656"/>
        <w:spacing w:after="0" w:line="225" w:lineRule="auto"/>
        <w:tabs>
          <w:tab w:leader="none" w:pos="12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 amount not to exceed cash proceeds contributed as equity to the capital of the Borrower from a Person that is not a Subsidiary of the Borrower, in each case contributed on or during the six months preceding the date on which such Investment is made;</w:t>
      </w:r>
    </w:p>
    <w:p>
      <w:pPr>
        <w:spacing w:after="0" w:line="152" w:lineRule="exact"/>
        <w:rPr>
          <w:rFonts w:ascii="Times New Roman" w:cs="Times New Roman" w:eastAsia="Times New Roman" w:hAnsi="Times New Roman"/>
          <w:sz w:val="22"/>
          <w:szCs w:val="22"/>
          <w:color w:val="auto"/>
        </w:rPr>
      </w:pPr>
    </w:p>
    <w:p>
      <w:pPr>
        <w:ind w:left="-40" w:right="980" w:firstLine="656"/>
        <w:spacing w:after="0" w:line="236" w:lineRule="auto"/>
        <w:tabs>
          <w:tab w:leader="none" w:pos="12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the endorsement of negotiable instruments for deposit or collection or similar transactions in the ordinary course of business;</w:t>
      </w:r>
    </w:p>
    <w:p>
      <w:pPr>
        <w:spacing w:after="0" w:line="150" w:lineRule="exact"/>
        <w:rPr>
          <w:rFonts w:ascii="Times New Roman" w:cs="Times New Roman" w:eastAsia="Times New Roman" w:hAnsi="Times New Roman"/>
          <w:sz w:val="22"/>
          <w:szCs w:val="22"/>
          <w:color w:val="auto"/>
        </w:rPr>
      </w:pPr>
    </w:p>
    <w:p>
      <w:pPr>
        <w:ind w:left="-40" w:right="240" w:firstLine="656"/>
        <w:spacing w:after="0" w:line="225" w:lineRule="auto"/>
        <w:tabs>
          <w:tab w:leader="none" w:pos="12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 plus transfer pricing arrangements among the Borrower and its Subsidiaries on the one hand, and Myriad Genetics GK, on the other hand, in the ordinary course of business and on terms and in a quantum substantially consistent with past practice;</w:t>
      </w:r>
    </w:p>
    <w:p>
      <w:pPr>
        <w:spacing w:after="0" w:line="152" w:lineRule="exact"/>
        <w:rPr>
          <w:rFonts w:ascii="Times New Roman" w:cs="Times New Roman" w:eastAsia="Times New Roman" w:hAnsi="Times New Roman"/>
          <w:sz w:val="22"/>
          <w:szCs w:val="22"/>
          <w:color w:val="auto"/>
        </w:rPr>
      </w:pPr>
    </w:p>
    <w:p>
      <w:pPr>
        <w:ind w:left="-40" w:right="360" w:firstLine="656"/>
        <w:spacing w:after="0" w:line="236" w:lineRule="auto"/>
        <w:tabs>
          <w:tab w:leader="none" w:pos="12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travel advances and employee relocation loans and other similar employee loans and advances in the ordinary course of business not to exceed $250,000 at any time;</w:t>
      </w:r>
    </w:p>
    <w:p>
      <w:pPr>
        <w:spacing w:after="0" w:line="150"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granting of Liens permitted by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Investments, Indebtedness permitted pursuant to </w:t>
      </w:r>
      <w:r>
        <w:rPr>
          <w:rFonts w:ascii="Times New Roman" w:cs="Times New Roman" w:eastAsia="Times New Roman" w:hAnsi="Times New Roman"/>
          <w:sz w:val="21"/>
          <w:szCs w:val="21"/>
          <w:u w:val="single" w:color="auto"/>
          <w:color w:val="auto"/>
        </w:rPr>
        <w:t>Section 8.2(h)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8.2(i)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8.2(k)</w:t>
      </w:r>
      <w:r>
        <w:rPr>
          <w:rFonts w:ascii="Times New Roman" w:cs="Times New Roman" w:eastAsia="Times New Roman" w:hAnsi="Times New Roman"/>
          <w:sz w:val="21"/>
          <w:szCs w:val="21"/>
          <w:color w:val="auto"/>
        </w:rPr>
        <w:t>;</w:t>
      </w:r>
    </w:p>
    <w:p>
      <w:pPr>
        <w:spacing w:after="0" w:line="190" w:lineRule="exact"/>
        <w:rPr>
          <w:rFonts w:ascii="Times New Roman" w:cs="Times New Roman" w:eastAsia="Times New Roman" w:hAnsi="Times New Roman"/>
          <w:sz w:val="21"/>
          <w:szCs w:val="21"/>
          <w:color w:val="auto"/>
        </w:rPr>
      </w:pPr>
    </w:p>
    <w:p>
      <w:pPr>
        <w:ind w:left="-40" w:right="80" w:firstLine="656"/>
        <w:spacing w:after="0" w:line="215" w:lineRule="auto"/>
        <w:tabs>
          <w:tab w:leader="none" w:pos="12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joint ventures and acquisitions of Capital Securities that would constitute Permitted Acquisitions but for the fact that such joint ventures and the Persons in which such Capital Securities are acquired do not become Wholly Owned Subsidiaries of a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aggregate amount of such Investments shall not exceed $10,000,000 at any time outstanding and (ii) no Investment in any joint venture or acquisition of Capital Securities pursuant to this clause (n) may be comprised of any transfer of exclusive rights with respect to any assets, Intellectual Property or other property relating to a commercial Product of the Loan Parties;</w:t>
      </w:r>
    </w:p>
    <w:p>
      <w:pPr>
        <w:spacing w:after="0" w:line="152" w:lineRule="exact"/>
        <w:rPr>
          <w:rFonts w:ascii="Times New Roman" w:cs="Times New Roman" w:eastAsia="Times New Roman" w:hAnsi="Times New Roman"/>
          <w:sz w:val="22"/>
          <w:szCs w:val="22"/>
          <w:color w:val="auto"/>
        </w:rPr>
      </w:pPr>
    </w:p>
    <w:p>
      <w:pPr>
        <w:jc w:val="both"/>
        <w:ind w:left="-40" w:right="200" w:firstLine="656"/>
        <w:spacing w:after="0" w:line="220" w:lineRule="auto"/>
        <w:tabs>
          <w:tab w:leader="none" w:pos="12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and advances to directors, officers and employees of the Borrower and its Subsidiaries solely to fund such Person’s purchase of Capital Securities of the Borrower in connection with the exercise or settlement by such Person of options or other equity awards, so long as no cash is advanced by the Borrower or its Subsidiaries in connection with such loan or advance;</w:t>
      </w:r>
    </w:p>
    <w:p>
      <w:pPr>
        <w:spacing w:after="0" w:line="152" w:lineRule="exact"/>
        <w:rPr>
          <w:rFonts w:ascii="Times New Roman" w:cs="Times New Roman" w:eastAsia="Times New Roman" w:hAnsi="Times New Roman"/>
          <w:sz w:val="22"/>
          <w:szCs w:val="22"/>
          <w:color w:val="auto"/>
        </w:rPr>
      </w:pPr>
    </w:p>
    <w:p>
      <w:pPr>
        <w:jc w:val="both"/>
        <w:ind w:left="-40" w:right="80" w:firstLine="656"/>
        <w:spacing w:after="0" w:line="220" w:lineRule="auto"/>
        <w:tabs>
          <w:tab w:leader="none" w:pos="12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formation and transfer of assets relevant to the Specified Transaction to a newly formed Subsidiary solely to the extent necessary to effectuate such Specified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Subsidiary is wholly-owned by Borrower or a Guarantor and no Default or Event of Default shall have occurred and be continuing at the time of the transfer of such assets into such Subsidiary;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newly formed Subsidiary shall either be sold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80"/>
          </w:cols>
          <w:pgMar w:left="360" w:top="139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effectuate such Specified Transaction or joined as a Loan Party within 30 days of any such transfer of assets;</w:t>
      </w:r>
    </w:p>
    <w:p>
      <w:pPr>
        <w:spacing w:after="0" w:line="179"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received as non-cash consideration in a Disposition permitted under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ind w:right="320" w:firstLine="656"/>
        <w:spacing w:after="0" w:line="236" w:lineRule="auto"/>
        <w:tabs>
          <w:tab w:leader="none" w:pos="129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other than Investments by the Borrower or any Guarantor in any Excluded Subsidiary, in an aggregate amount not to exceed $2,500,000 in each Fiscal Year.</w:t>
      </w:r>
    </w:p>
    <w:p>
      <w:pPr>
        <w:spacing w:after="0" w:line="15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8.6 </w:t>
      </w:r>
      <w:r>
        <w:rPr>
          <w:rFonts w:ascii="Times New Roman" w:cs="Times New Roman" w:eastAsia="Times New Roman" w:hAnsi="Times New Roman"/>
          <w:sz w:val="22"/>
          <w:szCs w:val="22"/>
          <w:u w:val="single" w:color="auto"/>
          <w:color w:val="auto"/>
        </w:rPr>
        <w:t>Restricted Payments, Etc</w:t>
      </w:r>
      <w:r>
        <w:rPr>
          <w:rFonts w:ascii="Times New Roman" w:cs="Times New Roman" w:eastAsia="Times New Roman" w:hAnsi="Times New Roman"/>
          <w:sz w:val="22"/>
          <w:szCs w:val="22"/>
          <w:color w:val="auto"/>
        </w:rPr>
        <w:t xml:space="preserve">. None of the Borrower or any of the Subsidiaries will declare or make a Restricted Payment, make any deposit for any Restricted Payment, or make a payment or prepayment of principal of, premium, if any, interest, fees, redemption, exchange, purchase, retirement, defeasance, sinking fund or similar payment with respect to any Permitted Subordinated Indebtedness, Permitted Convertible Indebtedness, or Indebtedness permitted pursuant to </w:t>
      </w:r>
      <w:r>
        <w:rPr>
          <w:rFonts w:ascii="Times New Roman" w:cs="Times New Roman" w:eastAsia="Times New Roman" w:hAnsi="Times New Roman"/>
          <w:sz w:val="22"/>
          <w:szCs w:val="22"/>
          <w:u w:val="single" w:color="auto"/>
          <w:color w:val="auto"/>
        </w:rPr>
        <w:t>Section 8.2(h)</w:t>
      </w:r>
      <w:r>
        <w:rPr>
          <w:rFonts w:ascii="Times New Roman" w:cs="Times New Roman" w:eastAsia="Times New Roman" w:hAnsi="Times New Roman"/>
          <w:sz w:val="22"/>
          <w:szCs w:val="22"/>
          <w:color w:val="auto"/>
        </w:rPr>
        <w:t>, except:</w:t>
      </w:r>
    </w:p>
    <w:p>
      <w:pPr>
        <w:spacing w:after="0" w:line="152"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made by the Borrower or any Subsidiaries to any Loan Party;</w:t>
      </w:r>
    </w:p>
    <w:p>
      <w:pPr>
        <w:spacing w:after="0" w:line="179" w:lineRule="exact"/>
        <w:rPr>
          <w:rFonts w:ascii="Times New Roman" w:cs="Times New Roman" w:eastAsia="Times New Roman" w:hAnsi="Times New Roman"/>
          <w:sz w:val="22"/>
          <w:szCs w:val="22"/>
          <w:color w:val="auto"/>
        </w:rPr>
      </w:pPr>
    </w:p>
    <w:p>
      <w:pPr>
        <w:ind w:right="760" w:firstLine="656"/>
        <w:spacing w:after="0" w:line="236" w:lineRule="auto"/>
        <w:tabs>
          <w:tab w:leader="none" w:pos="12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on Permitted Subordinated Indebtedness expressly permitted to be paid under the subordination agreement relating to such Permitted Subordinated Indebtedness;</w:t>
      </w:r>
    </w:p>
    <w:p>
      <w:pPr>
        <w:spacing w:after="0" w:line="150" w:lineRule="exact"/>
        <w:rPr>
          <w:rFonts w:ascii="Times New Roman" w:cs="Times New Roman" w:eastAsia="Times New Roman" w:hAnsi="Times New Roman"/>
          <w:sz w:val="22"/>
          <w:szCs w:val="22"/>
          <w:color w:val="auto"/>
        </w:rPr>
      </w:pPr>
    </w:p>
    <w:p>
      <w:pPr>
        <w:ind w:right="640" w:firstLine="656"/>
        <w:spacing w:after="0" w:line="236" w:lineRule="auto"/>
        <w:tabs>
          <w:tab w:leader="none" w:pos="129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cash interest on Permitted Convertible Indebtedness as required by and in accordance with the definitive documentation governing such Permitted Convertible Indebtedness;</w:t>
      </w:r>
    </w:p>
    <w:p>
      <w:pPr>
        <w:spacing w:after="0" w:line="150" w:lineRule="exact"/>
        <w:rPr>
          <w:rFonts w:ascii="Times New Roman" w:cs="Times New Roman" w:eastAsia="Times New Roman" w:hAnsi="Times New Roman"/>
          <w:sz w:val="22"/>
          <w:szCs w:val="22"/>
          <w:color w:val="auto"/>
        </w:rPr>
      </w:pPr>
    </w:p>
    <w:p>
      <w:pPr>
        <w:ind w:right="40" w:firstLine="656"/>
        <w:spacing w:after="0" w:line="224" w:lineRule="auto"/>
        <w:tabs>
          <w:tab w:leader="none" w:pos="129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redemption, repurchases, retirement or other acquisition or retirement for value of Capital Securities of the Borrower held by any future, present or former employees, directors or officers (or any Affiliates, spouses, former spouses, other immediate family members, successors, executors, administrators, heirs, distributees, descendants or estates of any of the foregoing) so long as an Event of Default does not exist at the time of such redemption, repurchase, retirement or other acquisition or retirement or value and would not exist after giving effect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amount of such redemption, repurchases, retirement or other acquisition or retirement for value (not including the amount of Capital Securities withheld from equity awards to satisfy tax withholding obligations) does not exceed the sum of $1,000,000 in the aggregate in any Fiscal Year;</w:t>
      </w:r>
    </w:p>
    <w:p>
      <w:pPr>
        <w:spacing w:after="0" w:line="13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payable solely in the Capital Securities (other than Disqualified Capital Securities) of such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w:t>
      </w:r>
    </w:p>
    <w:p>
      <w:pPr>
        <w:spacing w:after="0" w:line="155" w:lineRule="exact"/>
        <w:rPr>
          <w:rFonts w:ascii="Times New Roman" w:cs="Times New Roman" w:eastAsia="Times New Roman" w:hAnsi="Times New Roman"/>
          <w:sz w:val="22"/>
          <w:szCs w:val="22"/>
          <w:color w:val="auto"/>
        </w:rPr>
      </w:pPr>
    </w:p>
    <w:p>
      <w:pPr>
        <w:ind w:right="460" w:firstLine="656"/>
        <w:spacing w:after="0" w:line="236"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cashless repurchases of Capital Securities of the Borrower deemed to occur upon exercise of stock options or warrants if such Capital Securities represent a portion of the exercise price of such options or warrants;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payments in lieu of the issuance of fractional shares;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Restricted Payments in an amount not to exceed $2,000,000 over the term of this Agreement.</w:t>
      </w:r>
    </w:p>
    <w:p>
      <w:pPr>
        <w:spacing w:after="0" w:line="179" w:lineRule="exact"/>
        <w:rPr>
          <w:sz w:val="20"/>
          <w:szCs w:val="20"/>
          <w:color w:val="auto"/>
        </w:rPr>
      </w:pPr>
    </w:p>
    <w:p>
      <w:pPr>
        <w:ind w:right="26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8.7 </w:t>
      </w:r>
      <w:r>
        <w:rPr>
          <w:rFonts w:ascii="Times New Roman" w:cs="Times New Roman" w:eastAsia="Times New Roman" w:hAnsi="Times New Roman"/>
          <w:sz w:val="22"/>
          <w:szCs w:val="22"/>
          <w:u w:val="single" w:color="auto"/>
          <w:color w:val="auto"/>
        </w:rPr>
        <w:t>Consolidation, Merger; Permitted Acquisitions, Etc</w:t>
      </w:r>
      <w:r>
        <w:rPr>
          <w:rFonts w:ascii="Times New Roman" w:cs="Times New Roman" w:eastAsia="Times New Roman" w:hAnsi="Times New Roman"/>
          <w:sz w:val="22"/>
          <w:szCs w:val="22"/>
          <w:color w:val="auto"/>
        </w:rPr>
        <w:t>. None of the Borrower or any of the Subsidiaries, will (a) liquidate or dissolve, consolidate with, or merge into or with, any other Person, (b) purchase or otherwise acquire all or substantially all of the assets of any Person (or any division, business unit, product or line of business thereof, including any geographic subset thereof), other than, in the case of clause (b), to consummate a Permitted Acquisition, except that, in the case of clauses (a) and (b), so long as no Event of Default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00"/>
          </w:cols>
          <w:pgMar w:left="320" w:top="1395" w:right="379" w:bottom="1440" w:gutter="0" w:footer="0" w:header="0"/>
        </w:sectPr>
      </w:pPr>
    </w:p>
    <w:bookmarkStart w:id="83" w:name="page84"/>
    <w:bookmarkEnd w:id="83"/>
    <w:p>
      <w:pPr>
        <w:jc w:val="both"/>
        <w:ind w:right="60"/>
        <w:spacing w:after="0" w:line="222" w:lineRule="auto"/>
        <w:rPr>
          <w:sz w:val="20"/>
          <w:szCs w:val="20"/>
          <w:color w:val="auto"/>
        </w:rPr>
      </w:pPr>
      <w:r>
        <w:rPr>
          <w:rFonts w:ascii="Times New Roman" w:cs="Times New Roman" w:eastAsia="Times New Roman" w:hAnsi="Times New Roman"/>
          <w:sz w:val="21"/>
          <w:szCs w:val="21"/>
          <w:color w:val="auto"/>
        </w:rPr>
        <w:t xml:space="preserve">occurred and is continuing (or would occur), any Subsidiary may voluntarily liquidate or dissolve, and may merge with and into, the Borrower or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in connection with any Permitted Acquisition, the Borrower or any Subsidiary may merge into or consolidate with any other Person or permit any other Person to merge into or consolidate with it, so long as</w:t>
      </w:r>
    </w:p>
    <w:p>
      <w:pPr>
        <w:spacing w:after="0" w:line="2" w:lineRule="exact"/>
        <w:rPr>
          <w:sz w:val="20"/>
          <w:szCs w:val="20"/>
          <w:color w:val="auto"/>
        </w:rPr>
      </w:pPr>
    </w:p>
    <w:p>
      <w:pPr>
        <w:ind w:firstLine="8"/>
        <w:spacing w:after="0" w:line="211" w:lineRule="auto"/>
        <w:tabs>
          <w:tab w:leader="none" w:pos="35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Person surviving such merger with any Subsidiary shall be a direct or indirect Wholly Owned Subsidiary of the Borrower and a Guarantor and (B) in the case of any such merger to which the Borrower is a party, the Borrower is the surviving Person, and (ii) in connection with the Specified Transaction and to the extent expressly contemplated by Schedule 8.8, a Subsidiary may transfer all or substantially all of its assets or merge with another Person pursuant to such Specified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immediately before and after giving effect to such Specified Transaction, no Default or Event of Default shall exist or result therefrom.</w:t>
      </w:r>
    </w:p>
    <w:p>
      <w:pPr>
        <w:spacing w:after="0" w:line="154" w:lineRule="exact"/>
        <w:rPr>
          <w:sz w:val="20"/>
          <w:szCs w:val="20"/>
          <w:color w:val="auto"/>
        </w:rPr>
      </w:pPr>
    </w:p>
    <w:p>
      <w:pPr>
        <w:ind w:right="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8.8 </w:t>
      </w:r>
      <w:r>
        <w:rPr>
          <w:rFonts w:ascii="Times New Roman" w:cs="Times New Roman" w:eastAsia="Times New Roman" w:hAnsi="Times New Roman"/>
          <w:sz w:val="22"/>
          <w:szCs w:val="22"/>
          <w:u w:val="single" w:color="auto"/>
          <w:color w:val="auto"/>
        </w:rPr>
        <w:t>Permitted Dispositions</w:t>
      </w:r>
      <w:r>
        <w:rPr>
          <w:rFonts w:ascii="Times New Roman" w:cs="Times New Roman" w:eastAsia="Times New Roman" w:hAnsi="Times New Roman"/>
          <w:sz w:val="22"/>
          <w:szCs w:val="22"/>
          <w:color w:val="auto"/>
        </w:rPr>
        <w:t>. None of the Borrower or any of the Subsidiaries will Dispose of any of its assets (including accounts receivable and Capital Securities of the Borrower or the Subsidiaries) to any Person in one transaction or series of transactions unless such Disposition:</w:t>
      </w:r>
    </w:p>
    <w:p>
      <w:pPr>
        <w:spacing w:after="0" w:line="140"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of inventory or obsolete, damaged, worn out or surplus property Disposed of in the ordinary course of its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5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pursuant to a transaction permitted by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80" w:firstLine="656"/>
        <w:spacing w:after="0" w:line="217" w:lineRule="auto"/>
        <w:tabs>
          <w:tab w:leader="none" w:pos="129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the lapse, abandonment, cancellation, non-renewal or discontinuance of use of either (i) non-material Owned Intellectual Property of the Borrower or any Subsidiary, or (ii) non-material Licensed Intellectual Property that the Borrower reasonably determines in good faith is no longer necessary or desirable in the conduct of the Borrower’s or any Subsidiary’s business as conducted on the Closing Date, as conducted and proposed to be conducted thereafter and activities reasonably incidental and ancillary thereto;</w:t>
      </w:r>
    </w:p>
    <w:p>
      <w:pPr>
        <w:spacing w:after="0" w:line="152" w:lineRule="exact"/>
        <w:rPr>
          <w:rFonts w:ascii="Times New Roman" w:cs="Times New Roman" w:eastAsia="Times New Roman" w:hAnsi="Times New Roman"/>
          <w:sz w:val="22"/>
          <w:szCs w:val="22"/>
          <w:color w:val="auto"/>
        </w:rPr>
      </w:pPr>
    </w:p>
    <w:p>
      <w:pPr>
        <w:ind w:right="80" w:firstLine="656"/>
        <w:spacing w:after="0" w:line="217" w:lineRule="auto"/>
        <w:tabs>
          <w:tab w:leader="none" w:pos="12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is a Disposition by a Loan Party to another Loan Party, (ii) is a Disposition by any Loan Party to an Excluded Subsidiary in an amount, when combined with any outstanding Indebtedness of any Excluded Subsidiary owing to the Borrower or any Guarantor pursuant to </w:t>
      </w:r>
      <w:r>
        <w:rPr>
          <w:rFonts w:ascii="Times New Roman" w:cs="Times New Roman" w:eastAsia="Times New Roman" w:hAnsi="Times New Roman"/>
          <w:sz w:val="22"/>
          <w:szCs w:val="22"/>
          <w:u w:val="single" w:color="auto"/>
          <w:color w:val="auto"/>
        </w:rPr>
        <w:t>Section 8.2(k)</w:t>
      </w:r>
      <w:r>
        <w:rPr>
          <w:rFonts w:ascii="Times New Roman" w:cs="Times New Roman" w:eastAsia="Times New Roman" w:hAnsi="Times New Roman"/>
          <w:sz w:val="22"/>
          <w:szCs w:val="22"/>
          <w:color w:val="auto"/>
        </w:rPr>
        <w:t xml:space="preserve"> and any outstanding Investments by the Borrower or any Guarantor in or to any Excluded Subsidiary pursuant to </w:t>
      </w:r>
      <w:r>
        <w:rPr>
          <w:rFonts w:ascii="Times New Roman" w:cs="Times New Roman" w:eastAsia="Times New Roman" w:hAnsi="Times New Roman"/>
          <w:sz w:val="22"/>
          <w:szCs w:val="22"/>
          <w:u w:val="single" w:color="auto"/>
          <w:color w:val="auto"/>
        </w:rPr>
        <w:t>Section 8.5(h)</w:t>
      </w:r>
      <w:r>
        <w:rPr>
          <w:rFonts w:ascii="Times New Roman" w:cs="Times New Roman" w:eastAsia="Times New Roman" w:hAnsi="Times New Roman"/>
          <w:sz w:val="22"/>
          <w:szCs w:val="22"/>
          <w:color w:val="auto"/>
        </w:rPr>
        <w:t>, not to exceed $2,000,000 in the aggregate for all such Dispositions, or (iii) is a Disposition by any Excluded Subsidiary to another Excluded Subsidiary;</w:t>
      </w:r>
    </w:p>
    <w:p>
      <w:pPr>
        <w:spacing w:after="0" w:line="152" w:lineRule="exact"/>
        <w:rPr>
          <w:rFonts w:ascii="Times New Roman" w:cs="Times New Roman" w:eastAsia="Times New Roman" w:hAnsi="Times New Roman"/>
          <w:sz w:val="22"/>
          <w:szCs w:val="22"/>
          <w:color w:val="auto"/>
        </w:rPr>
      </w:pPr>
    </w:p>
    <w:p>
      <w:pPr>
        <w:ind w:right="100" w:firstLine="656"/>
        <w:spacing w:after="0" w:line="220" w:lineRule="auto"/>
        <w:tabs>
          <w:tab w:leader="none" w:pos="129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the sale, forgiveness or discounting, on a non-recourse basis and in the ordinary course of business, of past due accounts in connection with the collection or compromise thereof or the settlement of delinquent accounts or in connection with the bankruptcy or reorganization of suppliers or customers in accordance with the applicable terms of this Agreement;</w:t>
      </w:r>
    </w:p>
    <w:p>
      <w:pPr>
        <w:spacing w:after="0" w:line="152" w:lineRule="exact"/>
        <w:rPr>
          <w:rFonts w:ascii="Times New Roman" w:cs="Times New Roman" w:eastAsia="Times New Roman" w:hAnsi="Times New Roman"/>
          <w:sz w:val="22"/>
          <w:szCs w:val="22"/>
          <w:color w:val="auto"/>
        </w:rPr>
      </w:pPr>
    </w:p>
    <w:p>
      <w:pPr>
        <w:ind w:right="400" w:firstLine="656"/>
        <w:spacing w:after="0" w:line="236"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Dispositions, (i) the granting of Liens permitted by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and (ii) any mergers, consolidations, dispositions, dissolutions and liquidations permitted pursuant to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right="240" w:firstLine="656"/>
        <w:spacing w:after="0" w:line="231" w:lineRule="auto"/>
        <w:tabs>
          <w:tab w:leader="none" w:pos="1291"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in which (i) the assets subject to such Disposition are sold for fair value, as determined by the Borrower in good faith, (ii) at least 75% of the consideration therefor is cash or Cash Equivalent Investments, (iii) no Event of Default has occurred and is continuing or would result from the making of such Disposition and (iv) on a pro forma basis after giving effect to such Disposition, the Loan Parties are in compliance with the financial covenant set forth in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80"/>
          </w:cols>
          <w:pgMar w:left="320" w:top="1395" w:right="399" w:bottom="1440" w:gutter="0" w:footer="0" w:header="0"/>
        </w:sectPr>
      </w:pPr>
    </w:p>
    <w:bookmarkStart w:id="84" w:name="page85"/>
    <w:bookmarkEnd w:id="84"/>
    <w:p>
      <w:pPr>
        <w:ind w:right="340" w:firstLine="656"/>
        <w:spacing w:after="0" w:line="236" w:lineRule="auto"/>
        <w:tabs>
          <w:tab w:leader="none" w:pos="129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the cancellation, termination or surrender by any Loan Party or any Subsidiary of any Loan Party of any lease in the ordinary course of business;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the unwinding of any Hedging Obligation in accordance with its terms;</w:t>
      </w:r>
    </w:p>
    <w:p>
      <w:pPr>
        <w:spacing w:after="0" w:line="179" w:lineRule="exact"/>
        <w:rPr>
          <w:rFonts w:ascii="Times New Roman" w:cs="Times New Roman" w:eastAsia="Times New Roman" w:hAnsi="Times New Roman"/>
          <w:sz w:val="22"/>
          <w:szCs w:val="22"/>
          <w:color w:val="auto"/>
        </w:rPr>
      </w:pPr>
    </w:p>
    <w:p>
      <w:pPr>
        <w:ind w:right="80" w:firstLine="656"/>
        <w:spacing w:after="0" w:line="220" w:lineRule="auto"/>
        <w:tabs>
          <w:tab w:leader="none" w:pos="128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(i) a lease or sublease of property (other than of Intellectual Property) to other Persons or (ii) a non-exclusive license or non-exclusive sublicense to suppliers, co-development parties, customers and distributors in connection with the commercialization of Products, in each case of this clause (j), in the ordinary course of business not materially interfering with the business of Borrower and its Subsidiaries taken as a whole;</w:t>
      </w:r>
    </w:p>
    <w:p>
      <w:pPr>
        <w:spacing w:after="0" w:line="152" w:lineRule="exact"/>
        <w:rPr>
          <w:rFonts w:ascii="Times New Roman" w:cs="Times New Roman" w:eastAsia="Times New Roman" w:hAnsi="Times New Roman"/>
          <w:sz w:val="22"/>
          <w:szCs w:val="22"/>
          <w:color w:val="auto"/>
        </w:rPr>
      </w:pPr>
    </w:p>
    <w:p>
      <w:pPr>
        <w:ind w:firstLine="656"/>
        <w:spacing w:after="0" w:line="220" w:lineRule="auto"/>
        <w:tabs>
          <w:tab w:leader="none" w:pos="129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constitutes a Disposition of Investments in joint ventures, to the extent required by, or made pursuant to buy/sell arrangements between the joint venture parties set forth in joint venture arrangements and similar binding arrangements;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consideration received shall be in an amount at least equal to the fair market value thereof (as determined by the Borrower in good faith);</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a non-exclusive license or other grant of rights to use Intellectual Property in the ordinary course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55" w:lineRule="exact"/>
        <w:rPr>
          <w:rFonts w:ascii="Times New Roman" w:cs="Times New Roman" w:eastAsia="Times New Roman" w:hAnsi="Times New Roman"/>
          <w:sz w:val="22"/>
          <w:szCs w:val="22"/>
          <w:color w:val="auto"/>
        </w:rPr>
      </w:pPr>
    </w:p>
    <w:p>
      <w:pPr>
        <w:ind w:right="200" w:firstLine="656"/>
        <w:spacing w:after="0" w:line="225" w:lineRule="auto"/>
        <w:tabs>
          <w:tab w:leader="none" w:pos="128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Specified Transaction and the transfer of assets relevant to such Specified Transaction to a wholly-owned Subsidiary of Borrower or a Guarantor solely to the extent necessary to facilitate such Specified Transaction and subject to, and in accordance with, the terms of </w:t>
      </w:r>
      <w:r>
        <w:rPr>
          <w:rFonts w:ascii="Times New Roman" w:cs="Times New Roman" w:eastAsia="Times New Roman" w:hAnsi="Times New Roman"/>
          <w:sz w:val="22"/>
          <w:szCs w:val="22"/>
          <w:u w:val="single" w:color="auto"/>
          <w:color w:val="auto"/>
        </w:rPr>
        <w:t>Section 8.5(p)</w:t>
      </w:r>
      <w:r>
        <w:rPr>
          <w:rFonts w:ascii="Times New Roman" w:cs="Times New Roman" w:eastAsia="Times New Roman" w:hAnsi="Times New Roman"/>
          <w:sz w:val="22"/>
          <w:szCs w:val="22"/>
          <w:color w:val="auto"/>
        </w:rPr>
        <w:t>;</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other Dispositions with a fair market value not to exceed an aggregate amount of $2,500,000 in any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Year; or</w:t>
      </w:r>
    </w:p>
    <w:p>
      <w:pPr>
        <w:spacing w:after="0" w:line="15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a use of cash or Cash Equivalent Investments in a manner not otherwise prohibited hereunder.</w:t>
      </w:r>
    </w:p>
    <w:p>
      <w:pPr>
        <w:spacing w:after="0" w:line="179" w:lineRule="exact"/>
        <w:rPr>
          <w:sz w:val="20"/>
          <w:szCs w:val="20"/>
          <w:color w:val="auto"/>
        </w:rPr>
      </w:pPr>
    </w:p>
    <w:p>
      <w:pPr>
        <w:ind w:right="18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8.9 </w:t>
      </w:r>
      <w:r>
        <w:rPr>
          <w:rFonts w:ascii="Times New Roman" w:cs="Times New Roman" w:eastAsia="Times New Roman" w:hAnsi="Times New Roman"/>
          <w:sz w:val="22"/>
          <w:szCs w:val="22"/>
          <w:u w:val="single" w:color="auto"/>
          <w:color w:val="auto"/>
        </w:rPr>
        <w:t>Modification of Certain Agreements</w:t>
      </w:r>
      <w:r>
        <w:rPr>
          <w:rFonts w:ascii="Times New Roman" w:cs="Times New Roman" w:eastAsia="Times New Roman" w:hAnsi="Times New Roman"/>
          <w:sz w:val="22"/>
          <w:szCs w:val="22"/>
          <w:color w:val="auto"/>
        </w:rPr>
        <w:t>. None of the Borrower or any of the Subsidiaries will consent to any amendment, supplement, waiver or other modification of, or enter into any forbearance from exercising any rights with respect to, the terms or provisions contained in (a) any Organic Documents of the Borrower or any of the Subsidiaries, if the result would have an adverse effect in any material respect on the rights or remedies of the Administrative Agent or the Lenders under this Agreement or any Loan Document, (b) any agreement governing any Permitted Subordinated Indebtedness, if the result would shorten the maturity date thereof or advance the date on which any cash payment is required to be made thereon or would otherwise change any terms thereof in a manner adverse in any material respect to the Administrative Agent or the Lenders, (c) the definitive documentation governing any Permitted Convertible Indebtedness, if the result could reasonably be expected to have an adverse effect in any material respect on the Administrative Agent or the Lenders, or (d) the definitive documentation governing any Permitted Revolving Credit Facility Indebtedness, if the result could reasonably be expected to have an adverse effect in any material respect on the Administrative Agent or the Lenders.</w:t>
      </w:r>
    </w:p>
    <w:p>
      <w:pPr>
        <w:spacing w:after="0" w:line="157"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None of the Borrower nor any of the Subsidiaries will enter into or cause or permit to exist any arrangement, transaction or contract (including for the purchase, lease or exchange of property or the rendering of services) with any of its Affiliates, unless such arrangement, transaction or contract is on fair and reasonable terms no less favorable to the Borrower or any Subsidiary than it could obtain in an arm’s-length transaction with a Person that is not one of its Affiliates, except for (a) Restricted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395" w:right="339" w:bottom="1440" w:gutter="0" w:footer="0" w:header="0"/>
        </w:sectPr>
      </w:pPr>
    </w:p>
    <w:bookmarkStart w:id="85" w:name="page86"/>
    <w:bookmarkEnd w:id="85"/>
    <w:p>
      <w:pPr>
        <w:ind w:right="60"/>
        <w:spacing w:after="0" w:line="217" w:lineRule="auto"/>
        <w:rPr>
          <w:sz w:val="20"/>
          <w:szCs w:val="20"/>
          <w:color w:val="auto"/>
        </w:rPr>
      </w:pPr>
      <w:r>
        <w:rPr>
          <w:rFonts w:ascii="Times New Roman" w:cs="Times New Roman" w:eastAsia="Times New Roman" w:hAnsi="Times New Roman"/>
          <w:sz w:val="21"/>
          <w:szCs w:val="21"/>
          <w:color w:val="auto"/>
        </w:rPr>
        <w:t xml:space="preserve">permitted pursuant to </w:t>
      </w:r>
      <w:r>
        <w:rPr>
          <w:rFonts w:ascii="Times New Roman" w:cs="Times New Roman" w:eastAsia="Times New Roman" w:hAnsi="Times New Roman"/>
          <w:sz w:val="21"/>
          <w:szCs w:val="21"/>
          <w:u w:val="single" w:color="auto"/>
          <w:color w:val="auto"/>
        </w:rPr>
        <w:t>Section 8.6</w:t>
      </w:r>
      <w:r>
        <w:rPr>
          <w:rFonts w:ascii="Times New Roman" w:cs="Times New Roman" w:eastAsia="Times New Roman" w:hAnsi="Times New Roman"/>
          <w:sz w:val="21"/>
          <w:szCs w:val="21"/>
          <w:color w:val="auto"/>
        </w:rPr>
        <w:t xml:space="preserve">, (b) transactions between or among the Borrower and any Subsidiary that is a Loan Party not involving any other Affiliate, (c) any investment permitted by </w:t>
      </w:r>
      <w:r>
        <w:rPr>
          <w:rFonts w:ascii="Times New Roman" w:cs="Times New Roman" w:eastAsia="Times New Roman" w:hAnsi="Times New Roman"/>
          <w:sz w:val="21"/>
          <w:szCs w:val="21"/>
          <w:u w:val="single" w:color="auto"/>
          <w:color w:val="auto"/>
        </w:rPr>
        <w:t>Sections 8.5(g)</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8.5(h)</w:t>
      </w:r>
      <w:r>
        <w:rPr>
          <w:rFonts w:ascii="Times New Roman" w:cs="Times New Roman" w:eastAsia="Times New Roman" w:hAnsi="Times New Roman"/>
          <w:sz w:val="21"/>
          <w:szCs w:val="21"/>
          <w:color w:val="auto"/>
        </w:rPr>
        <w:t xml:space="preserve"> , (d) any Indebtedness permitted under </w:t>
      </w:r>
      <w:r>
        <w:rPr>
          <w:rFonts w:ascii="Times New Roman" w:cs="Times New Roman" w:eastAsia="Times New Roman" w:hAnsi="Times New Roman"/>
          <w:sz w:val="21"/>
          <w:szCs w:val="21"/>
          <w:u w:val="single" w:color="auto"/>
          <w:color w:val="auto"/>
        </w:rPr>
        <w:t>Sections 8.2(a), 8.2(i) or 8.2(k)</w:t>
      </w:r>
      <w:r>
        <w:rPr>
          <w:rFonts w:ascii="Times New Roman" w:cs="Times New Roman" w:eastAsia="Times New Roman" w:hAnsi="Times New Roman"/>
          <w:sz w:val="21"/>
          <w:szCs w:val="21"/>
          <w:color w:val="auto"/>
        </w:rPr>
        <w:t xml:space="preserve">, (e) any Restricted Payment permitted by </w:t>
      </w:r>
      <w:r>
        <w:rPr>
          <w:rFonts w:ascii="Times New Roman" w:cs="Times New Roman" w:eastAsia="Times New Roman" w:hAnsi="Times New Roman"/>
          <w:sz w:val="21"/>
          <w:szCs w:val="21"/>
          <w:u w:val="single" w:color="auto"/>
          <w:color w:val="auto"/>
        </w:rPr>
        <w:t>Section 8.6(a)</w:t>
      </w:r>
      <w:r>
        <w:rPr>
          <w:rFonts w:ascii="Times New Roman" w:cs="Times New Roman" w:eastAsia="Times New Roman" w:hAnsi="Times New Roman"/>
          <w:sz w:val="21"/>
          <w:szCs w:val="21"/>
          <w:color w:val="auto"/>
        </w:rPr>
        <w:t xml:space="preserve">, (f) Dispositions permitted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8.8</w:t>
      </w:r>
      <w:r>
        <w:rPr>
          <w:rFonts w:ascii="Times New Roman" w:cs="Times New Roman" w:eastAsia="Times New Roman" w:hAnsi="Times New Roman"/>
          <w:sz w:val="21"/>
          <w:szCs w:val="21"/>
          <w:color w:val="auto"/>
        </w:rPr>
        <w:t>, (g) 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its Subsidiaries in the ordinary course of business, (h) any issuances of Capital Securities or other payments, awards or grants in cash, securities or otherwise pursuant to, or the funding of, employment agreements, stock options and stock ownership plans approved by the Borrower’s board of directors or a committee thereof, and</w:t>
      </w:r>
    </w:p>
    <w:p>
      <w:pPr>
        <w:spacing w:after="0" w:line="5" w:lineRule="exact"/>
        <w:rPr>
          <w:sz w:val="20"/>
          <w:szCs w:val="20"/>
          <w:color w:val="auto"/>
        </w:rPr>
      </w:pPr>
    </w:p>
    <w:p>
      <w:pPr>
        <w:ind w:right="180" w:firstLine="8"/>
        <w:spacing w:after="0" w:line="225" w:lineRule="auto"/>
        <w:tabs>
          <w:tab w:leader="none" w:pos="25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services by Myriad Genetics GK to Myriad Genetic Laboratories, Inc. in the ordinary course of business and on terms and in a quantum substantially consistent with past practice.</w:t>
      </w:r>
    </w:p>
    <w:p>
      <w:pPr>
        <w:spacing w:after="0" w:line="150"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Restrictive Agreements, Etc</w:t>
      </w:r>
      <w:r>
        <w:rPr>
          <w:rFonts w:ascii="Times New Roman" w:cs="Times New Roman" w:eastAsia="Times New Roman" w:hAnsi="Times New Roman"/>
          <w:sz w:val="22"/>
          <w:szCs w:val="22"/>
          <w:color w:val="auto"/>
        </w:rPr>
        <w:t xml:space="preserve">. None of the Borrower or any of the Subsidiaries will enter into any agreement prohibiting (a) the creation or assumption of any Lien in favor of the Secured Parties to secure the Obligations upon its properties, revenues or assets, whether now owned or hereafter acquired, (b) the ability of the Borrower or any of the Guarantors to amend or otherwise modify any Loan Document, (c) the ability of the Borrower or any Subsidiary to make any payments of the Obligations, or (d) the ability of any Subsidiary to make payments directly or indirectly, to the Borrower, including by way of dividends, advances, repayments of loans, reimbursements of management and other intercompany charges, expenses and accruals or other returns on investments. The foregoing prohibitions shall not apply to restrictions contained in (i) any Loan Document, (ii) in the case of clause (a), any agreement governing any Indebtedness permitted by </w:t>
      </w:r>
      <w:r>
        <w:rPr>
          <w:rFonts w:ascii="Times New Roman" w:cs="Times New Roman" w:eastAsia="Times New Roman" w:hAnsi="Times New Roman"/>
          <w:sz w:val="22"/>
          <w:szCs w:val="22"/>
          <w:u w:val="single" w:color="auto"/>
          <w:color w:val="auto"/>
        </w:rPr>
        <w:t>Section 8.2(e)</w:t>
      </w:r>
      <w:r>
        <w:rPr>
          <w:rFonts w:ascii="Times New Roman" w:cs="Times New Roman" w:eastAsia="Times New Roman" w:hAnsi="Times New Roman"/>
          <w:sz w:val="22"/>
          <w:szCs w:val="22"/>
          <w:color w:val="auto"/>
        </w:rPr>
        <w:t xml:space="preserve"> as to the assets financed with the proceeds of such Indebtedness, (iii) the Loan Documents, (iv) the definitive documentation governing any Permitted Revolving Credit Facility Indebtedness, and (v) applicable Law.</w:t>
      </w:r>
    </w:p>
    <w:p>
      <w:pPr>
        <w:spacing w:after="0" w:line="152"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8.12 </w:t>
      </w:r>
      <w:r>
        <w:rPr>
          <w:rFonts w:ascii="Times New Roman" w:cs="Times New Roman" w:eastAsia="Times New Roman" w:hAnsi="Times New Roman"/>
          <w:sz w:val="22"/>
          <w:szCs w:val="22"/>
          <w:u w:val="single" w:color="auto"/>
          <w:color w:val="auto"/>
        </w:rPr>
        <w:t>Sale and Leaseback</w:t>
      </w:r>
      <w:r>
        <w:rPr>
          <w:rFonts w:ascii="Times New Roman" w:cs="Times New Roman" w:eastAsia="Times New Roman" w:hAnsi="Times New Roman"/>
          <w:sz w:val="22"/>
          <w:szCs w:val="22"/>
          <w:color w:val="auto"/>
        </w:rPr>
        <w:t>. None of the Borrower or any of the Subsidiaries will directly or indirectly enter into any agreement or arrangement providing for the sale or transfer by it of any property (now owned or hereafter acquired) to a Person and the subsequent lease or rental of such property or other similar property from such Person.</w:t>
      </w:r>
    </w:p>
    <w:p>
      <w:pPr>
        <w:spacing w:after="0" w:line="153" w:lineRule="exact"/>
        <w:rPr>
          <w:sz w:val="20"/>
          <w:szCs w:val="20"/>
          <w:color w:val="auto"/>
        </w:rPr>
      </w:pPr>
    </w:p>
    <w:p>
      <w:pPr>
        <w:ind w:right="24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8.13 </w:t>
      </w:r>
      <w:r>
        <w:rPr>
          <w:rFonts w:ascii="Times New Roman" w:cs="Times New Roman" w:eastAsia="Times New Roman" w:hAnsi="Times New Roman"/>
          <w:sz w:val="22"/>
          <w:szCs w:val="22"/>
          <w:u w:val="single" w:color="auto"/>
          <w:color w:val="auto"/>
        </w:rPr>
        <w:t>Material Product Agreements</w:t>
      </w:r>
      <w:r>
        <w:rPr>
          <w:rFonts w:ascii="Times New Roman" w:cs="Times New Roman" w:eastAsia="Times New Roman" w:hAnsi="Times New Roman"/>
          <w:sz w:val="22"/>
          <w:szCs w:val="22"/>
          <w:color w:val="auto"/>
        </w:rPr>
        <w:t>. None of the Borrower or any of the Subsidiaries will enter into any amendment with respect to any existing Material Product Agreement or enter into any new Material Product Agreement that contains (a) any provision that permits any counterparty other than the Borrower or any of the Subsidiaries to terminate such Material Product Agreement for any reason related to the change of control of the Borrower or any of the Subsidiaries or assignment of such Material Product Agreement by the Borrower or any of the Subsidiaries unless such Material Product Agreement exempts from such provision, or otherwise does not apply to, a change of control or foreclosure by a lender against Borrower or any of the Subsidiaries or (b) any provision which restricts or penalizes a security interest in, or the assignment of, any Material Product Agreements, upon the sale, merger or other Disposition of all or a material portion of a Product to which such Material Product Agreement relates.</w:t>
      </w:r>
    </w:p>
    <w:p>
      <w:pPr>
        <w:spacing w:after="0" w:line="158" w:lineRule="exact"/>
        <w:rPr>
          <w:sz w:val="20"/>
          <w:szCs w:val="20"/>
          <w:color w:val="auto"/>
        </w:rPr>
      </w:pPr>
    </w:p>
    <w:p>
      <w:pPr>
        <w:ind w:right="10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8.14 </w:t>
      </w:r>
      <w:r>
        <w:rPr>
          <w:rFonts w:ascii="Times New Roman" w:cs="Times New Roman" w:eastAsia="Times New Roman" w:hAnsi="Times New Roman"/>
          <w:sz w:val="22"/>
          <w:szCs w:val="22"/>
          <w:u w:val="single" w:color="auto"/>
          <w:color w:val="auto"/>
        </w:rPr>
        <w:t>Change in Name, Location, Executive Office or Executive Management; Change in Fiscal Year</w:t>
      </w:r>
      <w:r>
        <w:rPr>
          <w:rFonts w:ascii="Times New Roman" w:cs="Times New Roman" w:eastAsia="Times New Roman" w:hAnsi="Times New Roman"/>
          <w:sz w:val="22"/>
          <w:szCs w:val="22"/>
          <w:color w:val="auto"/>
        </w:rPr>
        <w:t>. None of the Borrower or any of the Subsidiaries will: (a) without 20 days’ (or such shorter period as the Administrative Agent may agree in its discretion) prior written notice to the Administrative Agent, (i) change in its legal name or any trade name used to identify it in the conduct of its business or ownership of its properties, (ii) relocate its chief executive office, principal place of business or any office in which it maintains books or records relating to its business (including the establishment of any new office or facility) or (iii) change in its federal taxpayer identification number or organizational number (or equivalent);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395" w:right="339" w:bottom="1440" w:gutter="0" w:footer="0" w:header="0"/>
        </w:sectPr>
      </w:pPr>
    </w:p>
    <w:bookmarkStart w:id="86" w:name="page87"/>
    <w:bookmarkEnd w:id="86"/>
    <w:p>
      <w:pPr>
        <w:spacing w:after="0" w:line="226" w:lineRule="auto"/>
        <w:rPr>
          <w:sz w:val="20"/>
          <w:szCs w:val="20"/>
          <w:color w:val="auto"/>
        </w:rPr>
      </w:pPr>
      <w:r>
        <w:rPr>
          <w:rFonts w:ascii="Times New Roman" w:cs="Times New Roman" w:eastAsia="Times New Roman" w:hAnsi="Times New Roman"/>
          <w:sz w:val="21"/>
          <w:szCs w:val="21"/>
          <w:color w:val="auto"/>
        </w:rPr>
        <w:t>terminate the employment of or replace its chief executive officer, chief operating officer or chief financial officer without written notification to the Administrative Agent within 30 days thereafter; (c) change its jurisdiction of organization or legal structure;</w:t>
      </w:r>
    </w:p>
    <w:p>
      <w:pPr>
        <w:spacing w:after="0" w:line="1" w:lineRule="exact"/>
        <w:rPr>
          <w:sz w:val="20"/>
          <w:szCs w:val="20"/>
          <w:color w:val="auto"/>
        </w:rPr>
      </w:pPr>
    </w:p>
    <w:p>
      <w:pPr>
        <w:ind w:right="160" w:firstLine="8"/>
        <w:spacing w:after="0" w:line="218" w:lineRule="auto"/>
        <w:tabs>
          <w:tab w:leader="none" w:pos="30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its Fiscal Year or any of its Fiscal Quarters; or (e) enter into any Division/Series Transaction, or permit any of its Subsidiaries to enter into any Division/Series Transaction (it being understood that none of the provisions in this Agreement nor any other Loan Document shall be deemed to permit any Division/Series Transaction).</w:t>
      </w:r>
    </w:p>
    <w:p>
      <w:pPr>
        <w:spacing w:after="0" w:line="151"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1"/>
          <w:szCs w:val="21"/>
          <w:color w:val="auto"/>
        </w:rPr>
        <w:t xml:space="preserve">SECTION 8.15 </w:t>
      </w:r>
      <w:r>
        <w:rPr>
          <w:rFonts w:ascii="Times New Roman" w:cs="Times New Roman" w:eastAsia="Times New Roman" w:hAnsi="Times New Roman"/>
          <w:sz w:val="21"/>
          <w:szCs w:val="21"/>
          <w:u w:val="single" w:color="auto"/>
          <w:color w:val="auto"/>
        </w:rPr>
        <w:t>Benefit Plans and Agreements</w:t>
      </w:r>
      <w:r>
        <w:rPr>
          <w:rFonts w:ascii="Times New Roman" w:cs="Times New Roman" w:eastAsia="Times New Roman" w:hAnsi="Times New Roman"/>
          <w:sz w:val="21"/>
          <w:szCs w:val="21"/>
          <w:color w:val="auto"/>
        </w:rPr>
        <w:t>. Except as would not, individually or in the aggregate, reasonably be expected to result in a Material Adverse Effect, none of the Borrower or any Subsidiary will (i) become the sponsor of, incur any responsibility to contribute to or otherwise incur actual or potential liability with respect to, any Benefit Plan, (ii) allow any “employee benefit plan,” as defined in section 3(3) of ERISA, that provides retirement benefits, is sponsored by the Borrower, any Subsidiary, or any of their ERISA Affiliates and is intended to be tax qualified under section 401 of the Code to cease to be tax qualified, (iii) allow the assets of any tax qualified retirement plan sponsored by the Borrower, any Subsidiary, or any of their ERISA Affiliates to become directly invested in Capital Securities of the Borrower or any Subsidiary, (iv) allow any “employee benefit plan,” as defined in section 3(3) of ERISA, that is sponsored, maintained, contributed to or required to be contributed to by the Borrower or any Subsidiary to fail to comply in all respects with its terms and applicable Law, or (v) allow any employee benefit plan as defined in Section 3(3) of ERISA that provides medical, dental, vision, or long-term disability benefits and that is sponsored by the Borrower or any of its Subsidiaries or any of their ERISA Affiliates (or under which any of these entities has any actual or potential liability), to cease to be fully insured by a third-party insurance company.</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IX</w:t>
      </w:r>
    </w:p>
    <w:p>
      <w:pPr>
        <w:ind w:left="4540"/>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155"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Listing of Events of Default</w:t>
      </w:r>
      <w:r>
        <w:rPr>
          <w:rFonts w:ascii="Times New Roman" w:cs="Times New Roman" w:eastAsia="Times New Roman" w:hAnsi="Times New Roman"/>
          <w:sz w:val="22"/>
          <w:szCs w:val="22"/>
          <w:color w:val="auto"/>
        </w:rPr>
        <w:t xml:space="preserve">. Each of the following events or occurrences described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shall constitute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300" w:firstLine="656"/>
        <w:spacing w:after="0" w:line="225" w:lineRule="auto"/>
        <w:tabs>
          <w:tab w:leader="none" w:pos="129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 of Obligations</w:t>
      </w:r>
      <w:r>
        <w:rPr>
          <w:rFonts w:ascii="Times New Roman" w:cs="Times New Roman" w:eastAsia="Times New Roman" w:hAnsi="Times New Roman"/>
          <w:sz w:val="22"/>
          <w:szCs w:val="22"/>
          <w:color w:val="auto"/>
        </w:rPr>
        <w:t xml:space="preserve">. The Borrower shall default in the payment or prepayment when due of (i) any principal of or interest on any Loan, or (ii) any fee described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any other monetary Obligation, and in the case of clause (ii) such default shall continue unremedied for a period of three Business Days after such amount was due.</w:t>
      </w:r>
    </w:p>
    <w:p>
      <w:pPr>
        <w:spacing w:after="0" w:line="152" w:lineRule="exact"/>
        <w:rPr>
          <w:rFonts w:ascii="Times New Roman" w:cs="Times New Roman" w:eastAsia="Times New Roman" w:hAnsi="Times New Roman"/>
          <w:sz w:val="22"/>
          <w:szCs w:val="22"/>
          <w:color w:val="auto"/>
        </w:rPr>
      </w:pPr>
    </w:p>
    <w:p>
      <w:pPr>
        <w:jc w:val="both"/>
        <w:ind w:right="180" w:firstLine="656"/>
        <w:spacing w:after="0" w:line="225" w:lineRule="auto"/>
        <w:tabs>
          <w:tab w:leader="none" w:pos="129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Warranty</w:t>
      </w:r>
      <w:r>
        <w:rPr>
          <w:rFonts w:ascii="Times New Roman" w:cs="Times New Roman" w:eastAsia="Times New Roman" w:hAnsi="Times New Roman"/>
          <w:sz w:val="22"/>
          <w:szCs w:val="22"/>
          <w:color w:val="auto"/>
        </w:rPr>
        <w:t xml:space="preserve">. Any representation or warranty made or deemed to be made by any Loan Party in any Loan Document (including any certificates delivered pursuant to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is or shall be incorrect in any material respect when made or deemed to have been made.</w:t>
      </w:r>
    </w:p>
    <w:p>
      <w:pPr>
        <w:spacing w:after="0" w:line="152" w:lineRule="exact"/>
        <w:rPr>
          <w:rFonts w:ascii="Times New Roman" w:cs="Times New Roman" w:eastAsia="Times New Roman" w:hAnsi="Times New Roman"/>
          <w:sz w:val="22"/>
          <w:szCs w:val="22"/>
          <w:color w:val="auto"/>
        </w:rPr>
      </w:pPr>
    </w:p>
    <w:p>
      <w:pPr>
        <w:ind w:right="180" w:firstLine="656"/>
        <w:spacing w:after="0" w:line="236" w:lineRule="auto"/>
        <w:tabs>
          <w:tab w:leader="none" w:pos="129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Non-Performance of Certain Covenants and Obligations</w:t>
      </w:r>
      <w:r>
        <w:rPr>
          <w:rFonts w:ascii="Times New Roman" w:cs="Times New Roman" w:eastAsia="Times New Roman" w:hAnsi="Times New Roman"/>
          <w:sz w:val="22"/>
          <w:szCs w:val="22"/>
          <w:color w:val="auto"/>
        </w:rPr>
        <w:t xml:space="preserve">. Any Loan Party shall default in the due performance or observance of any of its obligations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right="200" w:firstLine="656"/>
        <w:spacing w:after="0" w:line="220" w:lineRule="auto"/>
        <w:tabs>
          <w:tab w:leader="none" w:pos="129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Non-Performance of Other Covenants and Obligations</w:t>
      </w:r>
      <w:r>
        <w:rPr>
          <w:rFonts w:ascii="Times New Roman" w:cs="Times New Roman" w:eastAsia="Times New Roman" w:hAnsi="Times New Roman"/>
          <w:sz w:val="22"/>
          <w:szCs w:val="22"/>
          <w:color w:val="auto"/>
        </w:rPr>
        <w:t>. Any Loan Party shall default in the due performance and observance of any other covenant, obligation or agreement contained in any Loan Document executed by it, and such default shall continue unremedied for a period of 30 days after the earlier to occur of (i) notice thereof given to the Borrower by the Lenders or (ii) the date on which the Borrower or any Subsidiary has knowledge of such default.</w:t>
      </w:r>
    </w:p>
    <w:p>
      <w:pPr>
        <w:spacing w:after="0" w:line="152" w:lineRule="exact"/>
        <w:rPr>
          <w:rFonts w:ascii="Times New Roman" w:cs="Times New Roman" w:eastAsia="Times New Roman" w:hAnsi="Times New Roman"/>
          <w:sz w:val="22"/>
          <w:szCs w:val="22"/>
          <w:color w:val="auto"/>
        </w:rPr>
      </w:pPr>
    </w:p>
    <w:p>
      <w:pPr>
        <w:ind w:right="340" w:firstLine="656"/>
        <w:spacing w:after="0" w:line="225" w:lineRule="auto"/>
        <w:tabs>
          <w:tab w:leader="none" w:pos="129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on Other Indebtedness</w:t>
      </w:r>
      <w:r>
        <w:rPr>
          <w:rFonts w:ascii="Times New Roman" w:cs="Times New Roman" w:eastAsia="Times New Roman" w:hAnsi="Times New Roman"/>
          <w:sz w:val="22"/>
          <w:szCs w:val="22"/>
          <w:color w:val="auto"/>
        </w:rPr>
        <w:t>. A default shall occur in the payment of any amount when due (subject to any applicable grace period), whether by acceleration or otherwise, of any principal or stated amount of, or interest or fees on, any Indebtedness of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395" w:right="339" w:bottom="1440" w:gutter="0" w:footer="0" w:header="0"/>
        </w:sectPr>
      </w:pPr>
    </w:p>
    <w:bookmarkStart w:id="87" w:name="page88"/>
    <w:bookmarkEnd w:id="87"/>
    <w:p>
      <w:pPr>
        <w:ind w:right="20"/>
        <w:spacing w:after="0" w:line="225" w:lineRule="auto"/>
        <w:rPr>
          <w:sz w:val="20"/>
          <w:szCs w:val="20"/>
          <w:color w:val="auto"/>
        </w:rPr>
      </w:pPr>
      <w:r>
        <w:rPr>
          <w:rFonts w:ascii="Times New Roman" w:cs="Times New Roman" w:eastAsia="Times New Roman" w:hAnsi="Times New Roman"/>
          <w:sz w:val="21"/>
          <w:szCs w:val="21"/>
          <w:color w:val="auto"/>
        </w:rPr>
        <w:t>any of the Subsidiaries having a principal or stated amount, individually or in the aggregate, in excess of $10,000,000, or a default shall occur in the performance or observance of any obligation or condition with respect to such Indebtedness if the effect of such default is to accelerate the maturity of any such Indebtedness or such default shall continue unremedied for any applicable period of time sufficient to permit the holder or holders of such Indebtedness, or any trustee or agent for such holders, to cause or declare such Indebtedness to become due and payable or to require such Indebtedness to be prepaid, redeemed, purchased or defeased, or require an offer to purchase or defease such Indebtedness to be made, prior to its expressed maturity.</w:t>
      </w:r>
    </w:p>
    <w:p>
      <w:pPr>
        <w:spacing w:after="0" w:line="154" w:lineRule="exact"/>
        <w:rPr>
          <w:sz w:val="20"/>
          <w:szCs w:val="20"/>
          <w:color w:val="auto"/>
        </w:rPr>
      </w:pPr>
    </w:p>
    <w:p>
      <w:pPr>
        <w:ind w:right="100" w:firstLine="656"/>
        <w:spacing w:after="0" w:line="215" w:lineRule="auto"/>
        <w:tabs>
          <w:tab w:leader="none" w:pos="12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Any final judgment or order for the payment of money individually or in the aggregate in excess of $10,000,000 (exclusive of any amounts fully covered by insurance (less any applicable deductible) and as to which the insurer has acknowledged its responsibility to cover such judgment or order) shall be rendered against the Borrower or any of the Subsidiaries and such judgment shall not have been vacated or discharged or stayed or bonded pending appeal for a period of 30 consecutive days after the entry thereof or enforcement proceedings shall have been commenced by any creditor upon such judgment or order.</w:t>
      </w:r>
    </w:p>
    <w:p>
      <w:pPr>
        <w:spacing w:after="0" w:line="152" w:lineRule="exact"/>
        <w:rPr>
          <w:rFonts w:ascii="Times New Roman" w:cs="Times New Roman" w:eastAsia="Times New Roman" w:hAnsi="Times New Roman"/>
          <w:sz w:val="22"/>
          <w:szCs w:val="22"/>
          <w:color w:val="auto"/>
        </w:rPr>
      </w:pPr>
    </w:p>
    <w:p>
      <w:pPr>
        <w:jc w:val="both"/>
        <w:ind w:right="100" w:firstLine="656"/>
        <w:spacing w:after="0" w:line="225" w:lineRule="auto"/>
        <w:tabs>
          <w:tab w:leader="none" w:pos="12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Any Change in Control shall occur, unless all Obligations (other than inchoate obligations for indemnification and reimbursement of expenses for which no claim has been asserted) are paid in full substantially concurrently with the consummation of such Change in Control.</w:t>
      </w:r>
    </w:p>
    <w:p>
      <w:pPr>
        <w:spacing w:after="0" w:line="152" w:lineRule="exact"/>
        <w:rPr>
          <w:rFonts w:ascii="Times New Roman" w:cs="Times New Roman" w:eastAsia="Times New Roman" w:hAnsi="Times New Roman"/>
          <w:sz w:val="22"/>
          <w:szCs w:val="22"/>
          <w:color w:val="auto"/>
        </w:rPr>
      </w:pPr>
    </w:p>
    <w:p>
      <w:pPr>
        <w:ind w:right="1060" w:firstLine="656"/>
        <w:spacing w:after="0" w:line="236" w:lineRule="auto"/>
        <w:tabs>
          <w:tab w:leader="none" w:pos="12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Insolvency, Etc.</w:t>
      </w:r>
      <w:r>
        <w:rPr>
          <w:rFonts w:ascii="Times New Roman" w:cs="Times New Roman" w:eastAsia="Times New Roman" w:hAnsi="Times New Roman"/>
          <w:sz w:val="22"/>
          <w:szCs w:val="22"/>
          <w:color w:val="auto"/>
        </w:rPr>
        <w:t xml:space="preserve"> The Borrower or (except as permitted pursuant to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any of the Subsidiaries shall:</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insolvent or generally fail to pay, or admit in writing its inability or unwillingness generally to pay, debts as they become due;</w:t>
      </w:r>
    </w:p>
    <w:p>
      <w:pPr>
        <w:spacing w:after="0" w:line="150" w:lineRule="exact"/>
        <w:rPr>
          <w:rFonts w:ascii="Times New Roman" w:cs="Times New Roman" w:eastAsia="Times New Roman" w:hAnsi="Times New Roman"/>
          <w:sz w:val="22"/>
          <w:szCs w:val="22"/>
          <w:color w:val="auto"/>
        </w:rPr>
      </w:pPr>
    </w:p>
    <w:p>
      <w:pPr>
        <w:ind w:left="660" w:right="60" w:firstLine="644"/>
        <w:spacing w:after="0" w:line="255" w:lineRule="auto"/>
        <w:tabs>
          <w:tab w:leader="none" w:pos="195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apply for, consent to, or acquiesce in the appointment of a trustee, receiver, sequestrator or other custodian for any substantial part of the property of any thereof, or make a general assignment for the benefit of creditors;</w:t>
      </w:r>
    </w:p>
    <w:p>
      <w:pPr>
        <w:spacing w:after="0" w:line="134" w:lineRule="exact"/>
        <w:rPr>
          <w:rFonts w:ascii="Times New Roman" w:cs="Times New Roman" w:eastAsia="Times New Roman" w:hAnsi="Times New Roman"/>
          <w:sz w:val="21"/>
          <w:szCs w:val="21"/>
          <w:color w:val="auto"/>
        </w:rPr>
      </w:pPr>
    </w:p>
    <w:p>
      <w:pPr>
        <w:ind w:left="660" w:right="40" w:firstLine="644"/>
        <w:spacing w:after="0" w:line="227" w:lineRule="auto"/>
        <w:tabs>
          <w:tab w:leader="none" w:pos="1956"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absence of such application, consent or acquiescence in or permit or suffer to exist the appointment of a trustee, receiver, sequestrator or other custodian for a substantial part of the property of any thereof, and such trustee, receiver, sequestrator or other custodian shall not be discharged within 60 days;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and each Subsidiary hereby expressly authorizes the Administrative Agent and the Lenders to appear in any court conducting any relevant proceeding during such 60-day period to preserve, protect and defend its rights under the Loan Documents;</w:t>
      </w:r>
    </w:p>
    <w:p>
      <w:pPr>
        <w:spacing w:after="0" w:line="153" w:lineRule="exact"/>
        <w:rPr>
          <w:rFonts w:ascii="Times New Roman" w:cs="Times New Roman" w:eastAsia="Times New Roman" w:hAnsi="Times New Roman"/>
          <w:sz w:val="21"/>
          <w:szCs w:val="21"/>
          <w:color w:val="auto"/>
        </w:rPr>
      </w:pPr>
    </w:p>
    <w:p>
      <w:pPr>
        <w:ind w:left="660" w:right="20" w:firstLine="644"/>
        <w:spacing w:after="0" w:line="211" w:lineRule="auto"/>
        <w:tabs>
          <w:tab w:leader="none" w:pos="194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or suffer to exist the commencement of any bankruptcy, insolvency, reorganization, debt arrangement, arrangement (including any plan of compromise or arrangement or other corporate proceeding involving or affecting its creditors) or other case or proceeding under any bankruptcy or insolvency law or any dissolution, winding up or liquidation proceeding, in respect thereof (each, an “</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xml:space="preserve">”), and, if any such case or proceeding is not commenced by the Borrower or any Subsidiary, such case or proceeding shall be consented to or acquiesced in by the Borrower or such Subsidiary, as the case may be, or shall result in the entry of an order for relief or shall remain for 60 days undismissed;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and each Subsidiary hereby expressly authorizes the Administrative Agent and the Lenders to appear in any court conducting any such case or proceeding during such 60-day period to preserve, protect and defend its rights under the Loan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00"/>
          </w:cols>
          <w:pgMar w:left="320" w:top="1395" w:right="379" w:bottom="1440" w:gutter="0" w:footer="0" w:header="0"/>
        </w:sectPr>
      </w:pPr>
    </w:p>
    <w:bookmarkStart w:id="88" w:name="page89"/>
    <w:bookmarkEnd w:id="88"/>
    <w:p>
      <w:pPr>
        <w:ind w:left="1940" w:hanging="636"/>
        <w:spacing w:after="0"/>
        <w:tabs>
          <w:tab w:leader="none" w:pos="194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authorizing, or in furtherance of, any of the foregoing.</w:t>
      </w:r>
    </w:p>
    <w:p>
      <w:pPr>
        <w:spacing w:after="0" w:line="179" w:lineRule="exact"/>
        <w:rPr>
          <w:rFonts w:ascii="Times New Roman" w:cs="Times New Roman" w:eastAsia="Times New Roman" w:hAnsi="Times New Roman"/>
          <w:sz w:val="22"/>
          <w:szCs w:val="22"/>
          <w:color w:val="auto"/>
        </w:rPr>
      </w:pPr>
    </w:p>
    <w:p>
      <w:pPr>
        <w:ind w:right="60" w:firstLine="656"/>
        <w:spacing w:after="0" w:line="215" w:lineRule="auto"/>
        <w:tabs>
          <w:tab w:leader="none" w:pos="128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Impairment of Security, Etc</w:t>
      </w:r>
      <w:r>
        <w:rPr>
          <w:rFonts w:ascii="Times New Roman" w:cs="Times New Roman" w:eastAsia="Times New Roman" w:hAnsi="Times New Roman"/>
          <w:sz w:val="22"/>
          <w:szCs w:val="22"/>
          <w:color w:val="auto"/>
        </w:rPr>
        <w:t>. Any Loan Document or any Lien granted thereunder in any portion of the Collateral of a value of $7,500,000 or more shall (except in accordance with its terms), in whole or in part, terminate, cease to be effective or cease to be the legally valid, binding and enforceable obligation of the Borrower or any Guarantor party thereto; the Borrower, any Guarantor or any other party shall, directly or indirectly, contest in any manner such effectiveness, validity, binding nature or enforceability; or, except as permitted under any Loan Document, any Lien on any portion of the Collateral of a value of $7,500,000 or more securing any Obligation shall cease to be a perfected first priority Lien.</w:t>
      </w:r>
    </w:p>
    <w:p>
      <w:pPr>
        <w:spacing w:after="0" w:line="152" w:lineRule="exact"/>
        <w:rPr>
          <w:rFonts w:ascii="Times New Roman" w:cs="Times New Roman" w:eastAsia="Times New Roman" w:hAnsi="Times New Roman"/>
          <w:sz w:val="22"/>
          <w:szCs w:val="22"/>
          <w:color w:val="auto"/>
        </w:rPr>
      </w:pPr>
    </w:p>
    <w:p>
      <w:pPr>
        <w:ind w:right="560" w:firstLine="656"/>
        <w:spacing w:after="0" w:line="255" w:lineRule="auto"/>
        <w:tabs>
          <w:tab w:leader="none" w:pos="1284"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Key Permit Events</w:t>
      </w:r>
      <w:r>
        <w:rPr>
          <w:rFonts w:ascii="Times New Roman" w:cs="Times New Roman" w:eastAsia="Times New Roman" w:hAnsi="Times New Roman"/>
          <w:sz w:val="21"/>
          <w:szCs w:val="21"/>
          <w:color w:val="auto"/>
        </w:rPr>
        <w:t>. Any Key Permit or any of the Borrower’s or any Subsidiary’s material rights or interests thereunder is terminated or amended in any manner that would reasonably be expected to have a Material Adverse Effect.</w:t>
      </w:r>
    </w:p>
    <w:p>
      <w:pPr>
        <w:spacing w:after="0" w:line="133"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Matters</w:t>
      </w:r>
      <w:r>
        <w:rPr>
          <w:rFonts w:ascii="Times New Roman" w:cs="Times New Roman" w:eastAsia="Times New Roman" w:hAnsi="Times New Roman"/>
          <w:sz w:val="21"/>
          <w:szCs w:val="21"/>
          <w:color w:val="auto"/>
        </w:rPr>
        <w:t>. If any of the following occurs: (i) the FDA, CMS, EMA or any other Governmental Authority</w:t>
      </w:r>
    </w:p>
    <w:p>
      <w:pPr>
        <w:ind w:right="40" w:firstLine="8"/>
        <w:spacing w:after="0" w:line="207" w:lineRule="auto"/>
        <w:tabs>
          <w:tab w:leader="none" w:pos="35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issues a letter or other communication asserting that any Product lacks a required Regulatory Authorization or (B) initiates enforcement action against, or issues a warning letter or takes any other action with respect to, the Borrower or any of the Subsidiaries, or any of their Products or the manufacturing facilities therefor, that in either case of (A) or (B), causes the Borrower or such Subsidiary to discontinue or suspend marketing or withdraw any of its Products, or causes a delay in the manufacture or offering of any of its Products, which discontinuance, suspension or withdrawal could reasonably be expected to last for more than ninety days and could reasonably be expected to result in liability to the Borrower and its Subsidiaries in excess of $7,500,000; (ii) a recall of a Product which could reasonably be expected to result in liability to the Borrower and its Subsidiaries in excess of $7,500,000; or (iii) the Borrower or any of the Subsidiaries enters into a settlement agreement with the FDA, CMS, EMA, any Governmental Authority responsible for the issuance of clinical laboratory licenses or certifications (including CLIA, CAP, ISO or state laboratory licenses) or any other similar Governmental Authority or Governmental Authority acting on behalf of or for the benefit of any of the foregoing, in each case, relating to the manufacturing, promotion or sale of any of its Products and that results in aggregate liability as to any single or related series of transactions, incidents or conditions in excess of $7,500,000 or, in the case of a qui tam proceeding in which the applicable Governmental Authority has declined to intervene, in excess of $10,000,000.</w:t>
      </w:r>
    </w:p>
    <w:p>
      <w:pPr>
        <w:spacing w:after="0" w:line="161" w:lineRule="exact"/>
        <w:rPr>
          <w:rFonts w:ascii="Times New Roman" w:cs="Times New Roman" w:eastAsia="Times New Roman" w:hAnsi="Times New Roman"/>
          <w:sz w:val="22"/>
          <w:szCs w:val="22"/>
          <w:color w:val="auto"/>
        </w:rPr>
      </w:pPr>
    </w:p>
    <w:p>
      <w:pPr>
        <w:ind w:right="20" w:firstLine="656"/>
        <w:spacing w:after="0" w:line="220" w:lineRule="auto"/>
        <w:tabs>
          <w:tab w:leader="none" w:pos="1284"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Sweep of Governmental Payor Accounts</w:t>
      </w:r>
      <w:r>
        <w:rPr>
          <w:rFonts w:ascii="Times New Roman" w:cs="Times New Roman" w:eastAsia="Times New Roman" w:hAnsi="Times New Roman"/>
          <w:sz w:val="22"/>
          <w:szCs w:val="22"/>
          <w:color w:val="auto"/>
        </w:rPr>
        <w:t xml:space="preserve">. The Loan Parties or any Subsidiary instructs the depository bank of any zero balance account referenced in </w:t>
      </w:r>
      <w:r>
        <w:rPr>
          <w:rFonts w:ascii="Times New Roman" w:cs="Times New Roman" w:eastAsia="Times New Roman" w:hAnsi="Times New Roman"/>
          <w:sz w:val="22"/>
          <w:szCs w:val="22"/>
          <w:u w:val="single" w:color="auto"/>
          <w:color w:val="auto"/>
        </w:rPr>
        <w:t>Section 7.13(a)(i)(E)</w:t>
      </w:r>
      <w:r>
        <w:rPr>
          <w:rFonts w:ascii="Times New Roman" w:cs="Times New Roman" w:eastAsia="Times New Roman" w:hAnsi="Times New Roman"/>
          <w:sz w:val="22"/>
          <w:szCs w:val="22"/>
          <w:color w:val="auto"/>
        </w:rPr>
        <w:t xml:space="preserve"> to discontinue the daily sweep of funds in such account into a Controlled Account, or otherwise revokes instructions under the sweep agreement governing such account regarding the daily sweep of funds into a Controlled Account.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Event of Default that has occurred shall be deemed to be continuing and in existence for all purposes under this Agreement and the other Loan Documents until it has been waived in writing by the Administrative Agent and the Lenders, notwithstanding any attempted cure or other action taken after the occurrence thereof.</w:t>
      </w:r>
    </w:p>
    <w:p>
      <w:pPr>
        <w:spacing w:after="0" w:line="159"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Action if Bankruptcy</w:t>
      </w:r>
      <w:r>
        <w:rPr>
          <w:rFonts w:ascii="Times New Roman" w:cs="Times New Roman" w:eastAsia="Times New Roman" w:hAnsi="Times New Roman"/>
          <w:sz w:val="22"/>
          <w:szCs w:val="22"/>
          <w:color w:val="auto"/>
        </w:rPr>
        <w:t xml:space="preserve">. If any Event of Default described in clauses (i) through (iv) of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 xml:space="preserve"> with respect to the Borrower shall occur, the Commitments (if not theretofore terminated) shall automatically terminate and the outstanding principal amount of the Loans and all other Obligations shall automatically be and become immediately due and payable, without notice or demand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395" w:right="339" w:bottom="1440" w:gutter="0" w:footer="0" w:header="0"/>
        </w:sectPr>
      </w:pPr>
    </w:p>
    <w:bookmarkStart w:id="89" w:name="page90"/>
    <w:bookmarkEnd w:id="89"/>
    <w:p>
      <w:pPr>
        <w:ind w:right="2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Action if Other Event of Default</w:t>
      </w:r>
      <w:r>
        <w:rPr>
          <w:rFonts w:ascii="Times New Roman" w:cs="Times New Roman" w:eastAsia="Times New Roman" w:hAnsi="Times New Roman"/>
          <w:sz w:val="22"/>
          <w:szCs w:val="22"/>
          <w:color w:val="auto"/>
        </w:rPr>
        <w:t xml:space="preserve">. If any Event of Default (other than any Event of Default described in clauses (i) through (iv) of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 shall occur for any reason, whether voluntary or involuntary, and be continuing, the Administrative Agent may, and shall at the direction of the Required Lenders, by notice to the Borrower declare all or any portion of the outstanding principal amount of the Loans and other Obligations to be due and payable and/or the Commitments (if not theretofore terminated) to be terminated, whereupon the full unpaid amount of the Loans and other Obligations which shall be so declared due and payable shall be and become immediately due and payable, without further notice, demand or presentment, and the Commitments shall terminate.</w:t>
      </w:r>
    </w:p>
    <w:p>
      <w:pPr>
        <w:spacing w:after="0" w:line="156" w:lineRule="exact"/>
        <w:rPr>
          <w:sz w:val="20"/>
          <w:szCs w:val="20"/>
          <w:color w:val="auto"/>
        </w:rPr>
      </w:pPr>
    </w:p>
    <w:p>
      <w:pPr>
        <w:jc w:val="both"/>
        <w:ind w:right="1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Application of Funds</w:t>
      </w:r>
      <w:r>
        <w:rPr>
          <w:rFonts w:ascii="Times New Roman" w:cs="Times New Roman" w:eastAsia="Times New Roman" w:hAnsi="Times New Roman"/>
          <w:sz w:val="22"/>
          <w:szCs w:val="22"/>
          <w:color w:val="auto"/>
        </w:rPr>
        <w:t xml:space="preserve">. After the exercise of remedies provided for in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(or after the Loans have automatically become immediately due and payable as set forth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any amounts received by any Lender or the Administrative Agent on account of the Obligations shall be applied in the following order:</w:t>
      </w:r>
    </w:p>
    <w:p>
      <w:pPr>
        <w:spacing w:after="0" w:line="179" w:lineRule="exact"/>
        <w:rPr>
          <w:sz w:val="20"/>
          <w:szCs w:val="20"/>
          <w:color w:val="auto"/>
        </w:rPr>
      </w:pPr>
    </w:p>
    <w:p>
      <w:pPr>
        <w:ind w:left="660" w:right="300"/>
        <w:spacing w:after="0" w:line="257" w:lineRule="auto"/>
        <w:rPr>
          <w:sz w:val="20"/>
          <w:szCs w:val="20"/>
          <w:color w:val="auto"/>
        </w:rPr>
      </w:pPr>
      <w:r>
        <w:rPr>
          <w:rFonts w:ascii="Times New Roman" w:cs="Times New Roman" w:eastAsia="Times New Roman" w:hAnsi="Times New Roman"/>
          <w:sz w:val="22"/>
          <w:szCs w:val="22"/>
          <w:color w:val="auto"/>
        </w:rPr>
        <w:t xml:space="preserve">SECTION 9.5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the Administrative Agent in its capacity as such;</w:t>
      </w:r>
    </w:p>
    <w:p>
      <w:pPr>
        <w:spacing w:after="0" w:line="186"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payment of that portion of the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ratably among them in proportion to the respective amounts described in this </w:t>
      </w:r>
      <w:r>
        <w:rPr>
          <w:rFonts w:ascii="Times New Roman" w:cs="Times New Roman" w:eastAsia="Times New Roman" w:hAnsi="Times New Roman"/>
          <w:sz w:val="22"/>
          <w:szCs w:val="22"/>
          <w:u w:val="single" w:color="auto"/>
          <w:color w:val="auto"/>
        </w:rPr>
        <w:t>clause Second</w:t>
      </w:r>
      <w:r>
        <w:rPr>
          <w:rFonts w:ascii="Times New Roman" w:cs="Times New Roman" w:eastAsia="Times New Roman" w:hAnsi="Times New Roman"/>
          <w:sz w:val="22"/>
          <w:szCs w:val="22"/>
          <w:color w:val="auto"/>
        </w:rPr>
        <w:t xml:space="preserve"> payable to them;</w:t>
      </w:r>
    </w:p>
    <w:p>
      <w:pPr>
        <w:spacing w:after="0" w:line="179" w:lineRule="exact"/>
        <w:rPr>
          <w:sz w:val="20"/>
          <w:szCs w:val="20"/>
          <w:color w:val="auto"/>
        </w:rPr>
      </w:pPr>
    </w:p>
    <w:p>
      <w:pPr>
        <w:ind w:left="660" w:right="160"/>
        <w:spacing w:after="0" w:line="263"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interest on the Loans and amounts payable under the Fee Letter, ratably among the Lenders in proportion to the respective amounts described in this </w:t>
      </w:r>
      <w:r>
        <w:rPr>
          <w:rFonts w:ascii="Times New Roman" w:cs="Times New Roman" w:eastAsia="Times New Roman" w:hAnsi="Times New Roman"/>
          <w:sz w:val="22"/>
          <w:szCs w:val="22"/>
          <w:u w:val="single" w:color="auto"/>
          <w:color w:val="auto"/>
        </w:rPr>
        <w:t>clause Third</w:t>
      </w:r>
      <w:r>
        <w:rPr>
          <w:rFonts w:ascii="Times New Roman" w:cs="Times New Roman" w:eastAsia="Times New Roman" w:hAnsi="Times New Roman"/>
          <w:sz w:val="22"/>
          <w:szCs w:val="22"/>
          <w:color w:val="auto"/>
        </w:rPr>
        <w:t xml:space="preserve"> held by them;</w:t>
      </w:r>
    </w:p>
    <w:p>
      <w:pPr>
        <w:spacing w:after="0" w:line="167" w:lineRule="exact"/>
        <w:rPr>
          <w:sz w:val="20"/>
          <w:szCs w:val="20"/>
          <w:color w:val="auto"/>
        </w:rPr>
      </w:pPr>
    </w:p>
    <w:p>
      <w:pPr>
        <w:ind w:left="660" w:right="280"/>
        <w:spacing w:after="0" w:line="257" w:lineRule="auto"/>
        <w:rPr>
          <w:sz w:val="20"/>
          <w:szCs w:val="20"/>
          <w:color w:val="auto"/>
        </w:rPr>
      </w:pPr>
      <w:r>
        <w:rPr>
          <w:rFonts w:ascii="Times New Roman" w:cs="Times New Roman" w:eastAsia="Times New Roman" w:hAnsi="Times New Roman"/>
          <w:sz w:val="22"/>
          <w:szCs w:val="22"/>
          <w:color w:val="auto"/>
        </w:rPr>
        <w:t xml:space="preserve">SECTION 9.8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that portion of the Obligations constituting accrued and unpaid principal of the Loans, ratably among the Lenders in proportion to the respective amounts described in this </w:t>
      </w:r>
      <w:r>
        <w:rPr>
          <w:rFonts w:ascii="Times New Roman" w:cs="Times New Roman" w:eastAsia="Times New Roman" w:hAnsi="Times New Roman"/>
          <w:sz w:val="22"/>
          <w:szCs w:val="22"/>
          <w:u w:val="single" w:color="auto"/>
          <w:color w:val="auto"/>
        </w:rPr>
        <w:t>clause Fourth</w:t>
      </w:r>
      <w:r>
        <w:rPr>
          <w:rFonts w:ascii="Times New Roman" w:cs="Times New Roman" w:eastAsia="Times New Roman" w:hAnsi="Times New Roman"/>
          <w:sz w:val="22"/>
          <w:szCs w:val="22"/>
          <w:color w:val="auto"/>
        </w:rPr>
        <w:t xml:space="preserve"> held by them; and</w:t>
      </w:r>
    </w:p>
    <w:p>
      <w:pPr>
        <w:spacing w:after="0" w:line="173" w:lineRule="exact"/>
        <w:rPr>
          <w:sz w:val="20"/>
          <w:szCs w:val="20"/>
          <w:color w:val="auto"/>
        </w:rPr>
      </w:pPr>
    </w:p>
    <w:p>
      <w:pPr>
        <w:ind w:left="660" w:right="400"/>
        <w:spacing w:after="0" w:line="284"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paid in full, to the Borrower or as otherwise required by law.</w:t>
      </w:r>
    </w:p>
    <w:p>
      <w:pPr>
        <w:spacing w:after="0" w:line="1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w:t>
      </w:r>
    </w:p>
    <w:p>
      <w:pPr>
        <w:ind w:left="4060"/>
        <w:spacing w:after="0"/>
        <w:rPr>
          <w:sz w:val="20"/>
          <w:szCs w:val="20"/>
          <w:color w:val="auto"/>
        </w:rPr>
      </w:pPr>
      <w:r>
        <w:rPr>
          <w:rFonts w:ascii="Times New Roman" w:cs="Times New Roman" w:eastAsia="Times New Roman" w:hAnsi="Times New Roman"/>
          <w:sz w:val="22"/>
          <w:szCs w:val="22"/>
          <w:color w:val="auto"/>
        </w:rPr>
        <w:t>MISCELLANEOUS PROVISIONS</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Waivers, Amendments, Etc</w:t>
      </w:r>
      <w:r>
        <w:rPr>
          <w:rFonts w:ascii="Times New Roman" w:cs="Times New Roman" w:eastAsia="Times New Roman" w:hAnsi="Times New Roman"/>
          <w:sz w:val="22"/>
          <w:szCs w:val="22"/>
          <w:color w:val="auto"/>
        </w:rPr>
        <w:t xml:space="preserve">. No amendment or waiver of any provision of this Agreement or any other Loan Document, and no consent to any departure by the Borrower or any Guarantor therefrom, shall be effective unless in writing signed by the Administrative Agent, the Required Lenders and by the Borrower or the applicable Guarantor, as the case may be, and each such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w:t>
      </w:r>
    </w:p>
    <w:p>
      <w:pPr>
        <w:spacing w:after="0" w:line="152"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amendment, waiver or consent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395" w:right="339" w:bottom="1440" w:gutter="0" w:footer="0" w:header="0"/>
        </w:sectPr>
      </w:pPr>
    </w:p>
    <w:bookmarkStart w:id="90" w:name="page91"/>
    <w:bookmarkEnd w:id="90"/>
    <w:p>
      <w:pPr>
        <w:jc w:val="both"/>
        <w:ind w:left="660" w:right="520" w:firstLine="644"/>
        <w:spacing w:after="0" w:line="231" w:lineRule="auto"/>
        <w:tabs>
          <w:tab w:leader="none" w:pos="1944"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extend or increase the Commitment of a Lender (or reinstate any Commitment terminated pursuant to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without the written consent of such Lender whose Commitment is being extended or increased (it being understood and agreed that a waiver of any condition precedent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or a waiver of any Default or a mandatory reduction in Commitments is not considered an extension or increase in Commitments of any Lender);</w:t>
      </w:r>
    </w:p>
    <w:p>
      <w:pPr>
        <w:spacing w:after="0" w:line="150" w:lineRule="exact"/>
        <w:rPr>
          <w:rFonts w:ascii="Times New Roman" w:cs="Times New Roman" w:eastAsia="Times New Roman" w:hAnsi="Times New Roman"/>
          <w:sz w:val="21"/>
          <w:szCs w:val="21"/>
          <w:color w:val="auto"/>
        </w:rPr>
      </w:pPr>
    </w:p>
    <w:p>
      <w:pPr>
        <w:ind w:left="660" w:right="160" w:firstLine="644"/>
        <w:spacing w:after="0" w:line="220" w:lineRule="auto"/>
        <w:tabs>
          <w:tab w:leader="none" w:pos="195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or any other Loan Document for any payment of principal (excluding mandatory prepayments), interest, Repayment Premiums, fees or other amounts due to the Lenders (or any of them) without the written consent of each Lender entitled to receive such payment (it being understood that a waiver of any Default or Event of Default shall not constitute such a postponement);</w:t>
      </w:r>
    </w:p>
    <w:p>
      <w:pPr>
        <w:spacing w:after="0" w:line="152" w:lineRule="exact"/>
        <w:rPr>
          <w:rFonts w:ascii="Times New Roman" w:cs="Times New Roman" w:eastAsia="Times New Roman" w:hAnsi="Times New Roman"/>
          <w:sz w:val="22"/>
          <w:szCs w:val="22"/>
          <w:color w:val="auto"/>
        </w:rPr>
      </w:pPr>
    </w:p>
    <w:p>
      <w:pPr>
        <w:ind w:left="660" w:right="60" w:firstLine="644"/>
        <w:spacing w:after="0" w:line="217" w:lineRule="auto"/>
        <w:tabs>
          <w:tab w:leader="none" w:pos="195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the rate of interest specified herein on or any Repayment Premium specified herein on any Loan, or any fees or other amounts payable hereunder or under any other Loan Document without the written consent of each Lender entitled to receive such payment of principal, interest, fees or other amounts (other than any such reduction in connection with a waiver of any Default, Event of Default, mandatory prepayment or amendment to any financial covenant);</w:t>
      </w:r>
    </w:p>
    <w:p>
      <w:pPr>
        <w:spacing w:after="0" w:line="152" w:lineRule="exact"/>
        <w:rPr>
          <w:rFonts w:ascii="Times New Roman" w:cs="Times New Roman" w:eastAsia="Times New Roman" w:hAnsi="Times New Roman"/>
          <w:sz w:val="22"/>
          <w:szCs w:val="22"/>
          <w:color w:val="auto"/>
        </w:rPr>
      </w:pPr>
    </w:p>
    <w:p>
      <w:pPr>
        <w:ind w:left="660" w:right="340" w:firstLine="644"/>
        <w:spacing w:after="0" w:line="255" w:lineRule="auto"/>
        <w:tabs>
          <w:tab w:leader="none" w:pos="1944"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(x) amend or waive any provision of </w:t>
      </w:r>
      <w:r>
        <w:rPr>
          <w:rFonts w:ascii="Times New Roman" w:cs="Times New Roman" w:eastAsia="Times New Roman" w:hAnsi="Times New Roman"/>
          <w:sz w:val="21"/>
          <w:szCs w:val="21"/>
          <w:u w:val="single" w:color="auto"/>
          <w:color w:val="auto"/>
        </w:rPr>
        <w:t>Section 9.4</w:t>
      </w:r>
      <w:r>
        <w:rPr>
          <w:rFonts w:ascii="Times New Roman" w:cs="Times New Roman" w:eastAsia="Times New Roman" w:hAnsi="Times New Roman"/>
          <w:sz w:val="21"/>
          <w:szCs w:val="21"/>
          <w:color w:val="auto"/>
        </w:rPr>
        <w:t>, or (y) amend or waive any provision providing for the pro rata treatment of the Lenders, in each case, without the written consent of each Lender directly affected thereby;</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this </w:t>
      </w:r>
      <w:r>
        <w:rPr>
          <w:rFonts w:ascii="Times New Roman" w:cs="Times New Roman" w:eastAsia="Times New Roman" w:hAnsi="Times New Roman"/>
          <w:sz w:val="22"/>
          <w:szCs w:val="22"/>
          <w:u w:val="single" w:color="auto"/>
          <w:color w:val="auto"/>
        </w:rPr>
        <w:t>Section 10.1(a)</w:t>
      </w:r>
      <w:r>
        <w:rPr>
          <w:rFonts w:ascii="Times New Roman" w:cs="Times New Roman" w:eastAsia="Times New Roman" w:hAnsi="Times New Roman"/>
          <w:sz w:val="22"/>
          <w:szCs w:val="22"/>
          <w:color w:val="auto"/>
        </w:rPr>
        <w:t xml:space="preserve"> without the written consent of all the Lenders;</w:t>
      </w:r>
    </w:p>
    <w:p>
      <w:pPr>
        <w:spacing w:after="0" w:line="179" w:lineRule="exact"/>
        <w:rPr>
          <w:rFonts w:ascii="Times New Roman" w:cs="Times New Roman" w:eastAsia="Times New Roman" w:hAnsi="Times New Roman"/>
          <w:sz w:val="22"/>
          <w:szCs w:val="22"/>
          <w:color w:val="auto"/>
        </w:rPr>
      </w:pPr>
    </w:p>
    <w:p>
      <w:pPr>
        <w:ind w:left="660" w:right="40" w:firstLine="644"/>
        <w:spacing w:after="0" w:line="220" w:lineRule="auto"/>
        <w:tabs>
          <w:tab w:leader="none" w:pos="194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to the assignment or transfer by the Borrower of any of its rights and obligations under this Agreement and the other Loan Documents, or release all or substantially all of the Collateral or release all or substantially all of the Guarantors from their obligations under the Guarantee, in each case, without the written consent of all the Lenders; or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waive or modify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hereof, without the consent of the Required Lenders; and</w:t>
      </w:r>
    </w:p>
    <w:p>
      <w:pPr>
        <w:spacing w:after="0" w:line="179" w:lineRule="exact"/>
        <w:rPr>
          <w:rFonts w:ascii="Times New Roman" w:cs="Times New Roman" w:eastAsia="Times New Roman" w:hAnsi="Times New Roman"/>
          <w:sz w:val="22"/>
          <w:szCs w:val="22"/>
          <w:color w:val="auto"/>
        </w:rPr>
      </w:pPr>
    </w:p>
    <w:p>
      <w:pPr>
        <w:ind w:right="140" w:firstLine="656"/>
        <w:spacing w:after="0" w:line="225" w:lineRule="auto"/>
        <w:tabs>
          <w:tab w:leader="none" w:pos="129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also signed by the Administrative Agent, no amendment, waiver or consent shall affect the rights, duties, benefits, privileges, protections, indemnities or immunities of the Administrative Agent under this Agreement or any other Loan Document;</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anything to the contrary herein, (i)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w:t>
      </w:r>
    </w:p>
    <w:p>
      <w:pPr>
        <w:spacing w:after="0" w:line="2" w:lineRule="exact"/>
        <w:rPr>
          <w:sz w:val="20"/>
          <w:szCs w:val="20"/>
          <w:color w:val="auto"/>
        </w:rPr>
      </w:pPr>
    </w:p>
    <w:p>
      <w:pPr>
        <w:ind w:firstLine="8"/>
        <w:spacing w:after="0" w:line="259" w:lineRule="auto"/>
        <w:tabs>
          <w:tab w:leader="none" w:pos="3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shall determine whether or not to allow the Borrower or any Guarantor to use cash collateral in the context of a bankruptcy or insolvency proceeding and such determination shall be binding on all of the Lenders.</w:t>
      </w:r>
    </w:p>
    <w:p>
      <w:pPr>
        <w:spacing w:after="0" w:line="17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Notwithstanding anything to the contrary herein, no Defaulting Lender shall have any right to approve or disapprove any amendment, waiver or consent hereunder, except (x) that the Commitments of such Lender may not be increased or extended without the consent of such Lender and (y) for any such amendment, waiver or consent that treats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39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disproportionately and adversely from the other Lenders (other than because of its status as a Defaulting Lender).</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any payments, fees or other consideration (other than reimbursements for out-of-pocket expenses) received by or on behalf of the Administrative Agent or any of the Lenders in respect of any amendment, waiver or consent under the Loan Documents shall be distributed to the Lenders on a pro rata basis.</w:t>
      </w:r>
    </w:p>
    <w:p>
      <w:pPr>
        <w:spacing w:after="0" w:line="140"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u w:val="single" w:color="auto"/>
          <w:color w:val="auto"/>
        </w:rPr>
        <w:t>Notices; Time; Inside Information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120" w:firstLine="656"/>
        <w:spacing w:after="0" w:line="212" w:lineRule="auto"/>
        <w:tabs>
          <w:tab w:leader="none" w:pos="129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notices and other communications provided under any Loan Document shall be in writing or by email and addressed, delivered or transmitted, if to the Administrative Agent, the Borrower or the Lenders, to the applicable Person at its physical address or email address set forth on </w:t>
      </w:r>
      <w:r>
        <w:rPr>
          <w:rFonts w:ascii="Times New Roman" w:cs="Times New Roman" w:eastAsia="Times New Roman" w:hAnsi="Times New Roman"/>
          <w:sz w:val="22"/>
          <w:szCs w:val="22"/>
          <w:u w:val="single" w:color="auto"/>
          <w:color w:val="auto"/>
        </w:rPr>
        <w:t>Schedule 10.2</w:t>
      </w:r>
      <w:r>
        <w:rPr>
          <w:rFonts w:ascii="Times New Roman" w:cs="Times New Roman" w:eastAsia="Times New Roman" w:hAnsi="Times New Roman"/>
          <w:sz w:val="22"/>
          <w:szCs w:val="22"/>
          <w:color w:val="auto"/>
        </w:rPr>
        <w:t xml:space="preserve"> hereto, or at such other physical address or email address as may be designated by such party in a notice to the other parties. Any notice, if mailed and properly addressed with postage prepaid or if properly addressed and sent by pre-paid courier service, shall be deemed given when received; any notice, if transmitted by email, shall be deemed given upon the earlier of (x) confirmation of receipt by the recipient and (y) the opening of business on the next Business Day for the recipient. Unless otherwise indicated, all references to the time of a day in a Loan Document shall refer to New York City time.</w:t>
      </w:r>
    </w:p>
    <w:p>
      <w:pPr>
        <w:spacing w:after="0" w:line="156" w:lineRule="exact"/>
        <w:rPr>
          <w:rFonts w:ascii="Times New Roman" w:cs="Times New Roman" w:eastAsia="Times New Roman" w:hAnsi="Times New Roman"/>
          <w:sz w:val="22"/>
          <w:szCs w:val="22"/>
          <w:color w:val="auto"/>
        </w:rPr>
      </w:pPr>
    </w:p>
    <w:p>
      <w:pPr>
        <w:ind w:firstLine="656"/>
        <w:spacing w:after="0" w:line="220" w:lineRule="auto"/>
        <w:tabs>
          <w:tab w:leader="none" w:pos="1291"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and the Lenders shall be entitled to rely and act upon any notices (including telephonic or electronic loan notices) purportedly given by or on behalf of the Borrower or any Guarantor even if (i) such notices were not made in a manner specified herein, were incomplete or were not preceded or followed by any other form of notice specified herein, or (ii) the terms thereof, as understood by the recipient, varied from any confirmation thereof. The Borrower and each Guarantor shall indemnify the Administrative Agent, each Lender and their respective the partners, directors, officers, employees, agents, trustees, administrators, managers, advisors and representatives from all losses, costs, expenses and liabilities resulting from the reliance by such Person on each notice purportedly given by or on behalf of the Borrower and each Guarantor;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Person be available to the extent that such losses, costs, expenses or liabilities are determined by a court of competent jurisdiction by final and non-appealable judgment to have resulted from the gross negligence or willful misconduct of such Person. All telephonic notices to and other telephonic communications with the Administrative Agent may be recorded by the Administrative Agent, and each of the parties hereto hereby consents to such recording.</w:t>
      </w:r>
    </w:p>
    <w:p>
      <w:pPr>
        <w:spacing w:after="0" w:line="157" w:lineRule="exact"/>
        <w:rPr>
          <w:rFonts w:ascii="Times New Roman" w:cs="Times New Roman" w:eastAsia="Times New Roman" w:hAnsi="Times New Roman"/>
          <w:sz w:val="21"/>
          <w:szCs w:val="21"/>
          <w:color w:val="auto"/>
        </w:rPr>
      </w:pPr>
    </w:p>
    <w:p>
      <w:pPr>
        <w:ind w:right="60" w:firstLine="656"/>
        <w:spacing w:after="0" w:line="210" w:lineRule="auto"/>
        <w:tabs>
          <w:tab w:leader="none" w:pos="129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Materials may be delivered pursuant to procedures approved by the Administrative Agent, including electronic delivery (if possible) upon request by the Administrative Agent to an electronic system maintained by the Administrative Agent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The Borrower shall notify the Administrative Agent of each posting of Borrower Materials on the Platform and the materials shall be deemed received by the Administrative Agent only upon its receipt of such notice. Borrower Materials and other information relating to this credit facility may be made available to Lenders on the Platform. The Platform is provided “as is” and “as available.” The Administrative Agent does not warrant the accuracy or completeness of any information on the Platform nor the adequacy or functioning of the Platform, and expressly disclaims liability for any errors or omissions in the Borrower Materials or any issues involving the Platform, except to the extent resulting from the Administrative Agent’s own gross negligence or willful misconduct as determined by a final non-appealable judgment by a court of competent jurisdiction. NO WARRANTY OF ANY KIND, EXPRESS, IMPLIED OR STATUTORY, INCLUDING ANY WARRANTY OF MERCHANTABILITY, FITNESS FOR A PARTICULAR PURPOSE, NONINFRINGEMENT OF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22" w:right="339" w:bottom="1440" w:gutter="0" w:footer="0" w:header="0"/>
        </w:sectPr>
      </w:pPr>
    </w:p>
    <w:bookmarkStart w:id="92" w:name="page93"/>
    <w:bookmarkEnd w:id="92"/>
    <w:p>
      <w:pPr>
        <w:ind w:right="60"/>
        <w:spacing w:after="0" w:line="212" w:lineRule="auto"/>
        <w:rPr>
          <w:sz w:val="20"/>
          <w:szCs w:val="20"/>
          <w:color w:val="auto"/>
        </w:rPr>
      </w:pPr>
      <w:r>
        <w:rPr>
          <w:rFonts w:ascii="Times New Roman" w:cs="Times New Roman" w:eastAsia="Times New Roman" w:hAnsi="Times New Roman"/>
          <w:sz w:val="22"/>
          <w:szCs w:val="22"/>
          <w:color w:val="auto"/>
        </w:rPr>
        <w:t>RIGHTS, OR FREEDOM FROM VIRUSES OR OTHER CODE DEFECTS, IS MADE BY ADMINISTRATIVE AGENT WITH RESPECT TO BORROWER MATERIALS OR THE PLATFORM. None of the Administrative Agent nor any of its Affiliates, partners, directors, officers, employees, agents, trustees, administrators, managers or advisors, nor any of the partners, directors, officers, employees, agents, trustees, administrators, managers or advisors of its Affiliates shall have any liability to the Loan Parties, Lenders or any other Person for losses, claims, damages, liabilities or expenses of any kind (whether in tort, contract or otherwise) relating to use by any Person of the Platform or delivery of Borrower Materials and other information through the Platform except to the extent any thereof result from the applicable Person’s own gross negligence or willful misconduct as determined by a final non appealable judgment by a court of competent jurisdiction.</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Payment of Costs and Expenses</w:t>
      </w:r>
      <w:r>
        <w:rPr>
          <w:rFonts w:ascii="Times New Roman" w:cs="Times New Roman" w:eastAsia="Times New Roman" w:hAnsi="Times New Roman"/>
          <w:sz w:val="22"/>
          <w:szCs w:val="22"/>
          <w:color w:val="auto"/>
        </w:rPr>
        <w:t>. The Borrower agrees to pay within 15 days of demand all reasonable documented expenses of the Administrative Agent and the Lenders (limited, in the case of attorneys’ fees and legal expenses, to the reasonable and documented fees and out-of-pocket expenses of Covington &amp; Burling LLP, counsel to the Administrative Agent and the Lenders, specialist counsel, if any, relating to any applicable legal subject matter who may be retained by or on behalf of the Administrative Agent and the Lenders, and of local counsel, if any, in any applicable jurisdiction who may be retained by or on behalf of the Administrative Agent and the Lenders) in connection with:</w:t>
      </w:r>
    </w:p>
    <w:p>
      <w:pPr>
        <w:spacing w:after="0" w:line="152" w:lineRule="exact"/>
        <w:rPr>
          <w:sz w:val="20"/>
          <w:szCs w:val="20"/>
          <w:color w:val="auto"/>
        </w:rPr>
      </w:pPr>
    </w:p>
    <w:p>
      <w:pPr>
        <w:jc w:val="both"/>
        <w:ind w:firstLine="656"/>
        <w:spacing w:after="0" w:line="225" w:lineRule="auto"/>
        <w:tabs>
          <w:tab w:leader="none" w:pos="129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negotiation, preparation, execution and delivery of each Loan Document, including schedules and exhibits, and any amendments, waivers, consents, supplements or other modifications to any Loan Document as may from time to time hereafter be required, whether or not the transactions contemplated hereby are consummated;</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recording of any Loan Document (including any financing statements) and all amendments, supplements, amendment and restatements and other modifications to any thereof, searches made following the Closing Date in jurisdictions where financing statements (or other documents evidencing Liens in favor of the Secured Parties) have been recorded and any and all other documents or instruments of further assurance required to be filed or recorded by the terms of any Loan Document;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preparation and review of the form of any document or instrument relevant to any Loan Document; and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legal diligence, consulting and other advice in connection with the Borrower, the Subsidiaries and any of their Related Parties.</w:t>
      </w:r>
    </w:p>
    <w:p>
      <w:pPr>
        <w:spacing w:after="0" w:line="17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apply the $100,000 expense deposit that the Borrower furnished to the Administrative Agent prior to the Closing Date to the documented fees and expenses that are payable or reimbursable in accordance with the foregoing sentence. The Borrower further agrees to pay, and to hold the Administrative Agent and each Lender harmless from all liability for, any stamp or other taxes which may be payable in connection with the execution or delivery of each Loan Document, the Loans or the issuance of the Notes. The Borrower also agrees to reimburse the Lenders upon demand for all reasonable out-of-pocket expenses (limited, in the case of attorneys’ fees and legal expenses, to reasonable fees and expenses of counsel to the Administrative Agent and the Lenders) incurred by the Administrative Agent and each Lender in connection with (x) the negotiation of any restructuring or “work-out” with the Borrower, whether or not consummated, of any Obligations and (y) the enforcement of any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395" w:right="339" w:bottom="1440" w:gutter="0" w:footer="0" w:header="0"/>
        </w:sectPr>
      </w:pPr>
    </w:p>
    <w:bookmarkStart w:id="93" w:name="page94"/>
    <w:bookmarkEnd w:id="93"/>
    <w:p>
      <w:pPr>
        <w:ind w:left="62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u w:val="single" w:color="auto"/>
          <w:color w:val="auto"/>
        </w:rPr>
        <w:t>Indemnification; Expenses; and Damage Waiver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40" w:firstLine="656"/>
        <w:spacing w:after="0" w:line="217" w:lineRule="auto"/>
        <w:tabs>
          <w:tab w:leader="none" w:pos="125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execution and delivery of this Agreement by the Lenders and the Administrative Agent, the Borrower hereby indemnifies, agrees to defend, exonerates and holds each Lender and the Administrative Agent (and any sub-agent thereof) and each of the respective partners, directors, officers, employees, agents, trustees, administrators, managers, advisors and representatives of any of the foregoing Persons (collectively, the “</w:t>
      </w:r>
      <w:r>
        <w:rPr>
          <w:rFonts w:ascii="Times New Roman" w:cs="Times New Roman" w:eastAsia="Times New Roman" w:hAnsi="Times New Roman"/>
          <w:sz w:val="21"/>
          <w:szCs w:val="21"/>
          <w:u w:val="single" w:color="auto"/>
          <w:color w:val="auto"/>
        </w:rPr>
        <w:t>Indemnified Parties</w:t>
      </w:r>
      <w:r>
        <w:rPr>
          <w:rFonts w:ascii="Times New Roman" w:cs="Times New Roman" w:eastAsia="Times New Roman" w:hAnsi="Times New Roman"/>
          <w:sz w:val="21"/>
          <w:szCs w:val="21"/>
          <w:color w:val="auto"/>
        </w:rPr>
        <w:t>”) free and harmless from and against any and all actions, causes of action, suits, losses, costs, liabilities, obligations and damages, claims and expenses incurred in connection therewith (irrespective of whether any such Indemnified Party is a party to the action for which indemnification hereunder is sought), reasonable attorneys’ and professionals’ fees and disbursements (limited, in the case of attorneys’ fees and legal expenses, to one primary external counsel to each of (x) (i) the Administrative Agent and (ii) the Required Lenders and local counsel to each of (y) (i) the Administrative Agent and (ii) the Required Lenders in each relevant jurisdiction), whether incurred in connection with actions between the parties hereto or the parties hereto and third parties (collectively, the “</w:t>
      </w:r>
      <w:r>
        <w:rPr>
          <w:rFonts w:ascii="Times New Roman" w:cs="Times New Roman" w:eastAsia="Times New Roman" w:hAnsi="Times New Roman"/>
          <w:sz w:val="21"/>
          <w:szCs w:val="21"/>
          <w:u w:val="single" w:color="auto"/>
          <w:color w:val="auto"/>
        </w:rPr>
        <w:t>Indemnified Liabilities</w:t>
      </w:r>
      <w:r>
        <w:rPr>
          <w:rFonts w:ascii="Times New Roman" w:cs="Times New Roman" w:eastAsia="Times New Roman" w:hAnsi="Times New Roman"/>
          <w:sz w:val="21"/>
          <w:szCs w:val="21"/>
          <w:color w:val="auto"/>
        </w:rPr>
        <w:t xml:space="preserve">”), arising out of or in connection with the Loan Documents, including, without limitation, Indemnified Liabilities arising out of or relating to (A) the entering into, administration, performance and enforcement of any Loan Document by any of the Indemnified Parties (including any action brought by or on behalf of the Borrower as the result of any determination by any Lender pursuant to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not to fund any Loan), and (B) any Environmental Liability;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indemnity will not, as to any Indemnified Party, apply to losses, claims, damages, liabilities or related expenses to the extent that they have resulted from (1) the willful misconduct or gross negligence of such Indemnified Party (or any of its Related Parties) (as determined by a court of competent jurisdiction in a final and non-appealable decision) or (2) or (ii) disputes solely among the Indemnified Parties that are not arising out of any act or omission by the Borrower or any Affiliate of the Borrower, other than claims against the Administrative Agent in such capacity. If and to the extent that the foregoing indemnification may be unenforceable for any reason, the Borrower agrees to make the maximum contribution to the payment and satisfaction of each of the Indemnified Liabilities which is permissible under applicable Law. This </w:t>
      </w:r>
      <w:r>
        <w:rPr>
          <w:rFonts w:ascii="Times New Roman" w:cs="Times New Roman" w:eastAsia="Times New Roman" w:hAnsi="Times New Roman"/>
          <w:sz w:val="21"/>
          <w:szCs w:val="21"/>
          <w:u w:val="single" w:color="auto"/>
          <w:color w:val="auto"/>
        </w:rPr>
        <w:t>Section 10.4(a)</w:t>
      </w:r>
      <w:r>
        <w:rPr>
          <w:rFonts w:ascii="Times New Roman" w:cs="Times New Roman" w:eastAsia="Times New Roman" w:hAnsi="Times New Roman"/>
          <w:sz w:val="21"/>
          <w:szCs w:val="21"/>
          <w:color w:val="auto"/>
        </w:rPr>
        <w:t xml:space="preserve"> shall not apply with respect to Taxes other than any Taxes that represent losses, claims and damages arising from any non-Tax claim.</w:t>
      </w:r>
    </w:p>
    <w:p>
      <w:pPr>
        <w:spacing w:after="0" w:line="164" w:lineRule="exact"/>
        <w:rPr>
          <w:rFonts w:ascii="Times New Roman" w:cs="Times New Roman" w:eastAsia="Times New Roman" w:hAnsi="Times New Roman"/>
          <w:sz w:val="21"/>
          <w:szCs w:val="21"/>
          <w:color w:val="auto"/>
        </w:rPr>
      </w:pPr>
    </w:p>
    <w:p>
      <w:pPr>
        <w:ind w:left="1260" w:hanging="644"/>
        <w:spacing w:after="0"/>
        <w:tabs>
          <w:tab w:leader="none" w:pos="12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0" w:firstLine="656"/>
        <w:spacing w:after="0" w:line="209" w:lineRule="auto"/>
        <w:tabs>
          <w:tab w:leader="none" w:pos="125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by Lenders</w:t>
      </w:r>
      <w:r>
        <w:rPr>
          <w:rFonts w:ascii="Times New Roman" w:cs="Times New Roman" w:eastAsia="Times New Roman" w:hAnsi="Times New Roman"/>
          <w:sz w:val="22"/>
          <w:szCs w:val="22"/>
          <w:color w:val="auto"/>
        </w:rPr>
        <w:t xml:space="preserve">. To the extent that the Borrower and the Guarantors for any reason fail to pay any amount required </w:t>
      </w:r>
      <w:r>
        <w:rPr>
          <w:rFonts w:ascii="Times New Roman" w:cs="Times New Roman" w:eastAsia="Times New Roman" w:hAnsi="Times New Roman"/>
          <w:sz w:val="22"/>
          <w:szCs w:val="22"/>
          <w:u w:val="single" w:color="auto"/>
          <w:color w:val="auto"/>
        </w:rPr>
        <w:t>under subsection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to be paid by them to the Administrative Agent (or any sub-agent thereof) or any of their respective partners, directors, officers, employees, agents, trustees, administrators, managers, advisors and representatives, each Lender severally agrees to pay to the Administrative Agent (or any such sub-agent) or such partners, directors, officers, employees, agents, trustees, administrators, managers, advisors and representatives of such Person,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Percentages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unreimbursed expense or indemnified loss, claim, damage, liability or related expense, as the case may be, was incurred by or asserted against the Administrative Agent (or any such sub-agent), or against any of their respective partners, directors, officers, employees, agents, trustees, administrators, managers, advisors and representatives acting for the Administrative Agent (or any such sub-agent) in connection with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80"/>
          </w:cols>
          <w:pgMar w:left="360" w:top="1395" w:right="359" w:bottom="1440" w:gutter="0" w:footer="0" w:header="0"/>
        </w:sectPr>
      </w:pPr>
    </w:p>
    <w:bookmarkStart w:id="94" w:name="page95"/>
    <w:bookmarkEnd w:id="94"/>
    <w:p>
      <w:pPr>
        <w:ind w:right="40" w:firstLine="656"/>
        <w:spacing w:after="0" w:line="211" w:lineRule="auto"/>
        <w:tabs>
          <w:tab w:leader="none" w:pos="129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xml:space="preserve"> To the fullest extent permitted by applicable Law, no Party hereto shall assert, and each Party hereto hereby waives, and acknowledges that no other Person shall have, any claim against any Indemnified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Indemnified Party referred to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xml:space="preserve">. All amounts due under this </w:t>
      </w:r>
      <w:r>
        <w:rPr>
          <w:rFonts w:ascii="Times New Roman" w:cs="Times New Roman" w:eastAsia="Times New Roman" w:hAnsi="Times New Roman"/>
          <w:sz w:val="21"/>
          <w:szCs w:val="21"/>
          <w:u w:val="single" w:color="auto"/>
          <w:color w:val="auto"/>
        </w:rPr>
        <w:t>Section 10.4</w:t>
      </w:r>
      <w:r>
        <w:rPr>
          <w:rFonts w:ascii="Times New Roman" w:cs="Times New Roman" w:eastAsia="Times New Roman" w:hAnsi="Times New Roman"/>
          <w:sz w:val="21"/>
          <w:szCs w:val="21"/>
          <w:color w:val="auto"/>
        </w:rPr>
        <w:t xml:space="preserve"> shall be payable not later than ten Business Days after demand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therefor.</w:t>
      </w:r>
    </w:p>
    <w:p>
      <w:pPr>
        <w:spacing w:after="0" w:line="155"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obligations of the Borrower under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shall in each case survive any assignment by any Lender and the occurrence of the Termination Date. The agreements in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and the indemnity provisions of </w:t>
      </w:r>
      <w:r>
        <w:rPr>
          <w:rFonts w:ascii="Times New Roman" w:cs="Times New Roman" w:eastAsia="Times New Roman" w:hAnsi="Times New Roman"/>
          <w:sz w:val="22"/>
          <w:szCs w:val="22"/>
          <w:u w:val="single" w:color="auto"/>
          <w:color w:val="auto"/>
        </w:rPr>
        <w:t>Section 10.4(c)</w:t>
      </w:r>
      <w:r>
        <w:rPr>
          <w:rFonts w:ascii="Times New Roman" w:cs="Times New Roman" w:eastAsia="Times New Roman" w:hAnsi="Times New Roman"/>
          <w:sz w:val="22"/>
          <w:szCs w:val="22"/>
          <w:color w:val="auto"/>
        </w:rPr>
        <w:t xml:space="preserve"> shall survive the resignation or replacement of the Administrative Agent, any assignment by any Lender, the termination of the Commitments and the repayment, satisfaction or discharge of all the other Obligations. All representations and warranties made by the Borrower or any Guarantor hereunder and in each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w:t>
      </w:r>
    </w:p>
    <w:p>
      <w:pPr>
        <w:spacing w:after="0" w:line="157"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any Loan Document which is prohibited or unenforceable in any jurisdiction shall, as to such provision and such jurisdiction, be ineffective only to the extent of such prohibition or unenforceability without invalidating the remaining provisions of such Loan Document affecting the validity or enforceability of such provision in any other jurisdiction.</w:t>
      </w:r>
    </w:p>
    <w:p>
      <w:pPr>
        <w:spacing w:after="0" w:line="15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various headings of each Loan Document are inserted for convenience only and shall not affect the meaning or interpretation of such Loan Document or any provisions thereof.</w:t>
      </w:r>
    </w:p>
    <w:p>
      <w:pPr>
        <w:spacing w:after="0" w:line="150" w:lineRule="exact"/>
        <w:rPr>
          <w:sz w:val="20"/>
          <w:szCs w:val="20"/>
          <w:color w:val="auto"/>
        </w:rPr>
      </w:pPr>
    </w:p>
    <w:p>
      <w:pPr>
        <w:ind w:right="22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Execution in Counterparts, Effectiveness, Etc</w:t>
      </w:r>
      <w:r>
        <w:rPr>
          <w:rFonts w:ascii="Times New Roman" w:cs="Times New Roman" w:eastAsia="Times New Roman" w:hAnsi="Times New Roman"/>
          <w:sz w:val="22"/>
          <w:szCs w:val="22"/>
          <w:color w:val="auto"/>
        </w:rPr>
        <w:t>. This Agreement may be executed by the parties hereto in several counterparts, each of which shall be an original and all of which shall constitute together but one and the same agreement. This Agreement shall become effective when counterparts hereof executed on behalf of the Borrower and the Lenders, shall have been received by the Administrative Agent. Delivery of an executed counterpart of a signature page to this Agreement by email (e.g., “pdf” or “tiff”) or telecopy shall be effective as delivery of a manually executed counterpart of this Agreement.</w:t>
      </w:r>
    </w:p>
    <w:p>
      <w:pPr>
        <w:spacing w:after="0" w:line="152" w:lineRule="exact"/>
        <w:rPr>
          <w:sz w:val="20"/>
          <w:szCs w:val="20"/>
          <w:color w:val="auto"/>
        </w:rPr>
      </w:pPr>
    </w:p>
    <w:p>
      <w:pPr>
        <w:ind w:right="24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Governing Law; Entire Agreement</w:t>
      </w:r>
      <w:r>
        <w:rPr>
          <w:rFonts w:ascii="Times New Roman" w:cs="Times New Roman" w:eastAsia="Times New Roman" w:hAnsi="Times New Roman"/>
          <w:sz w:val="22"/>
          <w:szCs w:val="22"/>
          <w:color w:val="auto"/>
        </w:rPr>
        <w:t>. EACH LOAN DOCUMENT AND ANY CLAIMS, CONTROVERSY, DISPUTE OR CAUSE OF ACTION (WHETHER IN CONTRACT OR TORT OR OTHERWISE) BASED UPON, ARISING OUT OF OR RELATING TO THIS AGREEMENT OR ANY OTHER LOAN DOCUMENT CONTEMPLATED HEREBY AND THEREBY SHALL BE GOVERNED 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395" w:right="339" w:bottom="1440" w:gutter="0" w:footer="0" w:header="0"/>
        </w:sectPr>
      </w:pPr>
    </w:p>
    <w:bookmarkStart w:id="95" w:name="page96"/>
    <w:bookmarkEnd w:id="95"/>
    <w:p>
      <w:pPr>
        <w:ind w:right="340"/>
        <w:spacing w:after="0" w:line="220" w:lineRule="auto"/>
        <w:rPr>
          <w:sz w:val="20"/>
          <w:szCs w:val="20"/>
          <w:color w:val="auto"/>
        </w:rPr>
      </w:pPr>
      <w:r>
        <w:rPr>
          <w:rFonts w:ascii="Times New Roman" w:cs="Times New Roman" w:eastAsia="Times New Roman" w:hAnsi="Times New Roman"/>
          <w:sz w:val="22"/>
          <w:szCs w:val="22"/>
          <w:color w:val="auto"/>
        </w:rPr>
        <w:t>CONSTRUED IN ACCORDANCE WITH, THE INTERNAL LAWS OF THE STATE OF NEW YORK (INCLUDING FOR SUCH PURPOSE SECTIONS 5-1401 AND 5-1402 OF THE GENERAL OBLIGATIONS LAW OF THE STATE OF NEW YORK). The Loan Documents constitute the entire understanding among the parties hereto with respect to the subject matter thereof and supersede any prior agreements, written or oral, with respect thereto.</w:t>
      </w:r>
    </w:p>
    <w:p>
      <w:pPr>
        <w:spacing w:after="0" w:line="152"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10.10</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656"/>
        <w:spacing w:after="0" w:line="209" w:lineRule="auto"/>
        <w:tabs>
          <w:tab w:leader="none" w:pos="129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Generally</w:t>
      </w:r>
      <w:r>
        <w:rPr>
          <w:rFonts w:ascii="Times New Roman" w:cs="Times New Roman" w:eastAsia="Times New Roman" w:hAnsi="Times New Roman"/>
          <w:sz w:val="22"/>
          <w:szCs w:val="22"/>
          <w:color w:val="auto"/>
        </w:rPr>
        <w:t xml:space="preserve">.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Eligible Assignee in accordance with the provisions of </w:t>
      </w:r>
      <w:r>
        <w:rPr>
          <w:rFonts w:ascii="Times New Roman" w:cs="Times New Roman" w:eastAsia="Times New Roman" w:hAnsi="Times New Roman"/>
          <w:sz w:val="22"/>
          <w:szCs w:val="22"/>
          <w:u w:val="single" w:color="auto"/>
          <w:color w:val="auto"/>
        </w:rPr>
        <w:t>Section 10.10(b)</w:t>
      </w:r>
      <w:r>
        <w:rPr>
          <w:rFonts w:ascii="Times New Roman" w:cs="Times New Roman" w:eastAsia="Times New Roman" w:hAnsi="Times New Roman"/>
          <w:sz w:val="22"/>
          <w:szCs w:val="22"/>
          <w:color w:val="auto"/>
        </w:rPr>
        <w:t xml:space="preserve">, or (ii) by way of pledge or assignment of a security interest subject to the restrictions of </w:t>
      </w:r>
      <w:r>
        <w:rPr>
          <w:rFonts w:ascii="Times New Roman" w:cs="Times New Roman" w:eastAsia="Times New Roman" w:hAnsi="Times New Roman"/>
          <w:sz w:val="22"/>
          <w:szCs w:val="22"/>
          <w:u w:val="single" w:color="auto"/>
          <w:color w:val="auto"/>
        </w:rPr>
        <w:t>Section 10.10(d)</w:t>
      </w:r>
      <w:r>
        <w:rPr>
          <w:rFonts w:ascii="Times New Roman" w:cs="Times New Roman" w:eastAsia="Times New Roman" w:hAnsi="Times New Roman"/>
          <w:sz w:val="22"/>
          <w:szCs w:val="22"/>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and, to the extent expressly contemplated hereby, the partners, directors, officers, employees, agents, trustees, administrators, managers, advisors and representatives of each of the Administrative Agent and the Lenders) any legal or equitable right, remedy or claim under or by reason of this Agreement. No assignment or transfer of any Commitment or Loan shall be effective until receipt and acceptance into the Register by the Administrative Agent of a fully executed Assignment and Assumption effecting the assignment or transfer thereof, together with the required forms and certificates regarding tax matters and any fees payable in connection with such assignment, in each case, as provided in </w:t>
      </w:r>
      <w:r>
        <w:rPr>
          <w:rFonts w:ascii="Times New Roman" w:cs="Times New Roman" w:eastAsia="Times New Roman" w:hAnsi="Times New Roman"/>
          <w:sz w:val="22"/>
          <w:szCs w:val="22"/>
          <w:u w:val="single" w:color="auto"/>
          <w:color w:val="auto"/>
        </w:rPr>
        <w:t>Section 10.10(b)</w:t>
      </w:r>
      <w:r>
        <w:rPr>
          <w:rFonts w:ascii="Times New Roman" w:cs="Times New Roman" w:eastAsia="Times New Roman" w:hAnsi="Times New Roman"/>
          <w:sz w:val="22"/>
          <w:szCs w:val="22"/>
          <w:color w:val="auto"/>
        </w:rPr>
        <w:t>. The date of such assignment shall be referred to herein as the “</w:t>
      </w:r>
      <w:r>
        <w:rPr>
          <w:rFonts w:ascii="Times New Roman" w:cs="Times New Roman" w:eastAsia="Times New Roman" w:hAnsi="Times New Roman"/>
          <w:sz w:val="22"/>
          <w:szCs w:val="22"/>
          <w:u w:val="single" w:color="auto"/>
          <w:color w:val="auto"/>
        </w:rPr>
        <w:t>Assignment Effective Date</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right="60" w:firstLine="656"/>
        <w:spacing w:after="0" w:line="236" w:lineRule="auto"/>
        <w:tabs>
          <w:tab w:leader="none" w:pos="1291"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Assignments by Lenders</w:t>
      </w:r>
      <w:r>
        <w:rPr>
          <w:rFonts w:ascii="Times New Roman" w:cs="Times New Roman" w:eastAsia="Times New Roman" w:hAnsi="Times New Roman"/>
          <w:sz w:val="21"/>
          <w:szCs w:val="21"/>
          <w:color w:val="auto"/>
        </w:rPr>
        <w:t xml:space="preserve">. Any Lender may at any time assign to one or more Eligible Assignees all or a portion of its rights and obligations under this Agreement and the other Loan Documents (including all or a portion of its Commitment and the Loans at the time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assignment shall be subject to the following conditions:</w:t>
      </w:r>
    </w:p>
    <w:p>
      <w:pPr>
        <w:spacing w:after="0" w:line="151"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300" w:firstLine="652"/>
        <w:spacing w:after="0" w:line="231" w:lineRule="auto"/>
        <w:tabs>
          <w:tab w:leader="none" w:pos="2591"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 assignment of the entire remaining amount of the assigning Lender’s Commitment and/or the Loans at the time owing to it or contemporaneous assignments to related Approved Funds that equal at least the amount specified in </w:t>
      </w:r>
      <w:r>
        <w:rPr>
          <w:rFonts w:ascii="Times New Roman" w:cs="Times New Roman" w:eastAsia="Times New Roman" w:hAnsi="Times New Roman"/>
          <w:sz w:val="21"/>
          <w:szCs w:val="21"/>
          <w:u w:val="single" w:color="auto"/>
          <w:color w:val="auto"/>
        </w:rPr>
        <w:t>Section 10.10(b)(i)(2)</w:t>
      </w:r>
      <w:r>
        <w:rPr>
          <w:rFonts w:ascii="Times New Roman" w:cs="Times New Roman" w:eastAsia="Times New Roman" w:hAnsi="Times New Roman"/>
          <w:sz w:val="21"/>
          <w:szCs w:val="21"/>
          <w:color w:val="auto"/>
        </w:rPr>
        <w:t xml:space="preserve"> in the aggregate or in the case of an assignment to a Lender, an Affiliate of a Lender or an Approved Fund, no minimum amount need be assigned; and</w:t>
      </w:r>
    </w:p>
    <w:p>
      <w:pPr>
        <w:spacing w:after="0" w:line="150" w:lineRule="exact"/>
        <w:rPr>
          <w:rFonts w:ascii="Times New Roman" w:cs="Times New Roman" w:eastAsia="Times New Roman" w:hAnsi="Times New Roman"/>
          <w:sz w:val="21"/>
          <w:szCs w:val="21"/>
          <w:color w:val="auto"/>
        </w:rPr>
      </w:pPr>
    </w:p>
    <w:p>
      <w:pPr>
        <w:ind w:left="1300" w:right="20" w:firstLine="652"/>
        <w:spacing w:after="0" w:line="212" w:lineRule="auto"/>
        <w:tabs>
          <w:tab w:leader="none" w:pos="2591"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any case not described in </w:t>
      </w:r>
      <w:r>
        <w:rPr>
          <w:rFonts w:ascii="Times New Roman" w:cs="Times New Roman" w:eastAsia="Times New Roman" w:hAnsi="Times New Roman"/>
          <w:sz w:val="22"/>
          <w:szCs w:val="22"/>
          <w:u w:val="single" w:color="auto"/>
          <w:color w:val="auto"/>
        </w:rPr>
        <w:t>Section 10.10(b)(i)(1)</w:t>
      </w:r>
      <w:r>
        <w:rPr>
          <w:rFonts w:ascii="Times New Roman" w:cs="Times New Roman" w:eastAsia="Times New Roman" w:hAnsi="Times New Roman"/>
          <w:sz w:val="22"/>
          <w:szCs w:val="22"/>
          <w:color w:val="auto"/>
        </w:rPr>
        <w:t>, the aggregate amount of the Commitment (which for this purpose includes applicable Loans outstanding thereunder) or, if the applicable Commitment is not then in effect, the principal outstanding balance of the applicable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20"/>
          </w:cols>
          <w:pgMar w:left="320" w:top="1395" w:right="359" w:bottom="1440" w:gutter="0" w:footer="0" w:header="0"/>
        </w:sectPr>
      </w:pPr>
    </w:p>
    <w:bookmarkStart w:id="96" w:name="page97"/>
    <w:bookmarkEnd w:id="96"/>
    <w:p>
      <w:pPr>
        <w:ind w:left="640" w:right="100" w:firstLine="644"/>
        <w:spacing w:after="0" w:line="225" w:lineRule="auto"/>
        <w:tabs>
          <w:tab w:leader="none" w:pos="193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of the assigning Lender’s rights and obligations under this Agreement with respect to the Loans or the Commitment assigned;</w:t>
      </w:r>
    </w:p>
    <w:p>
      <w:pPr>
        <w:spacing w:after="0" w:line="139"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Consent shall be required for any assignment to the extent required by </w:t>
      </w:r>
      <w:r>
        <w:rPr>
          <w:rFonts w:ascii="Times New Roman" w:cs="Times New Roman" w:eastAsia="Times New Roman" w:hAnsi="Times New Roman"/>
          <w:sz w:val="22"/>
          <w:szCs w:val="22"/>
          <w:u w:val="single" w:color="auto"/>
          <w:color w:val="auto"/>
        </w:rPr>
        <w:t>Section</w:t>
      </w:r>
    </w:p>
    <w:p>
      <w:pPr>
        <w:ind w:left="640" w:right="20"/>
        <w:spacing w:after="0" w:line="212" w:lineRule="auto"/>
        <w:rPr>
          <w:sz w:val="20"/>
          <w:szCs w:val="20"/>
          <w:color w:val="auto"/>
        </w:rPr>
      </w:pPr>
      <w:r>
        <w:rPr>
          <w:rFonts w:ascii="Times New Roman" w:cs="Times New Roman" w:eastAsia="Times New Roman" w:hAnsi="Times New Roman"/>
          <w:sz w:val="22"/>
          <w:szCs w:val="22"/>
          <w:u w:val="single" w:color="auto"/>
          <w:color w:val="auto"/>
        </w:rPr>
        <w:t>10.10(b)(i)(2)</w:t>
      </w:r>
      <w:r>
        <w:rPr>
          <w:rFonts w:ascii="Times New Roman" w:cs="Times New Roman" w:eastAsia="Times New Roman" w:hAnsi="Times New Roman"/>
          <w:sz w:val="22"/>
          <w:szCs w:val="22"/>
          <w:color w:val="auto"/>
        </w:rPr>
        <w:t xml:space="preserve"> and, in addition, the consent of (1) the Administrative Agent and the Required Lenders (such consent not to be unreasonably withheld or delayed) shall be required for assignments to a Person that is not a Lender, an Affiliate of a Lender or an Approved Fund and (2) the Borrower (such consent not to be unreasonably withheld or delayed) shall be required for assignments to a Person that is not a Lender, an Affiliate of a Lender or an Approved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Borrower shall be required if an Event of Default has occurred is continuing;</w:t>
      </w:r>
    </w:p>
    <w:p>
      <w:pPr>
        <w:spacing w:after="0" w:line="155" w:lineRule="exact"/>
        <w:rPr>
          <w:sz w:val="20"/>
          <w:szCs w:val="20"/>
          <w:color w:val="auto"/>
        </w:rPr>
      </w:pPr>
    </w:p>
    <w:p>
      <w:pPr>
        <w:ind w:left="640" w:firstLine="644"/>
        <w:spacing w:after="0" w:line="211" w:lineRule="auto"/>
        <w:tabs>
          <w:tab w:leader="none" w:pos="192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Assignments and assumptions of Loans and Commitments by Lenders shall be effected by manual execution and delivery to the Administrative Agent of an Assignment and Assumption. Assignments made pursuant to the foregoing provision shall be effective as of the Assignment Effective Date, subject to acceptance and recording thereof in the Register by the Administrative Agent pursuant to </w:t>
      </w:r>
      <w:r>
        <w:rPr>
          <w:rFonts w:ascii="Times New Roman" w:cs="Times New Roman" w:eastAsia="Times New Roman" w:hAnsi="Times New Roman"/>
          <w:sz w:val="22"/>
          <w:szCs w:val="22"/>
          <w:u w:val="single" w:color="auto"/>
          <w:color w:val="auto"/>
        </w:rPr>
        <w:t>Section 10.10(c)</w:t>
      </w:r>
      <w:r>
        <w:rPr>
          <w:rFonts w:ascii="Times New Roman" w:cs="Times New Roman" w:eastAsia="Times New Roman" w:hAnsi="Times New Roman"/>
          <w:sz w:val="22"/>
          <w:szCs w:val="22"/>
          <w:color w:val="auto"/>
        </w:rPr>
        <w:t xml:space="preserve">. In connection with all assignments there shall be delivered to the Administrative Agent such forms, certificates or other evidence, if any, with respect to United States federal income tax withholding matters as the assignee under such Assignment and Assumption may be required to deliver pursuant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together with payment to the Administrative Agent of a registration and processing fee of $3,500, which may be waived or reduced at the sole discretion of the Administrative Agent.</w:t>
      </w:r>
    </w:p>
    <w:p>
      <w:pPr>
        <w:spacing w:after="0" w:line="158" w:lineRule="exact"/>
        <w:rPr>
          <w:rFonts w:ascii="Times New Roman" w:cs="Times New Roman" w:eastAsia="Times New Roman" w:hAnsi="Times New Roman"/>
          <w:sz w:val="22"/>
          <w:szCs w:val="22"/>
          <w:color w:val="auto"/>
        </w:rPr>
      </w:pPr>
    </w:p>
    <w:p>
      <w:pPr>
        <w:ind w:left="640" w:right="20" w:firstLine="644"/>
        <w:spacing w:after="0" w:line="220" w:lineRule="auto"/>
        <w:tabs>
          <w:tab w:leader="none" w:pos="1931"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Certain Persons</w:t>
      </w:r>
      <w:r>
        <w:rPr>
          <w:rFonts w:ascii="Times New Roman" w:cs="Times New Roman" w:eastAsia="Times New Roman" w:hAnsi="Times New Roman"/>
          <w:sz w:val="22"/>
          <w:szCs w:val="22"/>
          <w:color w:val="auto"/>
        </w:rPr>
        <w:t>. No such assignment shall be made to the Borrower or any Guarantor or any Affiliate or Subsidiary of the Borrower or any Guarantor, or any Person who, upon becoming a Lender hereunder, would constitute any of the foregoing Persons (other than to the Lenders on the Closing Date and their respective Affiliates).</w:t>
      </w:r>
    </w:p>
    <w:p>
      <w:pPr>
        <w:spacing w:after="0" w:line="152" w:lineRule="exact"/>
        <w:rPr>
          <w:rFonts w:ascii="Times New Roman" w:cs="Times New Roman" w:eastAsia="Times New Roman" w:hAnsi="Times New Roman"/>
          <w:sz w:val="22"/>
          <w:szCs w:val="22"/>
          <w:color w:val="auto"/>
        </w:rPr>
      </w:pPr>
    </w:p>
    <w:p>
      <w:pPr>
        <w:ind w:left="640" w:right="60" w:firstLine="644"/>
        <w:spacing w:after="0" w:line="211" w:lineRule="auto"/>
        <w:tabs>
          <w:tab w:leader="none" w:pos="192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by the Administrative Agent in the Register pursuant to </w:t>
      </w:r>
      <w:r>
        <w:rPr>
          <w:rFonts w:ascii="Times New Roman" w:cs="Times New Roman" w:eastAsia="Times New Roman" w:hAnsi="Times New Roman"/>
          <w:sz w:val="22"/>
          <w:szCs w:val="22"/>
          <w:u w:val="single" w:color="auto"/>
          <w:color w:val="auto"/>
        </w:rPr>
        <w:t>Section 10.10(c)</w:t>
      </w:r>
      <w:r>
        <w:rPr>
          <w:rFonts w:ascii="Times New Roman" w:cs="Times New Roman" w:eastAsia="Times New Roman" w:hAnsi="Times New Roman"/>
          <w:sz w:val="22"/>
          <w:szCs w:val="22"/>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10.4</w:t>
      </w:r>
      <w:r>
        <w:rPr>
          <w:rFonts w:ascii="Times New Roman" w:cs="Times New Roman" w:eastAsia="Times New Roman" w:hAnsi="Times New Roman"/>
          <w:sz w:val="22"/>
          <w:szCs w:val="22"/>
          <w:color w:val="auto"/>
        </w:rPr>
        <w:t xml:space="preserve"> with respect to facts and circumstances occurring prior to the effective date of such assignment. Upon request, the Borrower (at its expense) shall execute and deliver a Note to the assignee Lender.</w:t>
      </w:r>
    </w:p>
    <w:p>
      <w:pPr>
        <w:spacing w:after="0" w:line="158" w:lineRule="exact"/>
        <w:rPr>
          <w:rFonts w:ascii="Times New Roman" w:cs="Times New Roman" w:eastAsia="Times New Roman" w:hAnsi="Times New Roman"/>
          <w:sz w:val="22"/>
          <w:szCs w:val="22"/>
          <w:color w:val="auto"/>
        </w:rPr>
      </w:pPr>
    </w:p>
    <w:p>
      <w:pPr>
        <w:ind w:left="-20" w:firstLine="656"/>
        <w:spacing w:after="0" w:line="213" w:lineRule="auto"/>
        <w:tabs>
          <w:tab w:leader="none" w:pos="127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an agent of the Borrower, shall maintain at the Administrative Agent’s Office a copy of each Assignment and Assumption delivered to it (or the equivalent thereof in electronic form) and a register for the recordation of the names and addresses of the Lenders, and the Commitments of, and principal amounts of (and stated interest on) the Loans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00"/>
          </w:cols>
          <w:pgMar w:left="340" w:top="1395" w:right="359" w:bottom="1440" w:gutter="0" w:footer="0" w:header="0"/>
        </w:sectPr>
      </w:pPr>
    </w:p>
    <w:bookmarkStart w:id="97" w:name="page98"/>
    <w:bookmarkEnd w:id="97"/>
    <w:p>
      <w:pPr>
        <w:ind w:right="20"/>
        <w:spacing w:after="0" w:line="215" w:lineRule="auto"/>
        <w:rPr>
          <w:sz w:val="20"/>
          <w:szCs w:val="20"/>
          <w:color w:val="auto"/>
        </w:rPr>
      </w:pPr>
      <w:r>
        <w:rPr>
          <w:rFonts w:ascii="Times New Roman" w:cs="Times New Roman" w:eastAsia="Times New Roman" w:hAnsi="Times New Roman"/>
          <w:sz w:val="22"/>
          <w:szCs w:val="22"/>
          <w:color w:val="auto"/>
        </w:rPr>
        <w:t>the Borrower and any Lender, at any reasonable time and from time to time upon reasonable prior notice. The parties intend that any interest in or with respect to the Loans under this Agreement be treated as being issued and maintained in “registered form” within the meaning of Sections 163(f), 871(h)(2), and 881(c)(2) of the Code and any regulations thereunder (and any successor provisions), including without limitation under United States Treasury Regulations Section 5f.103-1(c) and Proposed Regulations Section 1.163-5 (and any successor provisions), and the provisions of this Agreement shall be construed in a manner that gives effect to such intent.</w:t>
      </w:r>
    </w:p>
    <w:p>
      <w:pPr>
        <w:spacing w:after="0" w:line="152" w:lineRule="exact"/>
        <w:rPr>
          <w:sz w:val="20"/>
          <w:szCs w:val="20"/>
          <w:color w:val="auto"/>
        </w:rPr>
      </w:pPr>
    </w:p>
    <w:p>
      <w:pPr>
        <w:jc w:val="both"/>
        <w:ind w:right="100" w:firstLine="656"/>
        <w:spacing w:after="0" w:line="220" w:lineRule="auto"/>
        <w:tabs>
          <w:tab w:leader="none" w:pos="129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Any corporation or association into which the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Administrative Agent is a party, will be and become the successor to the Administrative Agent under this Agreement and will have and succeed to the rights, powers, duties, immunities and privileges as its predecessor, without the execution or filing of any instrument or paper or the performance of any further act.</w:t>
      </w:r>
    </w:p>
    <w:p>
      <w:pPr>
        <w:spacing w:after="0" w:line="15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Other Transactions</w:t>
      </w:r>
      <w:r>
        <w:rPr>
          <w:rFonts w:ascii="Times New Roman" w:cs="Times New Roman" w:eastAsia="Times New Roman" w:hAnsi="Times New Roman"/>
          <w:sz w:val="22"/>
          <w:szCs w:val="22"/>
          <w:color w:val="auto"/>
        </w:rPr>
        <w:t>. Nothing contained herein shall preclude any Lender or any of its Affiliates from engaging in any transaction, in addition to those contemplated by the Loan Documents, with the Borrower or any of its Affiliates in which the Borrower or such Affiliate is not restricted hereby from engaging with any other Person.</w:t>
      </w:r>
    </w:p>
    <w:p>
      <w:pPr>
        <w:spacing w:after="0" w:line="153"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10.12 </w:t>
      </w:r>
      <w:r>
        <w:rPr>
          <w:rFonts w:ascii="Times New Roman" w:cs="Times New Roman" w:eastAsia="Times New Roman" w:hAnsi="Times New Roman"/>
          <w:sz w:val="21"/>
          <w:szCs w:val="21"/>
          <w:u w:val="single" w:color="auto"/>
          <w:color w:val="auto"/>
        </w:rPr>
        <w:t>Forum Selection and Consent to Jurisdiction</w:t>
      </w:r>
      <w:r>
        <w:rPr>
          <w:rFonts w:ascii="Times New Roman" w:cs="Times New Roman" w:eastAsia="Times New Roman" w:hAnsi="Times New Roman"/>
          <w:sz w:val="21"/>
          <w:szCs w:val="21"/>
          <w:color w:val="auto"/>
        </w:rPr>
        <w:t xml:space="preserve">. EACH OF THE PARTIES HERETO HEREBY AGREES THAT ANY LITIGATION BASED HEREON, OR ARISING OUT OF, UNDER, OR IN CONNECTION WITH, ANY LOAN DOCUMENT, OR ANY COURSE OF CONDUCT, COURSE OF DEALING, STATEMENTS (WHETHER ORAL OR WRITTEN) OR ACTIONS OF THE ADMINISTRATIVE AGENT, ANY LENDER OR THE BORROWER IN CONNECTION HEREWITH OR THEREWITH SHALL BE BROUGHT AND MAINTAINED IN THE COURTS OF THE BOROUGH OF MANHATTAN IN THE CITY OF NEW YORK IN THE STATE OF NEW YORK OR IN THE UNITED STATES DISTRICT COURT FOR THE SOUTHERN DISTRICT OF NEW YORK;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SUIT SEEKING ENFORCEMENT AGAINST ANY COLLATERAL OR OTHER PROPERTY MAY BE BROUGHT, AT THE ADMINISTRATIVE AGENT’S OR THE LENDERS’ OPTION, IN THE COURTS OF ANY JURISDICTION WHERE SUCH COLLATERAL OR OTHER PROPERTY MAY BE FOUND. EACH OF THE PARTIES HERETO HEREBY IRREVOCABLY CONSENTS TO THE SERVICE OF PROCESS BY REGISTERED MAIL, POSTAGE PREPAID, OR BY PERSONAL SERVICE WITHIN OR WITHOUT THE STATE OF NEW YORK AT ITS ADDRESS FOR NOTICES SPECIFIED IN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EACH OF THE PARTIES HERETO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ANY PARTY HERETO HAS OR HEREAFTER MAY ACQUIRE ANY IMMUNITY FROM JURISDICTION OF ANY COURT OR FROM ANY LEGAL PROCESS (WHETHER THROUGH SERVICE 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395" w:right="339" w:bottom="1440" w:gutter="0" w:footer="0" w:header="0"/>
        </w:sectPr>
      </w:pPr>
    </w:p>
    <w:bookmarkStart w:id="98" w:name="page99"/>
    <w:bookmarkEnd w:id="98"/>
    <w:p>
      <w:pPr>
        <w:jc w:val="both"/>
        <w:spacing w:after="0" w:line="220" w:lineRule="auto"/>
        <w:rPr>
          <w:sz w:val="20"/>
          <w:szCs w:val="20"/>
          <w:color w:val="auto"/>
        </w:rPr>
      </w:pPr>
      <w:r>
        <w:rPr>
          <w:rFonts w:ascii="Times New Roman" w:cs="Times New Roman" w:eastAsia="Times New Roman" w:hAnsi="Times New Roman"/>
          <w:sz w:val="22"/>
          <w:szCs w:val="22"/>
          <w:color w:val="auto"/>
        </w:rPr>
        <w:t>ATTACHMENT PRIOR TO JUDGMENT, ATTACHMENT IN AID OF EXECUTION OR OTHERWISE) WITH RESPECT TO ITSELF OR ITS PROPERTY, EACH OF THE PARTIES HERETO HEREBY IRREVOCABLY WAIVES, TO THE FULLEST EXTENT PERMITTED BY LAW, SUCH IMMUNITY IN RESPECT OF ITS OBLIGATIONS UNDER THE LOAN DOCUMENTS.</w:t>
      </w:r>
    </w:p>
    <w:p>
      <w:pPr>
        <w:spacing w:after="0" w:line="152"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THE ADMINISTRATIVE AGENT, THE LENDERS AND THE BORROWER HEREBY KNOWINGLY, VOLUNTARILY AND INTENTIONALLY WAIVE TO THE FULLEST EXTENT PERMITTED BY LAW ANY RIGHTS THEY MAY HAVE TO A TRIAL BY JURY IN RESPECT OF ANY LITIGATION BASED HEREON, OR ARISING OUT OF, UNDER, OR IN CONNECTION WITH, EACH LOAN DOCUMENT, OR ANY COURSE OF CONDUCT, COURSE OF DEALING, STATEMENTS (WHETHER ORAL OR WRITTEN) OR ACTIONS OF THE ADMINISTRATIVE AGENT, ANY LENDER OR THE BORROWER IN CONNECTION THEREWITH. EACH OF THE PARTIES HERETO ACKNOWLEDGES AND AGREES THAT IT HAS RECEIVED FULL AND SUFFICIENT CONSIDERATION FOR THIS PROVISION (AND EACH OTHER PROVISION OF EACH OTHER LOAN DOCUMENT TO WHICH IT IS A PARTY) AND THAT THIS PROVISION IS A MATERIAL INDUCEMENT FOR THE PARTIES ENTERING INTO THE LOAN DOCUMENTS.</w:t>
      </w:r>
    </w:p>
    <w:p>
      <w:pPr>
        <w:spacing w:after="0" w:line="152"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xml:space="preserve">, at all times prior to the Termination Date, the Receiving Party shall keep confidential and shall not publish or otherwise disclose any Confidential Information furnished to it by the Disclosing Party, except to those of the Receiving Party’s employees, advisors or consultants who have a need to know such information to assist such Receiving Party in the performance of such Receiving Party’s obligations or in the exercise of such Receiving Party’s rights hereunder and who are subject to reasonable obligations of confidentiality consistent with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(collectively, “</w:t>
      </w:r>
      <w:r>
        <w:rPr>
          <w:rFonts w:ascii="Times New Roman" w:cs="Times New Roman" w:eastAsia="Times New Roman" w:hAnsi="Times New Roman"/>
          <w:sz w:val="22"/>
          <w:szCs w:val="22"/>
          <w:u w:val="single" w:color="auto"/>
          <w:color w:val="auto"/>
        </w:rPr>
        <w:t>Recipients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Receiving Party shall remain liable for any breach of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by any of its Recipients. Notwithstanding anything to the contrary set forth herein, (a) any Lender may disclose Confidential Information received from or on behalf of the Borrower and its Subsidiaries related hereto, to (i) its Affiliates, (ii) potential and actual assignees of any of such Lender’s rights hereunder and (iii) potential and actual investors in, or lenders to, such Lender (including, in each of the foregoing cases, such Person’s employees, advisors or consultants);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each such Person referred to in clause (i)-(iii) shall be subject to reasonable obligations of confidentiality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such Lender shall remain liable for any breach of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by any such Person referred to in clause (i) or (iii) to whom such Lender disclosed such Confidential Information; and (b) upon receiving consent from the Required Lenders, which consent shall not be unreasonably withheld, delayed or conditioned, the Borrower may disclose Confidential Information received from or on behalf of the Lenders related hereto, to potential or actual permitted acquirers or assignees, collaborators and other (sub)licensees, permitted subcontractors, investment bankers, investors, lenders (including, in each of the foregoing cases, such Person’s employees, advisors or consultants who have a need to receive and review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each such Person to whom the Borrower disclosed such Confidential Information shall be subject to reasonable obligations of confidentiality. In addition to the foregoing, the Receiving Party may disclose Confidential Information belonging to the Disclosing Party to the extent (and only to the extent) such disclosure is reasonably necessary in order to comply with applicable Laws (including any securities law or regulation or the rules of a securities exchange) and with judicial process, if in the reasonable opinion of the Receiving Party, such disclosure is necessary for such compliance;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Receiving Party (x) will only disclose those portions of the Confidential Information that are necessary or required to be so disclosed, and (y) to the extent legally permissible, will notify the Disclosing Party of the Receiving Party’s intent to make any disclosure pursuant thereto sufficiently prior to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395" w:right="339" w:bottom="1440" w:gutter="0" w:footer="0" w:header="0"/>
        </w:sectPr>
      </w:pPr>
    </w:p>
    <w:bookmarkStart w:id="99" w:name="page100"/>
    <w:bookmarkEnd w:id="99"/>
    <w:p>
      <w:pPr>
        <w:ind w:right="1000"/>
        <w:spacing w:after="0" w:line="236" w:lineRule="auto"/>
        <w:rPr>
          <w:sz w:val="20"/>
          <w:szCs w:val="20"/>
          <w:color w:val="auto"/>
        </w:rPr>
      </w:pPr>
      <w:r>
        <w:rPr>
          <w:rFonts w:ascii="Times New Roman" w:cs="Times New Roman" w:eastAsia="Times New Roman" w:hAnsi="Times New Roman"/>
          <w:sz w:val="22"/>
          <w:szCs w:val="22"/>
          <w:color w:val="auto"/>
        </w:rPr>
        <w:t>such disclosure so as to allow the Disclosing Party time to take whatever action it may deem appropriate to protect the confidentiality of the information to be disclosed.</w:t>
      </w:r>
    </w:p>
    <w:p>
      <w:pPr>
        <w:spacing w:after="0" w:line="150"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Exceptions to Confidentiality</w:t>
      </w:r>
      <w:r>
        <w:rPr>
          <w:rFonts w:ascii="Times New Roman" w:cs="Times New Roman" w:eastAsia="Times New Roman" w:hAnsi="Times New Roman"/>
          <w:sz w:val="22"/>
          <w:szCs w:val="22"/>
          <w:color w:val="auto"/>
        </w:rPr>
        <w:t>. The Receiving Party’s obligations set forth in this Agreement shall not extend to any Confidential Information of the Disclosing Party:</w:t>
      </w:r>
    </w:p>
    <w:p>
      <w:pPr>
        <w:spacing w:after="0" w:line="150" w:lineRule="exact"/>
        <w:rPr>
          <w:sz w:val="20"/>
          <w:szCs w:val="20"/>
          <w:color w:val="auto"/>
        </w:rPr>
      </w:pPr>
    </w:p>
    <w:p>
      <w:pPr>
        <w:ind w:right="60" w:firstLine="656"/>
        <w:spacing w:after="0" w:line="236" w:lineRule="auto"/>
        <w:tabs>
          <w:tab w:leader="none" w:pos="12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or hereafter becomes part of the public domain (other than as a result of a disclosure by the Receiving Party or its Recipients in violation of this Agreement);</w:t>
      </w:r>
    </w:p>
    <w:p>
      <w:pPr>
        <w:spacing w:after="0" w:line="150" w:lineRule="exact"/>
        <w:rPr>
          <w:rFonts w:ascii="Times New Roman" w:cs="Times New Roman" w:eastAsia="Times New Roman" w:hAnsi="Times New Roman"/>
          <w:sz w:val="22"/>
          <w:szCs w:val="22"/>
          <w:color w:val="auto"/>
        </w:rPr>
      </w:pPr>
    </w:p>
    <w:p>
      <w:pPr>
        <w:ind w:right="900" w:firstLine="656"/>
        <w:spacing w:after="0" w:line="236" w:lineRule="auto"/>
        <w:tabs>
          <w:tab w:leader="none" w:pos="129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received from a Third Party without restriction on disclosure and without, to the knowledge of the Receiving Party, breach of any agreement between such Third Party and the Disclosing Party;</w:t>
      </w:r>
    </w:p>
    <w:p>
      <w:pPr>
        <w:spacing w:after="0" w:line="150" w:lineRule="exact"/>
        <w:rPr>
          <w:rFonts w:ascii="Times New Roman" w:cs="Times New Roman" w:eastAsia="Times New Roman" w:hAnsi="Times New Roman"/>
          <w:sz w:val="22"/>
          <w:szCs w:val="22"/>
          <w:color w:val="auto"/>
        </w:rPr>
      </w:pPr>
    </w:p>
    <w:p>
      <w:pPr>
        <w:ind w:right="740" w:firstLine="656"/>
        <w:spacing w:after="0" w:line="236" w:lineRule="auto"/>
        <w:tabs>
          <w:tab w:leader="none" w:pos="12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Receiving Party can demonstrate by competent evidence was already in its possession without any limitation on disclosure prior to its receipt from the Disclosing Party;</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generally made available to Third Parties by the Disclosing Party without restriction on disclosure; or</w:t>
      </w:r>
    </w:p>
    <w:p>
      <w:pPr>
        <w:spacing w:after="0" w:line="179" w:lineRule="exact"/>
        <w:rPr>
          <w:rFonts w:ascii="Times New Roman" w:cs="Times New Roman" w:eastAsia="Times New Roman" w:hAnsi="Times New Roman"/>
          <w:sz w:val="22"/>
          <w:szCs w:val="22"/>
          <w:color w:val="auto"/>
        </w:rPr>
      </w:pPr>
    </w:p>
    <w:p>
      <w:pPr>
        <w:ind w:right="220" w:firstLine="656"/>
        <w:spacing w:after="0" w:line="236" w:lineRule="auto"/>
        <w:tabs>
          <w:tab w:leader="none" w:pos="12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Receiving Party can demonstrate by competent evidence was independently developed by the Receiving Party without use of or reference to the Confidential Information.</w:t>
      </w:r>
    </w:p>
    <w:p>
      <w:pPr>
        <w:spacing w:after="0" w:line="150" w:lineRule="exact"/>
        <w:rPr>
          <w:sz w:val="20"/>
          <w:szCs w:val="20"/>
          <w:color w:val="auto"/>
        </w:rPr>
      </w:pPr>
    </w:p>
    <w:p>
      <w:pPr>
        <w:ind w:right="10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No Waiver; Cumulative Remedies; Enforcement</w:t>
      </w:r>
      <w:r>
        <w:rPr>
          <w:rFonts w:ascii="Times New Roman" w:cs="Times New Roman" w:eastAsia="Times New Roman" w:hAnsi="Times New Roman"/>
          <w:sz w:val="22"/>
          <w:szCs w:val="22"/>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10.17 Notwithstanding anything to the contrary contained herein or in any other Loan Document, the authority to enforce rights and remedies hereunder and under the other Loan Documents against the Borrower and the Guarantors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for the benefit of all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(subject to the terms of </w:t>
      </w:r>
      <w:r>
        <w:rPr>
          <w:rFonts w:ascii="Times New Roman" w:cs="Times New Roman" w:eastAsia="Times New Roman" w:hAnsi="Times New Roman"/>
          <w:sz w:val="21"/>
          <w:szCs w:val="21"/>
          <w:u w:val="single" w:color="auto"/>
          <w:color w:val="auto"/>
        </w:rPr>
        <w:t>Section</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u w:val="single" w:color="auto"/>
          <w:color w:val="auto"/>
        </w:rPr>
        <w:t>4.4(e)</w:t>
      </w:r>
      <w:r>
        <w:rPr>
          <w:rFonts w:ascii="Times New Roman" w:cs="Times New Roman" w:eastAsia="Times New Roman" w:hAnsi="Times New Roman"/>
          <w:sz w:val="22"/>
          <w:szCs w:val="22"/>
          <w:color w:val="auto"/>
        </w:rPr>
        <w:t xml:space="preserve">), or (c) any Lender from filing proofs of claim or appearing and filing pleadings on its own behalf during the pendency of a proceeding relative to the Borrower or any Guarantor under any Debtor Relief Law or any proceedings arising out of or in connection with an Insolvency Event;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and (ii) in addition to the matters set forth in clauses (b) and (c) of the preceding proviso and subject to </w:t>
      </w:r>
      <w:r>
        <w:rPr>
          <w:rFonts w:ascii="Times New Roman" w:cs="Times New Roman" w:eastAsia="Times New Roman" w:hAnsi="Times New Roman"/>
          <w:sz w:val="22"/>
          <w:szCs w:val="22"/>
          <w:u w:val="single" w:color="auto"/>
          <w:color w:val="auto"/>
        </w:rPr>
        <w:t>Section 4.4(e)</w:t>
      </w:r>
      <w:r>
        <w:rPr>
          <w:rFonts w:ascii="Times New Roman" w:cs="Times New Roman" w:eastAsia="Times New Roman" w:hAnsi="Times New Roman"/>
          <w:sz w:val="22"/>
          <w:szCs w:val="22"/>
          <w:color w:val="auto"/>
        </w:rPr>
        <w:t>, any Lender may, with the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39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Required Lenders, enforce any rights and remedies available to it and as authorized by the Required Lenders.</w:t>
      </w:r>
    </w:p>
    <w:p>
      <w:pPr>
        <w:spacing w:after="0" w:line="193"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Payments Set Aside</w:t>
      </w:r>
      <w:r>
        <w:rPr>
          <w:rFonts w:ascii="Times New Roman" w:cs="Times New Roman" w:eastAsia="Times New Roman" w:hAnsi="Times New Roman"/>
          <w:sz w:val="22"/>
          <w:szCs w:val="22"/>
          <w:color w:val="auto"/>
        </w:rPr>
        <w:t xml:space="preserve">. To the extent that any payment by or on behalf of the Borrower or any Guarantor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receiver, manager, monitor or any other party, in connection with any proceeding under any Debtor Relief Law, any proceedings arising out of or in connection with an Insolvency Event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60"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10.19 </w:t>
      </w:r>
      <w:r>
        <w:rPr>
          <w:rFonts w:ascii="Times New Roman" w:cs="Times New Roman" w:eastAsia="Times New Roman" w:hAnsi="Times New Roman"/>
          <w:sz w:val="21"/>
          <w:szCs w:val="21"/>
          <w:u w:val="single" w:color="auto"/>
          <w:color w:val="auto"/>
        </w:rPr>
        <w:t>Electronic Execution of Assignments and Certain Other Documents</w:t>
      </w:r>
      <w:r>
        <w:rPr>
          <w:rFonts w:ascii="Times New Roman" w:cs="Times New Roman" w:eastAsia="Times New Roman" w:hAnsi="Times New Roman"/>
          <w:sz w:val="21"/>
          <w:szCs w:val="21"/>
          <w:color w:val="auto"/>
        </w:rPr>
        <w:t>. The words “execute,” “execution,” “signed,” “signature” and words of like import in this Agreement,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7"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10.20 </w:t>
      </w:r>
      <w:r>
        <w:rPr>
          <w:rFonts w:ascii="Times New Roman" w:cs="Times New Roman" w:eastAsia="Times New Roman" w:hAnsi="Times New Roman"/>
          <w:sz w:val="22"/>
          <w:szCs w:val="22"/>
          <w:u w:val="single" w:color="auto"/>
          <w:color w:val="auto"/>
        </w:rPr>
        <w:t>Independent Nature of Lenders</w:t>
      </w:r>
      <w:r>
        <w:rPr>
          <w:rFonts w:ascii="Times New Roman" w:cs="Times New Roman" w:eastAsia="Times New Roman" w:hAnsi="Times New Roman"/>
          <w:sz w:val="22"/>
          <w:szCs w:val="22"/>
          <w:color w:val="auto"/>
        </w:rPr>
        <w:t>. The obligations of each Lender under this Agreement and each of the other Loan Documents are several and not joint with the obligations of any other Lender, and no Lender shall be responsible in any way for the performance of the obligations of any other Lender under this Agreement or any other Loan Document. Each Lender shall be responsible only for its own representations, warranties, agreements and covenants hereunder and under the other Loan Documents. Nothing contained in this Agreement or any other Loan Document, and no action taken by any Lender pursuant hereto or thereto, shall be deemed to constitute the Lenders as, and the Borrower and the Guarantors acknowledge and agree that the Lenders do not thereby constitute, a partnership, an association, a joint venture or any other kind of entity, or create a presumption that the Lenders are in any way acting in concert or as a group with respect to the Obligations or the transactions contemplated by this Agreement or any other Loan Document, and the Borrower and the Guarantors shall not assert any contrary position.</w:t>
      </w:r>
    </w:p>
    <w:p>
      <w:pPr>
        <w:spacing w:after="0" w:line="139"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10.21</w:t>
      </w:r>
      <w:r>
        <w:rPr>
          <w:sz w:val="20"/>
          <w:szCs w:val="20"/>
          <w:color w:val="auto"/>
        </w:rPr>
        <w:tab/>
      </w:r>
      <w:r>
        <w:rPr>
          <w:rFonts w:ascii="Times New Roman" w:cs="Times New Roman" w:eastAsia="Times New Roman" w:hAnsi="Times New Roman"/>
          <w:sz w:val="21"/>
          <w:szCs w:val="21"/>
          <w:u w:val="single" w:color="auto"/>
          <w:color w:val="auto"/>
        </w:rPr>
        <w:t>No Fiduciary Relationship</w:t>
      </w:r>
      <w:r>
        <w:rPr>
          <w:rFonts w:ascii="Times New Roman" w:cs="Times New Roman" w:eastAsia="Times New Roman" w:hAnsi="Times New Roman"/>
          <w:sz w:val="21"/>
          <w:szCs w:val="21"/>
          <w:color w:val="auto"/>
        </w:rPr>
        <w:t>. Each of the Borrower and the Guarantors acknowledge and agree that</w:t>
      </w:r>
    </w:p>
    <w:p>
      <w:pPr>
        <w:ind w:right="80" w:firstLine="8"/>
        <w:spacing w:after="0" w:line="212" w:lineRule="auto"/>
        <w:tabs>
          <w:tab w:leader="none" w:pos="29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is acting at arm’s length from the Borrower and the Guarantors with respect to this Agreement and the Borrower and the Guarantors and the transactions contemplated hereby and thereby; (b) no Lender will, solely by virtue of this Agreement or any of the Loan Documents or any transaction contemplated hereby or thereby, become an Affiliate of, or have any agency, tenancy or joint venture relationship with, any of the Borrower and the Guarantors; (c) no Lender has acted, or is or will be acting,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00"/>
          </w:cols>
          <w:pgMar w:left="320" w:top="1422" w:right="379" w:bottom="1440" w:gutter="0" w:footer="0" w:header="0"/>
        </w:sectPr>
      </w:pPr>
    </w:p>
    <w:bookmarkStart w:id="101" w:name="page102"/>
    <w:bookmarkEnd w:id="101"/>
    <w:p>
      <w:pPr>
        <w:spacing w:after="0" w:line="212" w:lineRule="auto"/>
        <w:rPr>
          <w:sz w:val="20"/>
          <w:szCs w:val="20"/>
          <w:color w:val="auto"/>
        </w:rPr>
      </w:pPr>
      <w:r>
        <w:rPr>
          <w:rFonts w:ascii="Times New Roman" w:cs="Times New Roman" w:eastAsia="Times New Roman" w:hAnsi="Times New Roman"/>
          <w:sz w:val="22"/>
          <w:szCs w:val="22"/>
          <w:color w:val="auto"/>
        </w:rPr>
        <w:t>a financial advisor to, or fiduciary (or in any similar capacity) of, or has any fiduciary or similar duty to, any of the Borrower and the Guarantors with respect to, or in connection with, this Agreement and the other Loan Documents and the transactions contemplated hereby and thereby, and each of the Borrower and the Guarantors agree not to assert, and hereby waives, any claim that any Lender has any fiduciary duty to any of the Borrower and the Guarantors; (d) any advice given by a Lender or any of its representatives or agents in connection with this Agreement and the other Loan Documents and the transactions contemplated hereby and thereby is merely incidental to such Lender’s performance of its obligations hereunder and thereunder; and (e) each of the Borrower’s and the Guarantors’ decision to enter into this Agreement and the other Loan Documents has been based solely on the independent evaluation by the Borrower, the Guarantors and their representatives.</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XI</w:t>
      </w:r>
    </w:p>
    <w:p>
      <w:pPr>
        <w:ind w:left="432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155"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11.1</w:t>
      </w:r>
      <w:r>
        <w:rPr>
          <w:sz w:val="20"/>
          <w:szCs w:val="20"/>
          <w:color w:val="auto"/>
        </w:rPr>
        <w:tab/>
      </w:r>
      <w:r>
        <w:rPr>
          <w:rFonts w:ascii="Times New Roman" w:cs="Times New Roman" w:eastAsia="Times New Roman" w:hAnsi="Times New Roman"/>
          <w:sz w:val="21"/>
          <w:szCs w:val="21"/>
          <w:u w:val="single" w:color="auto"/>
          <w:color w:val="auto"/>
        </w:rPr>
        <w:t>Appointment and Authority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hereby irrevocably appoints OrbiMed Royalty &amp; Credit Opportunities IV, LP,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 The provisions of this Article are solely for the benefit of the Administrative Agent and the Lenders, and neither the Borrower nor any Guarantor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58"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Borrower and the Guarantors to secure any of the Obligations, together with such powers and discretion as are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1"/>
          <w:szCs w:val="21"/>
          <w:u w:val="single" w:color="auto"/>
          <w:color w:val="auto"/>
        </w:rPr>
        <w:t>Section 11.5</w:t>
      </w:r>
      <w:r>
        <w:rPr>
          <w:rFonts w:ascii="Times New Roman" w:cs="Times New Roman" w:eastAsia="Times New Roman" w:hAnsi="Times New Roman"/>
          <w:sz w:val="21"/>
          <w:szCs w:val="21"/>
          <w:color w:val="auto"/>
        </w:rPr>
        <w:t xml:space="preserve"> for purposes of holding or enforcing any Lien on the Collateral (or any portion thereof) granted under the Security Agreement, or for exercising any rights and remedies thereunder at the direction of the Administrative Agent), shall be entitled to the benefits of all provisions of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21"/>
          <w:szCs w:val="21"/>
          <w:u w:val="single" w:color="auto"/>
          <w:color w:val="auto"/>
        </w:rPr>
        <w:t>Section 10.4(c))</w:t>
      </w:r>
      <w:r>
        <w:rPr>
          <w:rFonts w:ascii="Times New Roman" w:cs="Times New Roman" w:eastAsia="Times New Roman" w:hAnsi="Times New Roman"/>
          <w:sz w:val="21"/>
          <w:szCs w:val="21"/>
          <w:color w:val="auto"/>
        </w:rPr>
        <w:t xml:space="preserve">, as though such co-agents, sub-agents and attorneys-in-fact were the “collateral agent” under the Loan Documents and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as if set forth in full herein with respect thereto.</w:t>
      </w:r>
    </w:p>
    <w:p>
      <w:pPr>
        <w:spacing w:after="0" w:line="149"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3"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authorizes the Administrative Agent to perform the duties, obligations and responsibilities and to exercise the rights, powers, authorities and discretions specifically given to the Administrative Agent under or in connection with the Loan Documents together with any other incidental rights, powers, authorities and discretions.</w:t>
      </w:r>
    </w:p>
    <w:p>
      <w:pPr>
        <w:spacing w:after="0" w:line="152"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direction of the Lenders, the Administrative Agent is hereby authorized to enter into any usual and customary intercreditor agreement and/or subordination agreement to the extent contemplated by the terms hereof, and the Lenders acknowledge that each such intercreditor agreement and/or subordination agreement is binding upon them. Each Lender</w:t>
      </w:r>
    </w:p>
    <w:p>
      <w:pPr>
        <w:spacing w:after="0" w:line="1"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agrees that it will be bound by and will take no actions contrary to the provisions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395" w:right="339" w:bottom="1440" w:gutter="0" w:footer="0" w:header="0"/>
        </w:sectPr>
      </w:pPr>
    </w:p>
    <w:bookmarkStart w:id="102" w:name="page103"/>
    <w:bookmarkEnd w:id="102"/>
    <w:p>
      <w:pPr>
        <w:jc w:val="both"/>
        <w:spacing w:after="0" w:line="220" w:lineRule="auto"/>
        <w:rPr>
          <w:sz w:val="20"/>
          <w:szCs w:val="20"/>
          <w:color w:val="auto"/>
        </w:rPr>
      </w:pPr>
      <w:r>
        <w:rPr>
          <w:rFonts w:ascii="Times New Roman" w:cs="Times New Roman" w:eastAsia="Times New Roman" w:hAnsi="Times New Roman"/>
          <w:sz w:val="21"/>
          <w:szCs w:val="21"/>
          <w:color w:val="auto"/>
        </w:rPr>
        <w:t>such intercreditor agreement or subordination agreement and (b) in connection therewith agrees that, to the extent contemplated thereby, the Liens on the Collateral may be subject to the provisions thereof. In addition, but in conformance with the terms hereof, at the direction of the Lenders the Administrative Agent shall enter into (i) any amendments to any intercreditor agreements or subordination agreements, as the case may be, and (ii) any other intercreditor arrangements, in the case of clauses</w:t>
      </w:r>
    </w:p>
    <w:p>
      <w:pPr>
        <w:spacing w:after="0" w:line="3" w:lineRule="exact"/>
        <w:rPr>
          <w:sz w:val="20"/>
          <w:szCs w:val="20"/>
          <w:color w:val="auto"/>
        </w:rPr>
      </w:pPr>
    </w:p>
    <w:p>
      <w:pPr>
        <w:jc w:val="both"/>
        <w:ind w:firstLine="8"/>
        <w:spacing w:after="0" w:line="214" w:lineRule="auto"/>
        <w:tabs>
          <w:tab w:leader="none" w:pos="27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to the extent required to give effect to the establishment of intercreditor rights and privileges as contemplated and required by of this Agreement. Each Lender waives any conflict of interest, now contemplated or arising hereafter, in connection therewith and agrees not to assert against the Administrative Agent or any of its affiliates any claims, causes of action, damages or liabilities of whatever kind or nature relating thereto.</w:t>
      </w:r>
    </w:p>
    <w:p>
      <w:pPr>
        <w:spacing w:after="0" w:line="154"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u w:val="single" w:color="auto"/>
          <w:color w:val="auto"/>
        </w:rPr>
        <w:t>Rights as a Lender</w:t>
      </w:r>
      <w:r>
        <w:rPr>
          <w:rFonts w:ascii="Times New Roman" w:cs="Times New Roman" w:eastAsia="Times New Roman" w:hAnsi="Times New Roman"/>
          <w:sz w:val="22"/>
          <w:szCs w:val="22"/>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any Guarantor or any Affiliate thereof as if such Person were not the Administrative Agent hereunder and without any duty to account therefor to the Lenders.</w:t>
      </w:r>
    </w:p>
    <w:p>
      <w:pPr>
        <w:spacing w:after="0" w:line="156" w:lineRule="exact"/>
        <w:rPr>
          <w:sz w:val="20"/>
          <w:szCs w:val="20"/>
          <w:color w:val="auto"/>
        </w:rPr>
      </w:pPr>
    </w:p>
    <w:p>
      <w:pPr>
        <w:ind w:right="2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xml:space="preserve">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53" w:lineRule="exact"/>
        <w:rPr>
          <w:sz w:val="20"/>
          <w:szCs w:val="20"/>
          <w:color w:val="auto"/>
        </w:rPr>
      </w:pPr>
    </w:p>
    <w:p>
      <w:pPr>
        <w:ind w:right="300" w:firstLine="656"/>
        <w:spacing w:after="0" w:line="236" w:lineRule="auto"/>
        <w:tabs>
          <w:tab w:leader="none" w:pos="12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or Event of Default has occurred and is continuing;</w:t>
      </w:r>
    </w:p>
    <w:p>
      <w:pPr>
        <w:spacing w:after="0" w:line="150" w:lineRule="exact"/>
        <w:rPr>
          <w:rFonts w:ascii="Times New Roman" w:cs="Times New Roman" w:eastAsia="Times New Roman" w:hAnsi="Times New Roman"/>
          <w:sz w:val="22"/>
          <w:szCs w:val="22"/>
          <w:color w:val="auto"/>
        </w:rPr>
      </w:pPr>
    </w:p>
    <w:p>
      <w:pPr>
        <w:ind w:right="40" w:firstLine="656"/>
        <w:spacing w:after="0" w:line="220" w:lineRule="auto"/>
        <w:tabs>
          <w:tab w:leader="none" w:pos="1291"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shall not be required to take any action or to exercise any of the rights or powers vested in it by this Agreement at the request or direction of the Lenders, pursuant to the provisions of this Agreement, unless such Lenders shall have offered to the Administrative Agent security or indemnity (satisfactory to the Administrative Agent in its sole and absolute discretion) against the costs, expenses and liabilities which may be incurred by it in compliance with such request or direction, or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7" w:lineRule="exact"/>
        <w:rPr>
          <w:rFonts w:ascii="Times New Roman" w:cs="Times New Roman" w:eastAsia="Times New Roman" w:hAnsi="Times New Roman"/>
          <w:sz w:val="21"/>
          <w:szCs w:val="21"/>
          <w:color w:val="auto"/>
        </w:rPr>
      </w:pPr>
    </w:p>
    <w:p>
      <w:pPr>
        <w:ind w:right="420" w:firstLine="656"/>
        <w:spacing w:after="0" w:line="225" w:lineRule="auto"/>
        <w:tabs>
          <w:tab w:leader="none" w:pos="12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the failure to disclose, any information relating to any Borrower and any of the Subsidiaries that is communicated to or obtained by the Person serving as the Administrative Agent or any of its Affiliates in any capacity.</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Administrative Agent shall not be liable for any action taken or not taken by it (i) with the consent or at the request of the Required Lenders or (ii) in the absence of its own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395" w:right="339" w:bottom="1440" w:gutter="0" w:footer="0" w:header="0"/>
        </w:sectPr>
      </w:pPr>
    </w:p>
    <w:bookmarkStart w:id="103" w:name="page104"/>
    <w:bookmarkEnd w:id="103"/>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negligence or willful misconduct as determined by a court of competent jurisdiction by final and non-appealable judgment. Subject to the proviso in </w:t>
      </w:r>
      <w:r>
        <w:rPr>
          <w:rFonts w:ascii="Times New Roman" w:cs="Times New Roman" w:eastAsia="Times New Roman" w:hAnsi="Times New Roman"/>
          <w:sz w:val="22"/>
          <w:szCs w:val="22"/>
          <w:u w:val="single" w:color="auto"/>
          <w:color w:val="auto"/>
        </w:rPr>
        <w:t>Section 11.3(b)</w:t>
      </w:r>
      <w:r>
        <w:rPr>
          <w:rFonts w:ascii="Times New Roman" w:cs="Times New Roman" w:eastAsia="Times New Roman" w:hAnsi="Times New Roman"/>
          <w:sz w:val="22"/>
          <w:szCs w:val="22"/>
          <w:color w:val="auto"/>
        </w:rPr>
        <w:t>, with respect to any discretion, consent, approval or similar such action to be made, taken, omitted to be taken or determined by the Administrative Agent hereunder or under any other Loan Document (each an “</w:t>
      </w:r>
      <w:r>
        <w:rPr>
          <w:rFonts w:ascii="Times New Roman" w:cs="Times New Roman" w:eastAsia="Times New Roman" w:hAnsi="Times New Roman"/>
          <w:sz w:val="22"/>
          <w:szCs w:val="22"/>
          <w:u w:val="single" w:color="auto"/>
          <w:color w:val="auto"/>
        </w:rPr>
        <w:t>Agent Determination</w:t>
      </w:r>
      <w:r>
        <w:rPr>
          <w:rFonts w:ascii="Times New Roman" w:cs="Times New Roman" w:eastAsia="Times New Roman" w:hAnsi="Times New Roman"/>
          <w:sz w:val="22"/>
          <w:szCs w:val="22"/>
          <w:color w:val="auto"/>
        </w:rPr>
        <w:t>”), such Agent Determination shall be made by the Administrative Agent at the written direction of the Required Lenders (or such other number or percentage of the Lenders as shall be necessary, or as the Administrative Agent shall believe in good faith shall be necessary under the circumstances). The Administrative Agent shall be deemed not to have knowledge of any Default or Event of Default unless and until notice describing such Default or Event of Default is given in writing to the Administrative Agent by the Borrower, or a Lender.</w:t>
      </w:r>
    </w:p>
    <w:p>
      <w:pPr>
        <w:spacing w:after="0" w:line="19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The Administrative Agent shall have the right to request instructions from the Required Lenders or, as required, each of the Lenders (or such other number or percentage of the Lenders as shall be necessary, or as the Administrative Agent shall believe in good faith shall be necessary under the circumstances). If the Administrative Agent shall request instructions from the Required Lenders or each of the Lenders (or such other number or percentage of the Lenders as shall be necessary, or as the Administrative Agent shall believe in good faith shall be necessary under the circumstances), as the case may be, with respect to any act or action (including the failure to act) in connection with this Agreement or any other Loan Document, the Administrative Agent shall be entitled to refrain from such act or taking such action unless and until the Administrative Agent shall have received instructions from the Required Lenders or such other number or percentage of the Lenders, as the case may be, and the Administrative Agent shall not incur any liability to any Person by reason of so refraining.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elsewhere herein, other than to confirm receipt of items expressly required to be delivered to the Administrative Agent.</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Administrative Agent shall have no liability for any action taken, or errors in judgment made, in good faith by it or any of its officers, employees or agents, unless it shall have been negligent in ascertaining the pertinent facts. The permissive rights of the Administrative Agent to do things enumerated in this Agreement shall not be construed as a duty and, with respect to such permissive rights, the Administrative Agent shall not be answerable in respect thereof other than for its gross negligence or willful misconduct. Nothing in this Agreement shall require the Administrative Agent to expend or risk its own funds or otherwise incur any financial liability in the performance of any of its duties or in the exercise of any of its rights or powers hereunder.</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Neither the Administrative Agent nor any of its directors, officers, employees, agents or affiliates shall be responsible for nor have any duty to monitor the performance or any action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22" w:right="339" w:bottom="1440" w:gutter="0" w:footer="0" w:header="0"/>
        </w:sectPr>
      </w:pPr>
    </w:p>
    <w:bookmarkStart w:id="104" w:name="page105"/>
    <w:bookmarkEnd w:id="104"/>
    <w:p>
      <w:pPr>
        <w:jc w:val="both"/>
        <w:spacing w:after="0" w:line="256" w:lineRule="auto"/>
        <w:rPr>
          <w:sz w:val="20"/>
          <w:szCs w:val="20"/>
          <w:color w:val="auto"/>
        </w:rPr>
      </w:pPr>
      <w:r>
        <w:rPr>
          <w:rFonts w:ascii="Times New Roman" w:cs="Times New Roman" w:eastAsia="Times New Roman" w:hAnsi="Times New Roman"/>
          <w:sz w:val="22"/>
          <w:szCs w:val="22"/>
          <w:color w:val="auto"/>
        </w:rPr>
        <w:t>the Borrower or any Guarantor, or any of their directors, members, officers, agents, affiliates or employee, nor shall it have any liability in connection with the malfeasance or nonfeasance by such party. The Administrative Agent may assume performance by all such Persons of their respective obligations. The Administrative Agent shall have no enforcement or notification obligations relating to breaches of representations or warranties of any other Person.</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Administrative Agent 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42"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11.4</w:t>
      </w:r>
      <w:r>
        <w:rPr>
          <w:sz w:val="20"/>
          <w:szCs w:val="20"/>
          <w:color w:val="auto"/>
        </w:rPr>
        <w:tab/>
      </w:r>
      <w:r>
        <w:rPr>
          <w:rFonts w:ascii="Times New Roman" w:cs="Times New Roman" w:eastAsia="Times New Roman" w:hAnsi="Times New Roman"/>
          <w:sz w:val="21"/>
          <w:szCs w:val="21"/>
          <w:u w:val="single" w:color="auto"/>
          <w:color w:val="auto"/>
        </w:rPr>
        <w:t>Reliance by the Administrative Agent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40" w:firstLine="656"/>
        <w:spacing w:after="0" w:line="210" w:lineRule="auto"/>
        <w:tabs>
          <w:tab w:leader="none" w:pos="12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the Subsidiaries), independent accountants and other experts selected by it, and shall not be liable for any action taken or not taken by it in accordance with the advice of any such counsel, accountants or experts.</w:t>
      </w:r>
    </w:p>
    <w:p>
      <w:pPr>
        <w:spacing w:after="0" w:line="157" w:lineRule="exact"/>
        <w:rPr>
          <w:rFonts w:ascii="Times New Roman" w:cs="Times New Roman" w:eastAsia="Times New Roman" w:hAnsi="Times New Roman"/>
          <w:sz w:val="22"/>
          <w:szCs w:val="22"/>
          <w:color w:val="auto"/>
        </w:rPr>
      </w:pPr>
    </w:p>
    <w:p>
      <w:pPr>
        <w:ind w:right="80" w:firstLine="656"/>
        <w:spacing w:after="0" w:line="210" w:lineRule="auto"/>
        <w:tabs>
          <w:tab w:leader="none" w:pos="12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the Administrative Agent and Lenders</w:t>
      </w:r>
      <w:r>
        <w:rPr>
          <w:rFonts w:ascii="Times New Roman" w:cs="Times New Roman" w:eastAsia="Times New Roman" w:hAnsi="Times New Roman"/>
          <w:sz w:val="22"/>
          <w:szCs w:val="22"/>
          <w:color w:val="auto"/>
        </w:rPr>
        <w:t xml:space="preserve">. The Administrative Agent and the Lenders shall be entitled to rely and act upon any notices (including telephonic or electronic loan notices) purportedly given by or on behalf of the Borrower or any of the Guarantors even if (i) such notices were not made in a manner specified herein, were incomplete or were not preceded or followed by any other form of notice specified herein, or (ii) the terms thereof, as understood by the recipient, varied from any confirmation thereof. The Borrower and the Guarantors shall indemnify the Administrative Agent, each Lender and their respective partners, directors, officers, employees, agents, trustees, administrators, managers, advisors and representatives from all losses, costs, expenses and liabilities resulting from the reliance by such Person on each notice purportedly given by or on behalf of the Borrower or any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Person be available to the extent that such losses, costs, expenses or liabilities are determined by a court of competent jurisdiction by final and non-appealable judgment to have resulted from the gross negligence or willful misconduct of such Person. All telephonic notices to and other telephonic communications with the Administrative Agent may be recorded by the Administrative Agent, and each of the parties hereto hereby consents to such recording.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22" w:right="339" w:bottom="1440" w:gutter="0" w:footer="0" w:header="0"/>
        </w:sectPr>
      </w:pPr>
    </w:p>
    <w:bookmarkStart w:id="105" w:name="page106"/>
    <w:bookmarkEnd w:id="105"/>
    <w:p>
      <w:pPr>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partners, directors, officers, employees, agents, trustees, administrators, managers, advisors and representatives. The rights, benefits and privileges (including the exculpatory and indemnification provisions) of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apply to any such sub-agent and to the partners, directors, officers, employees, agents, trustees, administrators, managers, advisors and representatives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any modification to such rights, benefits and privileges (including exculpatory rights and rights to indemnification) shall not be effective as against such sub-agent without its written consent thereto, and (iii) such sub-agent shall only have obligations to the Administrative Agent and not to the Borrower or any Guarantor, Lender or any other Person and none of the Borrower, the Guarantors, the Lenders or any other Person shall have any rights, directly or indirectly, as a third party beneficiary or otherwise, against such subagent.</w:t>
      </w:r>
    </w:p>
    <w:p>
      <w:pPr>
        <w:spacing w:after="0" w:line="170" w:lineRule="exact"/>
        <w:rPr>
          <w:sz w:val="20"/>
          <w:szCs w:val="20"/>
          <w:color w:val="auto"/>
        </w:rPr>
      </w:pPr>
    </w:p>
    <w:p>
      <w:pPr>
        <w:ind w:right="120"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11.6 </w:t>
      </w:r>
      <w:r>
        <w:rPr>
          <w:rFonts w:ascii="Times New Roman" w:cs="Times New Roman" w:eastAsia="Times New Roman" w:hAnsi="Times New Roman"/>
          <w:sz w:val="22"/>
          <w:szCs w:val="22"/>
          <w:u w:val="single" w:color="auto"/>
          <w:color w:val="auto"/>
        </w:rPr>
        <w:t>Resignation or Removal of the Administrative Agent.</w:t>
      </w:r>
      <w:r>
        <w:rPr>
          <w:rFonts w:ascii="Times New Roman" w:cs="Times New Roman" w:eastAsia="Times New Roman" w:hAnsi="Times New Roman"/>
          <w:sz w:val="22"/>
          <w:szCs w:val="22"/>
          <w:color w:val="auto"/>
        </w:rPr>
        <w:t xml:space="preserve"> The Administrative Agent may resign as the Administrative Agent at any time by giving 30 days advance notice thereof to the Lenders and the Borrower and, thereafter, the retiring Administrative Agent shall be discharged from its duties and obligations hereunder. No less than 30 days following the delivery of such written notice, the Required Lenders shall have the right with the consent of the Borrower (such consent not to be unreasonably withheld, conditioned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if an Event of Default has occurred and is continuing) to appoint a successor Administrative Agent, which shall be a bank with an office in the United States, or an Affiliate of any such bank with an office in the United States, with whom the Lenders shall be dealing on an arm’s length basis. Upon the acceptance of any appointment as the Administrative Agent hereunder by a successor Administrative Agent, such successor Administrative Agent shall thereupon succeed to and become vested with all rights, powers, privileges and duties of the retiring Administrative Agent. After any retiring Administrative Agent’s resignation hereunder as the Administrative Agent or upon a removal of the Administrative Agent upon the written request of the Required Lenders, the provisions of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shall continue in effect for its benefit in respect of any actions taken or omitted to be taken by it while it was acting as the Administrative Agent. If no successor has accepted appointment as the Administrative Agent by the date which is 30 days following delivery of written notice of resignation or removal, the retiring Administrative Agent’s resignation or removal shall nevertheless thereupon become effective and the Required Lenders shall perform all of the duties of the Administrative Agent hereunder until such time, if any, as the Required Lenders appoint a successor agent as provided for above. For the avoidance of doubt, in no event shall any such successor Administrative Agent be a Defaulting Lender or Disqualified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395" w:right="339" w:bottom="1440" w:gutter="0" w:footer="0" w:header="0"/>
        </w:sectPr>
      </w:pPr>
    </w:p>
    <w:bookmarkStart w:id="106" w:name="page107"/>
    <w:bookmarkEnd w:id="106"/>
    <w:p>
      <w:pPr>
        <w:ind w:right="2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11.7 </w:t>
      </w:r>
      <w:r>
        <w:rPr>
          <w:rFonts w:ascii="Times New Roman" w:cs="Times New Roman" w:eastAsia="Times New Roman" w:hAnsi="Times New Roman"/>
          <w:sz w:val="22"/>
          <w:szCs w:val="22"/>
          <w:u w:val="single" w:color="auto"/>
          <w:color w:val="auto"/>
        </w:rPr>
        <w:t>Non-Reliance on the Administrative Agent and Other Lenders.</w:t>
      </w:r>
      <w:r>
        <w:rPr>
          <w:rFonts w:ascii="Times New Roman" w:cs="Times New Roman" w:eastAsia="Times New Roman" w:hAnsi="Times New Roman"/>
          <w:sz w:val="22"/>
          <w:szCs w:val="22"/>
          <w:color w:val="auto"/>
        </w:rPr>
        <w:t xml:space="preserve"> Each Lender acknowledges that it has, independently and without reliance upon the Administrative Agent or any other Lender or any of their respective partners, directors, officers, employees, agents, trustees, administrators, managers, advisors and representatives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respective partners, directors, officers, employees, agents, trustees, administrators, managers, advisors and representatives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8"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11.8 </w:t>
      </w:r>
      <w:r>
        <w:rPr>
          <w:rFonts w:ascii="Times New Roman" w:cs="Times New Roman" w:eastAsia="Times New Roman" w:hAnsi="Times New Roman"/>
          <w:sz w:val="22"/>
          <w:szCs w:val="22"/>
          <w:u w:val="single" w:color="auto"/>
          <w:color w:val="auto"/>
        </w:rPr>
        <w:t>Administrative Agent May File Proofs of Claim.</w:t>
      </w:r>
      <w:r>
        <w:rPr>
          <w:rFonts w:ascii="Times New Roman" w:cs="Times New Roman" w:eastAsia="Times New Roman" w:hAnsi="Times New Roman"/>
          <w:sz w:val="22"/>
          <w:szCs w:val="22"/>
          <w:color w:val="auto"/>
        </w:rPr>
        <w:t xml:space="preserve"> In case of the pendency of any receivership, insolvency, liquidation, bankruptcy, reorganization, arrangement, adjustment, composition or other judicial proceeding relative to the Borrower or any Guarantor,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52" w:lineRule="exact"/>
        <w:rPr>
          <w:sz w:val="20"/>
          <w:szCs w:val="20"/>
          <w:color w:val="auto"/>
        </w:rPr>
      </w:pPr>
    </w:p>
    <w:p>
      <w:pPr>
        <w:ind w:right="180" w:firstLine="656"/>
        <w:spacing w:after="0" w:line="227" w:lineRule="auto"/>
        <w:tabs>
          <w:tab w:leader="none" w:pos="1293"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1"/>
          <w:szCs w:val="21"/>
          <w:u w:val="single" w:color="auto"/>
          <w:color w:val="auto"/>
        </w:rPr>
        <w:t>Section 10.4</w:t>
      </w:r>
      <w:r>
        <w:rPr>
          <w:rFonts w:ascii="Times New Roman" w:cs="Times New Roman" w:eastAsia="Times New Roman" w:hAnsi="Times New Roman"/>
          <w:sz w:val="21"/>
          <w:szCs w:val="21"/>
          <w:color w:val="auto"/>
        </w:rPr>
        <w:t>) allowed in such judicial proceeding; and</w:t>
      </w:r>
    </w:p>
    <w:p>
      <w:pPr>
        <w:spacing w:after="0" w:line="15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 distribute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same;</w:t>
      </w:r>
    </w:p>
    <w:p>
      <w:pPr>
        <w:spacing w:after="0" w:line="18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2"/>
          <w:szCs w:val="22"/>
          <w:color w:val="auto"/>
        </w:rPr>
        <w:t xml:space="preserve">and any custodian, receiver, receiver-manager, monitor,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addition, the Lenders hereby irrevocably authorize the Administrative Agent, based upon the written instruction of the Required Lenders, to (a) credit bid and in such manner purchase (either directly or through one or more acquisition vehicles) all or any portion of the Collateral at any sale thereof conducted under the provisions of the Debtor Relief Laws, including under Section 363 of the Bankruptcy Code of the United States or any similar laws in any other jurisdictions to which the Borrower or any Guarantor is subject, or (b) credit bid and in such manner purchase (either directly or through one or more acquisition vehicles) all or any portion of the Collateral at any other sale or foreclosure conducted by (or with the consent or at the direction of) the Administrative Agent (whether by judicial action or otherwise) in accordance with applicable Law. In connection with any such credit bid and purchase,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395" w:right="339" w:bottom="1440" w:gutter="0" w:footer="0" w:header="0"/>
        </w:sectPr>
      </w:pPr>
    </w:p>
    <w:bookmarkStart w:id="107" w:name="page108"/>
    <w:bookmarkEnd w:id="107"/>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Obligations owed to the Lenders shall be entitled to be, and shall be, credit bid on a ratable basis (with Obligations with respect to contingent or unliquidated claims being estimated for such purpose if the fixing or liquidation thereof would not unduly delay the ability of the Administrative Agent to credit bid and purchase at such sale or other disposition of the Collateral and, if such claims cannot be estimated without unduly delaying the ability of the Administrative Agent to credit bid, then such claims shall be disregarded, not credit bid, and not entitled to any interest in the asset or assets purchased by means of such credit bid) and the Lenders whose Obligations are credit bid shall be entitled to receive interests (ratably based upon the proportion of their Obligations credit bid in relation to the aggregate amount of Obligations so credit bid) in the asset or assets so purchased (or in the Capital Securities of the acquisition vehicle or vehicles that are used to consummate such purchase). Except as provided above and otherwise expressly provided for herein or in the other Loan Documents, the Administrative Agent will not execute or deliver a release of any Lien on any Collateral. Upon request by the Administrative Agent at any time, the Lenders will confirm in writing the Administrative Agent’s authority to release any such Liens on particular types or items of Collateral pursuant to, and in accordance with, this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xml:space="preserve">. Each Secured Party whose Obligations are credit bid under this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xml:space="preserve"> shall be entitled to receive interests in the Collateral or any other asset acquired in connection with such credit bid (or in the Capital Securities of the acquisition vehicle or vehicles that are used to consummate such acquisition) on a ratable basis in accordance with the percentage obtained by dividing (y) the amount of Obligations of such Secured Party that were credit bid in such credit bid by (z) the aggregate amount of all Obligations that were credit bid in such credit bid.</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49"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11.9</w:t>
      </w:r>
      <w:r>
        <w:rPr>
          <w:sz w:val="20"/>
          <w:szCs w:val="20"/>
          <w:color w:val="auto"/>
        </w:rPr>
        <w:tab/>
      </w:r>
      <w:r>
        <w:rPr>
          <w:rFonts w:ascii="Times New Roman" w:cs="Times New Roman" w:eastAsia="Times New Roman" w:hAnsi="Times New Roman"/>
          <w:sz w:val="21"/>
          <w:szCs w:val="21"/>
          <w:u w:val="single" w:color="auto"/>
          <w:color w:val="auto"/>
        </w:rPr>
        <w:t>Collateral and Guarantee Matters</w:t>
      </w:r>
      <w:r>
        <w:rPr>
          <w:rFonts w:ascii="Times New Roman" w:cs="Times New Roman" w:eastAsia="Times New Roman" w:hAnsi="Times New Roman"/>
          <w:sz w:val="21"/>
          <w:szCs w:val="21"/>
          <w:color w:val="auto"/>
        </w:rPr>
        <w:t>. The Lenders irrevocably authorize the Administrative Agent:</w:t>
      </w:r>
    </w:p>
    <w:p>
      <w:pPr>
        <w:spacing w:after="0" w:line="179" w:lineRule="exact"/>
        <w:rPr>
          <w:sz w:val="20"/>
          <w:szCs w:val="20"/>
          <w:color w:val="auto"/>
        </w:rPr>
      </w:pPr>
    </w:p>
    <w:p>
      <w:pPr>
        <w:ind w:right="40" w:firstLine="656"/>
        <w:spacing w:after="0" w:line="217" w:lineRule="auto"/>
        <w:tabs>
          <w:tab w:leader="none" w:pos="129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any Lien on any Collateral granted to or held by the Administrative Agent under any Loan Document (i) upon the Termination Date, (ii) that is sold or otherwise disposed of to a Person that is not the Borrower or any Guarantor as part of or in connection with any sale or other Disposition permitted hereunder and under the other Loan Documents or any Casualty Event, (iii) owned by a Guarantor upon release of such Guarantor from its obligations under its Guarantee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11.9(b)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as approved in accordance with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right="460" w:firstLine="656"/>
        <w:spacing w:after="0" w:line="236" w:lineRule="auto"/>
        <w:tabs>
          <w:tab w:leader="none" w:pos="12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Guarantor from its obligations under the Guarantee (i) upon the Termination Date or (ii) if such Person ceases to be a Subsidiary as a result of a transaction permitted under the Loan Documents; and</w:t>
      </w:r>
    </w:p>
    <w:p>
      <w:pPr>
        <w:spacing w:after="0" w:line="150" w:lineRule="exact"/>
        <w:rPr>
          <w:rFonts w:ascii="Times New Roman" w:cs="Times New Roman" w:eastAsia="Times New Roman" w:hAnsi="Times New Roman"/>
          <w:sz w:val="22"/>
          <w:szCs w:val="22"/>
          <w:color w:val="auto"/>
        </w:rPr>
      </w:pPr>
    </w:p>
    <w:p>
      <w:pPr>
        <w:ind w:right="140" w:firstLine="656"/>
        <w:spacing w:after="0" w:line="225" w:lineRule="auto"/>
        <w:tabs>
          <w:tab w:leader="none" w:pos="129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subordinate any Lien under the Loan Documents to Liens permitted under </w:t>
      </w:r>
      <w:r>
        <w:rPr>
          <w:rFonts w:ascii="Times New Roman" w:cs="Times New Roman" w:eastAsia="Times New Roman" w:hAnsi="Times New Roman"/>
          <w:sz w:val="22"/>
          <w:szCs w:val="22"/>
          <w:u w:val="single" w:color="auto"/>
          <w:color w:val="auto"/>
        </w:rPr>
        <w:t>Section 8.3(s)</w:t>
      </w:r>
      <w:r>
        <w:rPr>
          <w:rFonts w:ascii="Times New Roman" w:cs="Times New Roman" w:eastAsia="Times New Roman" w:hAnsi="Times New Roman"/>
          <w:sz w:val="22"/>
          <w:szCs w:val="22"/>
          <w:color w:val="auto"/>
        </w:rPr>
        <w:t xml:space="preserve"> on any Collateral that is customarily priority collateral under an accounts receivable facility related to in connection with the entering into of an intercreditor agreement in relation to Permitted Revolving Credit Facility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22" w:right="339" w:bottom="1440" w:gutter="0" w:footer="0" w:header="0"/>
        </w:sectPr>
      </w:pPr>
    </w:p>
    <w:bookmarkStart w:id="108" w:name="page109"/>
    <w:bookmarkEnd w:id="10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Upon request by the Administrative Agent at any time, the Required Lenders will confirm in writing the Administrative Agent’s authority to release its interest in particular types or items of property, or to release any Guarantor from its obligations under the Guarantee, pursuant to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the event that any Collateral shall be attached, garnished or levied upon by any court order, or the delivery thereof shall be stayed or enjoined by an order of a court, or any order, judgment or decree shall be made or entered by any court order affecting the Collateral, the Administrative Agent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Administrative Agent obeys or complies with any such writ, order or decree it shall not be liable to any of the Parties or to any other person, firm or corporation, should, by reason of such compliance notwithstanding, such writ, order or decree be subsequently reversed, modified, annulled, set aside or vacated.</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Administrative Agent shall have no obligation to give, execute, deliver, file, record, authorize or obtain any financing statements, notices, instruments, documents, agreements, consents or other papers as shall be necessary to (i) create, preserve, perfect or validate any security interest granted to the Administrative Agent pursuant to the Loan Documents or (ii) enable the Administrative Agent to exercise and enforce its rights under the Loan Documents with respect to any such pledge and security interest.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the Borrower or any Guarantor in connection therewith, nor shall the Administrative Agent be responsible or liable to the Lenders for any failure to monitor or maintain any portion of the Collateral.</w:t>
      </w:r>
    </w:p>
    <w:p>
      <w:pPr>
        <w:spacing w:after="0" w:line="153"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11.10</w:t>
      </w:r>
      <w:r>
        <w:rPr>
          <w:sz w:val="20"/>
          <w:szCs w:val="20"/>
          <w:color w:val="auto"/>
        </w:rPr>
        <w:tab/>
      </w:r>
      <w:r>
        <w:rPr>
          <w:rFonts w:ascii="Times New Roman" w:cs="Times New Roman" w:eastAsia="Times New Roman" w:hAnsi="Times New Roman"/>
          <w:sz w:val="21"/>
          <w:szCs w:val="21"/>
          <w:u w:val="single" w:color="auto"/>
          <w:color w:val="auto"/>
        </w:rPr>
        <w:t>Erroneous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09" w:lineRule="auto"/>
        <w:tabs>
          <w:tab w:leader="none" w:pos="129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notifies a Lender, or any Person who has received funds on behalf of a Lender (any such Lender or other recipient,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and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xml:space="preserve"> and shall be segregated by the Payment Recipient and held in trust for the benefit of the Administrative Agent, and such Lender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22" w:right="339" w:bottom="1440" w:gutter="0" w:footer="0" w:header="0"/>
        </w:sectPr>
      </w:pPr>
    </w:p>
    <w:bookmarkStart w:id="109" w:name="page110"/>
    <w:bookmarkEnd w:id="109"/>
    <w:p>
      <w:pPr>
        <w:jc w:val="both"/>
        <w:spacing w:after="0" w:line="217" w:lineRule="auto"/>
        <w:rPr>
          <w:sz w:val="20"/>
          <w:szCs w:val="20"/>
          <w:color w:val="auto"/>
        </w:rPr>
      </w:pPr>
      <w:r>
        <w:rPr>
          <w:rFonts w:ascii="Times New Roman" w:cs="Times New Roman" w:eastAsia="Times New Roman" w:hAnsi="Times New Roman"/>
          <w:sz w:val="22"/>
          <w:szCs w:val="22"/>
          <w:color w:val="auto"/>
        </w:rPr>
        <w:t>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52" w:lineRule="exact"/>
        <w:rPr>
          <w:sz w:val="20"/>
          <w:szCs w:val="20"/>
          <w:color w:val="auto"/>
        </w:rPr>
      </w:pPr>
    </w:p>
    <w:p>
      <w:pPr>
        <w:jc w:val="both"/>
        <w:ind w:firstLine="656"/>
        <w:spacing w:after="0" w:line="212" w:lineRule="auto"/>
        <w:tabs>
          <w:tab w:leader="none" w:pos="129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immediately preceding clause (a),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156" w:lineRule="exact"/>
        <w:rPr>
          <w:rFonts w:ascii="Times New Roman" w:cs="Times New Roman" w:eastAsia="Times New Roman" w:hAnsi="Times New Roman"/>
          <w:sz w:val="22"/>
          <w:szCs w:val="22"/>
          <w:color w:val="auto"/>
        </w:rPr>
      </w:pPr>
    </w:p>
    <w:p>
      <w:pPr>
        <w:ind w:left="660" w:firstLine="644"/>
        <w:spacing w:after="0" w:line="220" w:lineRule="auto"/>
        <w:tabs>
          <w:tab w:leader="none" w:pos="194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acknowledges and agrees that (A) in the case of immediately preceding clauses (x) or (y), an error or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52" w:lineRule="exact"/>
        <w:rPr>
          <w:rFonts w:ascii="Times New Roman" w:cs="Times New Roman" w:eastAsia="Times New Roman" w:hAnsi="Times New Roman"/>
          <w:sz w:val="22"/>
          <w:szCs w:val="22"/>
          <w:color w:val="auto"/>
        </w:rPr>
      </w:pPr>
    </w:p>
    <w:p>
      <w:pPr>
        <w:ind w:left="660" w:right="100" w:firstLine="644"/>
        <w:spacing w:after="0" w:line="217" w:lineRule="auto"/>
        <w:tabs>
          <w:tab w:leader="none" w:pos="195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2"/>
          <w:szCs w:val="22"/>
          <w:u w:val="single" w:color="auto"/>
          <w:color w:val="auto"/>
        </w:rPr>
        <w:t>Section 11.10(b)(ii)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and (y) an Erroneous Payment shall not pay, prepay, repay, discharge or otherwise satisfy any Obligations owed by the Borrower or any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395" w:right="339" w:bottom="1440" w:gutter="0" w:footer="0" w:header="0"/>
        </w:sectPr>
      </w:pPr>
    </w:p>
    <w:bookmarkStart w:id="110" w:name="page111"/>
    <w:bookmarkEnd w:id="110"/>
    <w:p>
      <w:pPr>
        <w:jc w:val="both"/>
        <w:spacing w:after="0" w:line="225" w:lineRule="auto"/>
        <w:rPr>
          <w:sz w:val="20"/>
          <w:szCs w:val="20"/>
          <w:color w:val="auto"/>
        </w:rPr>
      </w:pPr>
      <w:r>
        <w:rPr>
          <w:rFonts w:ascii="Times New Roman" w:cs="Times New Roman" w:eastAsia="Times New Roman" w:hAnsi="Times New Roman"/>
          <w:sz w:val="22"/>
          <w:szCs w:val="22"/>
          <w:color w:val="auto"/>
        </w:rPr>
        <w:t>doubt, immediately preceding clauses (x) and (y) shall not apply to the extent any Erroneous Payment is, and solely with respect to the amount of such Erroneous Payment that is, comprised of funds received by the Administrative Agent from the Borrower or any Guarantor for the purpose of making such Erroneous Payment.</w:t>
      </w:r>
    </w:p>
    <w:p>
      <w:pPr>
        <w:spacing w:after="0" w:line="153" w:lineRule="exact"/>
        <w:rPr>
          <w:sz w:val="20"/>
          <w:szCs w:val="20"/>
          <w:color w:val="auto"/>
        </w:rPr>
      </w:pPr>
    </w:p>
    <w:p>
      <w:pPr>
        <w:jc w:val="both"/>
        <w:ind w:firstLine="656"/>
        <w:spacing w:after="0" w:line="220" w:lineRule="auto"/>
        <w:tabs>
          <w:tab w:leader="none" w:pos="129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395" w:right="339" w:bottom="1440" w:gutter="0" w:footer="0" w:header="0"/>
        </w:sectPr>
      </w:pPr>
    </w:p>
    <w:bookmarkStart w:id="111" w:name="page112"/>
    <w:bookmarkEnd w:id="11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by their respective officers thereunto duly authorized as of the day and year first above written.</w:t>
      </w:r>
    </w:p>
    <w:p>
      <w:pPr>
        <w:spacing w:after="0" w:line="200" w:lineRule="exact"/>
        <w:rPr>
          <w:sz w:val="20"/>
          <w:szCs w:val="20"/>
          <w:color w:val="auto"/>
        </w:rPr>
      </w:pPr>
    </w:p>
    <w:p>
      <w:pPr>
        <w:spacing w:after="0" w:line="25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7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J. Leffler</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Scott J. Leffler</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700"/>
          </w:cols>
          <w:pgMar w:left="320" w:top="1422" w:right="879" w:bottom="1440" w:gutter="0" w:footer="0" w:header="0"/>
        </w:sectPr>
      </w:pPr>
    </w:p>
    <w:bookmarkStart w:id="112" w:name="page113"/>
    <w:bookmarkEnd w:id="112"/>
    <w:p>
      <w:pPr>
        <w:spacing w:after="0" w:line="200" w:lineRule="exact"/>
        <w:rPr>
          <w:sz w:val="20"/>
          <w:szCs w:val="20"/>
          <w:color w:val="auto"/>
        </w:rPr>
      </w:pPr>
    </w:p>
    <w:p>
      <w:pPr>
        <w:spacing w:after="0" w:line="241" w:lineRule="exact"/>
        <w:rPr>
          <w:sz w:val="20"/>
          <w:szCs w:val="20"/>
          <w:color w:val="auto"/>
        </w:rPr>
      </w:pPr>
    </w:p>
    <w:p>
      <w:pPr>
        <w:ind w:left="2780" w:right="239"/>
        <w:spacing w:after="0" w:line="271" w:lineRule="auto"/>
        <w:rPr>
          <w:sz w:val="20"/>
          <w:szCs w:val="20"/>
          <w:color w:val="auto"/>
        </w:rPr>
      </w:pPr>
      <w:r>
        <w:rPr>
          <w:rFonts w:ascii="Times New Roman" w:cs="Times New Roman" w:eastAsia="Times New Roman" w:hAnsi="Times New Roman"/>
          <w:sz w:val="22"/>
          <w:szCs w:val="22"/>
          <w:color w:val="auto"/>
        </w:rPr>
        <w:t>ORBIMED ROYALTY &amp; CREDIT OPPORTUNITIES IV, LP, as the Administrative Agent</w:t>
      </w:r>
    </w:p>
    <w:p>
      <w:pPr>
        <w:spacing w:after="0" w:line="21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3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Rizzo</w:t>
      </w:r>
    </w:p>
    <w:p>
      <w:pPr>
        <w:spacing w:after="0" w:line="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Matthew Rizzo</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ORBIMED ROYALTY &amp; CREDIT OPPORTUNITIES IV, LP, as the Initial Lender</w:t>
      </w:r>
    </w:p>
    <w:p>
      <w:pPr>
        <w:sectPr>
          <w:pgSz w:w="11900" w:h="16838" w:orient="portrait"/>
          <w:cols w:equalWidth="0" w:num="1">
            <w:col w:w="10020"/>
          </w:cols>
          <w:pgMar w:left="1440" w:top="1440" w:right="439" w:bottom="1440" w:gutter="0" w:footer="0" w:header="0"/>
        </w:sectPr>
      </w:pPr>
    </w:p>
    <w:p>
      <w:pPr>
        <w:spacing w:after="0" w:line="2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3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Rizzo</w:t>
      </w:r>
    </w:p>
    <w:p>
      <w:pPr>
        <w:spacing w:after="0" w:line="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Matthew Rizzo</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020"/>
          </w:cols>
          <w:pgMar w:left="1440" w:top="1440" w:right="439" w:bottom="1440" w:gutter="0" w:footer="0" w:header="0"/>
          <w:type w:val="continuous"/>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PLEDGE AND SECURITY AGREEMENT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PLEDGE AND SECURITY AGREEMENT, dated as of July 31, 2025 (as amended, supplemented or otherwise modified from time to time, this “</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is made by MYRIAD GENETICS,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and the other entities listed on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(together with the Borrower and any other entity that may become party hereto as provided herein, each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Grantors</w:t>
      </w:r>
      <w:r>
        <w:rPr>
          <w:rFonts w:ascii="Times New Roman" w:cs="Times New Roman" w:eastAsia="Times New Roman" w:hAnsi="Times New Roman"/>
          <w:sz w:val="22"/>
          <w:szCs w:val="22"/>
          <w:color w:val="auto"/>
        </w:rPr>
        <w:t>”), in favor of ORBIMED ROYALTY &amp; CREDIT OPPORTUNITIES IV, LP, a Delaware limited partnership (in such capacity, together with its successors, transferees and assignees,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as Administrative Agent for the Secured Parties (as defined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pursuant to the Credit Agreement, dated as of July 31, 2025 (as amended,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by and among the Borrower, the Lenders party thereto and the Administrative Agent, the Lenders have extended Commitments to make Loans to the Borrower from time to time;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as a condition precedent to, and in order to induce the Lenders to make or continue to make, as the case may be, the Loans, under the Credit Agreement, each Grantor is required to execute and deliver this Security Agreement; and</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it is required under the terms of the Credit Agreement that the Grantors shall have granted, pledged and assigned the security interests and undertaken the obligations contemplated by this Security Agreement.</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each Grantor agrees, for the benefit of the Secured Parties, as follows:</w:t>
      </w:r>
    </w:p>
    <w:p>
      <w:pPr>
        <w:spacing w:after="0" w:line="3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w:t>
      </w:r>
    </w:p>
    <w:p>
      <w:pPr>
        <w:ind w:left="4960"/>
        <w:spacing w:after="0"/>
        <w:rPr>
          <w:sz w:val="20"/>
          <w:szCs w:val="20"/>
          <w:color w:val="auto"/>
        </w:rPr>
      </w:pPr>
      <w:r>
        <w:rPr>
          <w:rFonts w:ascii="Times New Roman" w:cs="Times New Roman" w:eastAsia="Times New Roman" w:hAnsi="Times New Roman"/>
          <w:sz w:val="22"/>
          <w:szCs w:val="22"/>
          <w:color w:val="auto"/>
        </w:rPr>
        <w:t>DEFINITIONS</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Certain Terms</w:t>
      </w:r>
      <w:r>
        <w:rPr>
          <w:rFonts w:ascii="Times New Roman" w:cs="Times New Roman" w:eastAsia="Times New Roman" w:hAnsi="Times New Roman"/>
          <w:sz w:val="22"/>
          <w:szCs w:val="22"/>
          <w:color w:val="auto"/>
        </w:rPr>
        <w:t>. The following terms (whether or not underscored) when used in this Security Agreement, including its preamble and recitals, shall have the following meanings (such definitions to be equally applicable to the singular and plural forms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Accounts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4.3(b)</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38" w:right="339" w:bottom="1440" w:gutter="0" w:footer="0" w:header="0"/>
        </w:sectPr>
      </w:pPr>
    </w:p>
    <w:bookmarkStart w:id="115" w:name="page116"/>
    <w:bookmarkEnd w:id="115"/>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Computer Hardware and Software Collateral</w:t>
      </w:r>
      <w:r>
        <w:rPr>
          <w:rFonts w:ascii="Times New Roman" w:cs="Times New Roman" w:eastAsia="Times New Roman" w:hAnsi="Times New Roman"/>
          <w:sz w:val="22"/>
          <w:szCs w:val="22"/>
          <w:color w:val="auto"/>
        </w:rPr>
        <w:t xml:space="preserve">” means: (a) all of the Grantors’ computer and other electronic data processing hardware, integrated computer systems, central processing units, memory units, display terminals, printers, features, computer elements, card readers, tape drives, hard and soft disk drives, cables, electrical supply hardware, generators, power equalizers, accessories and all peripheral devices and other related computer hardware, including all operating system software, utilities and application programs in whatsoever form; (b) all of the Grantors’ rights to its software programs (including both source code, object code and all related applications and data files) designed for use on the computers and electronic data processing hardware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(c) all firmware associated therewith; (d) all documentation (including flow charts, logic diagrams, manuals, guides, specifications, training materials, charts and pseudo codes) with respect to such hardware, software and firmware described in the preceding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and (e) all of Grantors’ rights with respect to all of the foregoing, including copyrights, licenses, options, warranties, service contracts, program services, test rights, maintenance rights, support rights, improvement rights, renewal rights and indemnifications and any substitutions, replacements, improvements, error corrections, updates, additions or model conversions of any of the foregoing.</w:t>
      </w:r>
    </w:p>
    <w:p>
      <w:pPr>
        <w:spacing w:after="0" w:line="184"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 Agreement</w:t>
      </w:r>
      <w:r>
        <w:rPr>
          <w:rFonts w:ascii="Times New Roman" w:cs="Times New Roman" w:eastAsia="Times New Roman" w:hAnsi="Times New Roman"/>
          <w:sz w:val="21"/>
          <w:szCs w:val="21"/>
          <w:color w:val="auto"/>
        </w:rPr>
        <w:t>” means an authenticated record in form and substance reasonably satisfactory to the Administrative Agent, that provides for the Administrative Agent to have “control” (as defined in the UCC) over certain Collateral.</w:t>
      </w:r>
    </w:p>
    <w:p>
      <w:pPr>
        <w:spacing w:after="0" w:line="1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 Collateral</w:t>
      </w:r>
      <w:r>
        <w:rPr>
          <w:rFonts w:ascii="Times New Roman" w:cs="Times New Roman" w:eastAsia="Times New Roman" w:hAnsi="Times New Roman"/>
          <w:sz w:val="22"/>
          <w:szCs w:val="22"/>
          <w:color w:val="auto"/>
        </w:rPr>
        <w:t xml:space="preserve">” means all Copyrights, including the copyrights referred to in </w:t>
      </w:r>
      <w:r>
        <w:rPr>
          <w:rFonts w:ascii="Times New Roman" w:cs="Times New Roman" w:eastAsia="Times New Roman" w:hAnsi="Times New Roman"/>
          <w:sz w:val="22"/>
          <w:szCs w:val="22"/>
          <w:u w:val="single" w:color="auto"/>
          <w:color w:val="auto"/>
        </w:rPr>
        <w:t>Item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xml:space="preserve">, and registrations and recordings thereof and all applications for registration thereof, whether pending or in preparation, all copyright licenses, including each copyright license referred to in </w:t>
      </w:r>
      <w:r>
        <w:rPr>
          <w:rFonts w:ascii="Times New Roman" w:cs="Times New Roman" w:eastAsia="Times New Roman" w:hAnsi="Times New Roman"/>
          <w:sz w:val="22"/>
          <w:szCs w:val="22"/>
          <w:u w:val="single" w:color="auto"/>
          <w:color w:val="auto"/>
        </w:rPr>
        <w:t>Item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the right to sue for past, present and future infringements of any of the foregoing, all rights corresponding thereto, all extensions and renewals of any thereof and all Proceeds of the foregoing, including licenses, royalties, income, payments, claims, damages and Proceeds of suit, which are owned or licensed by the Grantors.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means all dividends paid on Capital Securities, liquidating dividends paid on Capital Securities, shares (or other designations) of Capital Securities resulting from (or in connection with the exercise of) stock splits, reclassifications, warrants, options, non-cash dividends, mergers, consolidations, and all other distributions (whether similar or dissimilar to the foregoing) on or with respect to any Capital Securities constituting Collateral.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Statements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3.7(b)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Intangibles</w:t>
      </w:r>
      <w:r>
        <w:rPr>
          <w:rFonts w:ascii="Times New Roman" w:cs="Times New Roman" w:eastAsia="Times New Roman" w:hAnsi="Times New Roman"/>
          <w:sz w:val="22"/>
          <w:szCs w:val="22"/>
          <w:color w:val="auto"/>
        </w:rPr>
        <w:t>” means all “general intangibles” and all “payment intangibles,” each as defined in the UCC, and shall include all interest rate or currency protection or hedging arrangements, all tax refunds, all licenses, permits, concessions and authorizations and all Intellectual Property Collateral (in each case, regardless of whether characterized as general intangibles under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Grantors</w:t>
      </w:r>
      <w:r>
        <w:rPr>
          <w:rFonts w:ascii="Times New Roman" w:cs="Times New Roman" w:eastAsia="Times New Roman" w:hAnsi="Times New Roman"/>
          <w:sz w:val="22"/>
          <w:szCs w:val="22"/>
          <w:color w:val="auto"/>
        </w:rPr>
        <w:t xml:space="preserve">” are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Collateral</w:t>
      </w:r>
      <w:r>
        <w:rPr>
          <w:rFonts w:ascii="Times New Roman" w:cs="Times New Roman" w:eastAsia="Times New Roman" w:hAnsi="Times New Roman"/>
          <w:sz w:val="22"/>
          <w:szCs w:val="22"/>
          <w:color w:val="auto"/>
        </w:rPr>
        <w:t>” means, collectively, the Computer Hardware and Software Collateral, the Copyright Collateral, the Patent Collateral, the Trademark Collateral, and the Trade Secrets Collateral.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Note</w:t>
      </w:r>
      <w:r>
        <w:rPr>
          <w:rFonts w:ascii="Times New Roman" w:cs="Times New Roman" w:eastAsia="Times New Roman" w:hAnsi="Times New Roman"/>
          <w:sz w:val="22"/>
          <w:szCs w:val="22"/>
          <w:color w:val="auto"/>
        </w:rPr>
        <w:t>” means any promissory note evidencing loans made by any Grantor to any other Grantor.</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Property</w:t>
      </w:r>
      <w:r>
        <w:rPr>
          <w:rFonts w:ascii="Times New Roman" w:cs="Times New Roman" w:eastAsia="Times New Roman" w:hAnsi="Times New Roman"/>
          <w:sz w:val="22"/>
          <w:szCs w:val="22"/>
          <w:color w:val="auto"/>
        </w:rPr>
        <w:t>” means, collectively, (a) all “investment property” as such term is defined in Section 9-102(a)(49) of the UCC and (b) whether or not constituting “investment property” as so defined, all Pledged Notes.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Collateral</w:t>
      </w:r>
      <w:r>
        <w:rPr>
          <w:rFonts w:ascii="Times New Roman" w:cs="Times New Roman" w:eastAsia="Times New Roman" w:hAnsi="Times New Roman"/>
          <w:sz w:val="22"/>
          <w:szCs w:val="22"/>
          <w:color w:val="auto"/>
        </w:rPr>
        <w:t>” means:</w:t>
      </w:r>
    </w:p>
    <w:p>
      <w:pPr>
        <w:spacing w:after="0" w:line="193" w:lineRule="exact"/>
        <w:rPr>
          <w:sz w:val="20"/>
          <w:szCs w:val="20"/>
          <w:color w:val="auto"/>
        </w:rPr>
      </w:pPr>
    </w:p>
    <w:p>
      <w:pPr>
        <w:ind w:left="660" w:firstLine="644"/>
        <w:spacing w:after="0" w:line="236" w:lineRule="auto"/>
        <w:tabs>
          <w:tab w:leader="none" w:pos="195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Grantors’ Patents throughout the world, including all patent applications in preparation for filing and each patent and patent application referred to in </w:t>
      </w:r>
      <w:r>
        <w:rPr>
          <w:rFonts w:ascii="Times New Roman" w:cs="Times New Roman" w:eastAsia="Times New Roman" w:hAnsi="Times New Roman"/>
          <w:sz w:val="22"/>
          <w:szCs w:val="22"/>
          <w:u w:val="single" w:color="auto"/>
          <w:color w:val="auto"/>
        </w:rPr>
        <w:t>Item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patent licenses, and other agreements providing any Grantor with the right to use any items of the type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above, including each patent license referred to in </w:t>
      </w:r>
      <w:r>
        <w:rPr>
          <w:rFonts w:ascii="Times New Roman" w:cs="Times New Roman" w:eastAsia="Times New Roman" w:hAnsi="Times New Roman"/>
          <w:sz w:val="22"/>
          <w:szCs w:val="22"/>
          <w:u w:val="single" w:color="auto"/>
          <w:color w:val="auto"/>
        </w:rPr>
        <w:t>Item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and rights associated with, the foregoing (including licenses, royalties income, payments, claims, damages and Proceeds of infringement suits) and the right of any Grantor to sue third parties for past, present or future infringements of any Patent or patent application and for breach or enforcement of any patent license.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all Liens permitted by Section 8.3 of the Credit Agreement.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Notes</w:t>
      </w:r>
      <w:r>
        <w:rPr>
          <w:rFonts w:ascii="Times New Roman" w:cs="Times New Roman" w:eastAsia="Times New Roman" w:hAnsi="Times New Roman"/>
          <w:sz w:val="22"/>
          <w:szCs w:val="22"/>
          <w:color w:val="auto"/>
        </w:rPr>
        <w:t xml:space="preserve">” means all promissory notes listed on </w:t>
      </w:r>
      <w:r>
        <w:rPr>
          <w:rFonts w:ascii="Times New Roman" w:cs="Times New Roman" w:eastAsia="Times New Roman" w:hAnsi="Times New Roman"/>
          <w:sz w:val="22"/>
          <w:szCs w:val="22"/>
          <w:u w:val="single" w:color="auto"/>
          <w:color w:val="auto"/>
        </w:rPr>
        <w:t>Item J</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(as such schedule may be amended or supplemented from time to time), all Intercompany Notes at any time issued to any Grantor and all other promissory notes issued to or held by any Grantor.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collectively, the Administrative Agent and the Lenders and “</w:t>
      </w:r>
      <w:r>
        <w:rPr>
          <w:rFonts w:ascii="Times New Roman" w:cs="Times New Roman" w:eastAsia="Times New Roman" w:hAnsi="Times New Roman"/>
          <w:sz w:val="22"/>
          <w:szCs w:val="22"/>
          <w:u w:val="single" w:color="auto"/>
          <w:color w:val="auto"/>
        </w:rPr>
        <w:t>Secured Party</w:t>
      </w:r>
      <w:r>
        <w:rPr>
          <w:rFonts w:ascii="Times New Roman" w:cs="Times New Roman" w:eastAsia="Times New Roman" w:hAnsi="Times New Roman"/>
          <w:sz w:val="22"/>
          <w:szCs w:val="22"/>
          <w:color w:val="auto"/>
        </w:rPr>
        <w:t>” means any one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of a Person means all of such Person’s common law and statutory trade secrets and all other confidential proprietary information, and all know-how obtained by or used in the business of such Person.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 Collateral</w:t>
      </w:r>
      <w:r>
        <w:rPr>
          <w:rFonts w:ascii="Times New Roman" w:cs="Times New Roman" w:eastAsia="Times New Roman" w:hAnsi="Times New Roman"/>
          <w:sz w:val="22"/>
          <w:szCs w:val="22"/>
          <w:color w:val="auto"/>
        </w:rPr>
        <w:t>” means all of the Grantors’ Trade Secrets, whether or not such Trade Secret has been reduced to a writing or other tangible form, including all documents and things embodying, incorporating or referring in any way to such Trade Secret, all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licenses, including each Trade Secret license referred to in </w:t>
      </w:r>
      <w:r>
        <w:rPr>
          <w:rFonts w:ascii="Times New Roman" w:cs="Times New Roman" w:eastAsia="Times New Roman" w:hAnsi="Times New Roman"/>
          <w:sz w:val="22"/>
          <w:szCs w:val="22"/>
          <w:u w:val="single" w:color="auto"/>
          <w:color w:val="auto"/>
        </w:rPr>
        <w:t>Schedule VI</w:t>
      </w:r>
      <w:r>
        <w:rPr>
          <w:rFonts w:ascii="Times New Roman" w:cs="Times New Roman" w:eastAsia="Times New Roman" w:hAnsi="Times New Roman"/>
          <w:sz w:val="22"/>
          <w:szCs w:val="22"/>
          <w:color w:val="auto"/>
        </w:rPr>
        <w:t>, and including the right to sue for and to enjoin and to collect damages for the actual or threatened misappropriation of any Trade Secret and for the breach or enforcement of any such Trade Secret license.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Collateral</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60" w:firstLine="644"/>
        <w:spacing w:after="0" w:line="250" w:lineRule="auto"/>
        <w:tabs>
          <w:tab w:leader="none" w:pos="195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 all of the Grantors’ Trademarks and all goodwill of the business associated therewith, now existing or hereafter adopted or acquired including those referred to in </w:t>
      </w:r>
      <w:r>
        <w:rPr>
          <w:rFonts w:ascii="Times New Roman" w:cs="Times New Roman" w:eastAsia="Times New Roman" w:hAnsi="Times New Roman"/>
          <w:sz w:val="22"/>
          <w:szCs w:val="22"/>
          <w:u w:val="single" w:color="auto"/>
          <w:color w:val="auto"/>
        </w:rPr>
        <w:t>Item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 whether currently in use or not, all registrations and recordings thereof and all applications in connection therewith, whether pending or filed, including registrations, recordings and applications in the United States Patent and Trademark Office or in any office or agency of the United States of America, or any state thereof or any other country or political subdivision thereof or otherwise, and all common law rights relating to the foregoing, and (ii) the right to obtain all reissues, extensions or renewals of the foregoing;</w:t>
      </w:r>
    </w:p>
    <w:p>
      <w:pPr>
        <w:spacing w:after="0" w:line="180" w:lineRule="exact"/>
        <w:rPr>
          <w:rFonts w:ascii="Times New Roman" w:cs="Times New Roman" w:eastAsia="Times New Roman" w:hAnsi="Times New Roman"/>
          <w:sz w:val="22"/>
          <w:szCs w:val="22"/>
          <w:color w:val="auto"/>
        </w:rPr>
      </w:pPr>
    </w:p>
    <w:p>
      <w:pPr>
        <w:ind w:left="660" w:firstLine="644"/>
        <w:spacing w:after="0" w:line="271" w:lineRule="auto"/>
        <w:tabs>
          <w:tab w:leader="none" w:pos="195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 all Trademark licenses for the grant by or to any Grantors of any right to use any Trademark, including each Trademark license referred to in </w:t>
      </w:r>
      <w:r>
        <w:rPr>
          <w:rFonts w:ascii="Times New Roman" w:cs="Times New Roman" w:eastAsia="Times New Roman" w:hAnsi="Times New Roman"/>
          <w:sz w:val="22"/>
          <w:szCs w:val="22"/>
          <w:u w:val="single" w:color="auto"/>
          <w:color w:val="auto"/>
        </w:rPr>
        <w:t>Item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5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 the right to sue third parties for past, present and future infringements of any Trademark Collateral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and, to the extent applicable,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and</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all Proceeds of, and rights associated with, the foregoing, including any claim by any Grantor against third parties for past, present or future infringement or dilution of any Trademark, Trademark registration or Trademark license, or for any injury to the goodwill associated with the use of any such Trademark or for breach or enforcement of any Trademark license and all rights corresponding thereto throughout the world.</w:t>
      </w:r>
    </w:p>
    <w:p>
      <w:pPr>
        <w:spacing w:after="0" w:line="16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Credit Agreement Definitions</w:t>
      </w:r>
      <w:r>
        <w:rPr>
          <w:rFonts w:ascii="Times New Roman" w:cs="Times New Roman" w:eastAsia="Times New Roman" w:hAnsi="Times New Roman"/>
          <w:sz w:val="22"/>
          <w:szCs w:val="22"/>
          <w:color w:val="auto"/>
        </w:rPr>
        <w:t>. Unless otherwise defined herein or the context otherwise requires, terms used in this Security Agreement, including its preamble and recitals, have the meanings provided in the Credit Agreement.</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UCC Definitions</w:t>
      </w:r>
      <w:r>
        <w:rPr>
          <w:rFonts w:ascii="Times New Roman" w:cs="Times New Roman" w:eastAsia="Times New Roman" w:hAnsi="Times New Roman"/>
          <w:sz w:val="22"/>
          <w:szCs w:val="22"/>
          <w:color w:val="auto"/>
        </w:rPr>
        <w:t>. When used herein the terms “Account,” “Certificated Securities,” “Chattel Paper,” “Commercial Tort Claim,” “Commodity Account,” “Commodity Contract,” “Deposit Account,” “Document,” “Electronic Chattel Paper,” “Equipment,” “Goods,” “Instrument,” “Inventory,” “Letter-of-Credit Rights,” “Payment Intangibles,” “Proceeds,” “Promissory Notes,” “Securities Account,” “Security Entitlement,” “Supporting Obligations” and “Uncertificated Securities” have the meaning provided in Article 8 or Article 9, as applicable, of the UCC. “Letters of Credit” has the meaning provided in Section 5-102 of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18" w:name="page119"/>
    <w:bookmarkEnd w:id="118"/>
    <w:p>
      <w:pPr>
        <w:spacing w:after="0" w:line="3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II</w:t>
      </w:r>
    </w:p>
    <w:p>
      <w:pPr>
        <w:ind w:left="4560"/>
        <w:spacing w:after="0"/>
        <w:rPr>
          <w:sz w:val="20"/>
          <w:szCs w:val="20"/>
          <w:color w:val="auto"/>
        </w:rPr>
      </w:pPr>
      <w:r>
        <w:rPr>
          <w:rFonts w:ascii="Times New Roman" w:cs="Times New Roman" w:eastAsia="Times New Roman" w:hAnsi="Times New Roman"/>
          <w:sz w:val="22"/>
          <w:szCs w:val="22"/>
          <w:color w:val="auto"/>
        </w:rPr>
        <w:t>SECURITY INTEREST</w:t>
      </w:r>
    </w:p>
    <w:p>
      <w:pPr>
        <w:spacing w:after="0" w:line="15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Each Grantor hereby grants to the Administrative Agent, for the benefit of the Secured Parties, a continuing security interest in all of such Grantor’s right, title and interest in and to the following property, whether now or hereafter existing, owned or acquired by such Grantor, and wherever located (collectively,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321" w:lineRule="exact"/>
        <w:rPr>
          <w:sz w:val="20"/>
          <w:szCs w:val="20"/>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Chattel Paper;</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Commercial Tort Claims, including those listed on </w:t>
      </w:r>
      <w:r>
        <w:rPr>
          <w:rFonts w:ascii="Times New Roman" w:cs="Times New Roman" w:eastAsia="Times New Roman" w:hAnsi="Times New Roman"/>
          <w:sz w:val="22"/>
          <w:szCs w:val="22"/>
          <w:u w:val="single" w:color="auto"/>
          <w:color w:val="auto"/>
        </w:rPr>
        <w:t>Item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(as such schedule may be amended or supplemented from time to time);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Accounts;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Intangibles;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Goods (including Goods held on consignment with third parties);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Property;</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Letter-of-Credit Rights and Letters of Credit;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Supporting Obligations;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books, records, writings, databases, information and other property relating to, used or useful in connection with, evidencing, embodying, incorporating or referring to, any of the foregoing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any of the foregoing and, to the extent not otherwise included, (i) all payments under insurance (whether or not the Administrative Agent is the loss payee thereof) in respect of Collateral and (ii) all tort claims;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property and rights of every kind and description and interests therein.</w:t>
      </w:r>
    </w:p>
    <w:p>
      <w:pPr>
        <w:spacing w:after="0" w:line="20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or in any other Loan Document, the term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(and all relevant defined terms that are used in the definition of Collateral) shall not include the following (collectively, the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w:t>
      </w:r>
    </w:p>
    <w:p>
      <w:pPr>
        <w:spacing w:after="0" w:line="15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84"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General Intangibles or other rights or interests, in each case arising under any contracts, instruments, leases, licenses, license agreement or other documents as to which the grant of a security interest would (A) constitute a violation of a valid and enforceable restriction in favor of a third party on such grant, unless and until any required consents shall have been obtained, or (B) give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type w:val="continuous"/>
        </w:sectPr>
      </w:pPr>
    </w:p>
    <w:bookmarkStart w:id="119" w:name="page120"/>
    <w:bookmarkEnd w:id="119"/>
    <w:p>
      <w:pPr>
        <w:ind w:left="1300"/>
        <w:spacing w:after="0" w:line="236" w:lineRule="auto"/>
        <w:rPr>
          <w:sz w:val="20"/>
          <w:szCs w:val="20"/>
          <w:color w:val="auto"/>
        </w:rPr>
      </w:pPr>
      <w:r>
        <w:rPr>
          <w:rFonts w:ascii="Times New Roman" w:cs="Times New Roman" w:eastAsia="Times New Roman" w:hAnsi="Times New Roman"/>
          <w:sz w:val="22"/>
          <w:szCs w:val="22"/>
          <w:color w:val="auto"/>
        </w:rPr>
        <w:t>any other party to such contract, instrument, lease, license, license agreement or other document the right to terminate its obligations thereunder;</w:t>
      </w:r>
    </w:p>
    <w:p>
      <w:pPr>
        <w:spacing w:after="0" w:line="150" w:lineRule="exact"/>
        <w:rPr>
          <w:sz w:val="20"/>
          <w:szCs w:val="20"/>
          <w:color w:val="auto"/>
        </w:rPr>
      </w:pPr>
    </w:p>
    <w:p>
      <w:pPr>
        <w:jc w:val="both"/>
        <w:ind w:left="1300" w:firstLine="652"/>
        <w:spacing w:after="0" w:line="217" w:lineRule="auto"/>
        <w:tabs>
          <w:tab w:leader="none" w:pos="259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Trademark applications filed in the United States Patent and Trademark Office on the basis of such Grantor’s “intent to use” such trademark, unless and until acceptable evidence of use of the Trademark has been filed with the United States Patent and Trademark Office pursuant to Section 1(c) or Section 1(d) of the Lanham Act (15 U.S.C. 1051, et seq.), to the extent that granting a Lien in such Trademark application prior to such filing would adversely affect the enforceability or validity of such Trademark application;</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 the granting of a security interest in which (A) would be void or illegal under any applicable Law, (B) would cause the destruction, invalidation or abandonment of such asset or portion of asset under applicable Law, or (C) pursuant thereto would result in, or permit the termination of, such asset;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8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 subject to a Permitted Lien (other than Liens in favor of the Secured Parties) securing obligations permitted under the Credit Agreement to the extent that the grant of other Liens on such asset (A) would result in a breach or violation of, or constitute a default under, the agreement or instrument governing such Permitted Lien, (B) would result in the loss of use of such asset or (C) would require or permit the holder of such Permitted Lien to terminate the Grantor’s use of such asset;</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Excluded Accounts; or</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assets as to which the Administrative Agent and the Borrower shall reasonably agree in writing that the cost of obtaining a security interest therein is excessive in relation to the practical benefit to the Secured Parties afforded thereby;</w:t>
      </w:r>
    </w:p>
    <w:p>
      <w:pPr>
        <w:spacing w:after="0" w:line="180" w:lineRule="exact"/>
        <w:rPr>
          <w:sz w:val="20"/>
          <w:szCs w:val="20"/>
          <w:color w:val="auto"/>
        </w:rPr>
      </w:pPr>
    </w:p>
    <w:p>
      <w:pPr>
        <w:jc w:val="both"/>
        <w:ind w:firstLine="656"/>
        <w:spacing w:after="0" w:line="257" w:lineRule="auto"/>
        <w:tabs>
          <w:tab w:leader="none" w:pos="129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property described in each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above shall only be excluded from the term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to the extent the conditions stated in such clauses are not rendered ineffective pursuant to Sections 9-406, 9-407, 9-408 or 9-409 of the UCC or any other applicable Law.</w:t>
      </w:r>
    </w:p>
    <w:p>
      <w:pPr>
        <w:spacing w:after="0" w:line="15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Security for Obligations</w:t>
      </w:r>
      <w:r>
        <w:rPr>
          <w:rFonts w:ascii="Times New Roman" w:cs="Times New Roman" w:eastAsia="Times New Roman" w:hAnsi="Times New Roman"/>
          <w:sz w:val="22"/>
          <w:szCs w:val="22"/>
          <w:color w:val="auto"/>
        </w:rPr>
        <w:t>. This Security Agreement and the Collateral in which the Administrative Agent, for the benefit of the Secured Parties, is granted a security interest hereunder by the Grantors secure the payment and performance of all of the Obligations.</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Grantors Remain Liable</w:t>
      </w:r>
      <w:r>
        <w:rPr>
          <w:rFonts w:ascii="Times New Roman" w:cs="Times New Roman" w:eastAsia="Times New Roman" w:hAnsi="Times New Roman"/>
          <w:sz w:val="21"/>
          <w:szCs w:val="21"/>
          <w:color w:val="auto"/>
        </w:rPr>
        <w:t>. Anything herein to the contrary notwithstanding:</w:t>
      </w:r>
    </w:p>
    <w:p>
      <w:pPr>
        <w:spacing w:after="0" w:line="179" w:lineRule="exact"/>
        <w:rPr>
          <w:sz w:val="20"/>
          <w:szCs w:val="20"/>
          <w:color w:val="auto"/>
        </w:rPr>
      </w:pPr>
    </w:p>
    <w:p>
      <w:pPr>
        <w:ind w:left="660" w:right="20" w:firstLine="644"/>
        <w:spacing w:after="0" w:line="236" w:lineRule="auto"/>
        <w:tabs>
          <w:tab w:leader="none" w:pos="195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Grantors will remain liable under the contracts and agreements included in the Collateral to the extent set forth therein;</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by any Secured Party of any of its rights hereunder will not release any Grantor from any of its duties or obligations under any such contracts or agreements included in the Collateral;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20" w:name="page121"/>
    <w:bookmarkEnd w:id="120"/>
    <w:p>
      <w:pPr>
        <w:jc w:val="both"/>
        <w:ind w:left="660" w:firstLine="644"/>
        <w:spacing w:after="0" w:line="220" w:lineRule="auto"/>
        <w:tabs>
          <w:tab w:leader="none" w:pos="195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Secured Parties will not have any obligation or liability under any contracts or agreements included in the Collateral by reason of this Security Agreement, nor will the Secured Parties be obligated to perform any of the obligations or duties of any Grantor thereunder or to take any action to collect or enforce any claim for payment assigned hereunder.</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Distributions on Capital Securities; Payments on Pledged Notes</w:t>
      </w:r>
      <w:r>
        <w:rPr>
          <w:rFonts w:ascii="Times New Roman" w:cs="Times New Roman" w:eastAsia="Times New Roman" w:hAnsi="Times New Roman"/>
          <w:sz w:val="22"/>
          <w:szCs w:val="22"/>
          <w:color w:val="auto"/>
        </w:rPr>
        <w:t xml:space="preserve">. In the event that any (a) Distribution with respect to any Capital Securities or (b) payment with respect to any Pledged Notes, in each case pledged hereunder, is permitted to be paid (in accordance with Section 8.6 of the Credit Agreement), such Distribution or payment may be paid directly to the applicable Grantor. If any Distribution or payment is made in contravention of Section 8.6 of the Credit Agreement, such Grantor shall hold the same segregated and in trust for the Administrative Agent (for the benefit of the Secured Parties) until paid to the Administrative Agent in accordance with </w:t>
      </w: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Security Interest Absolute, Etc.</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hereof and to the other limitations expressly set forth herein, this Security Agreement shall in all respects be a continuing, absolute, unconditional and irrevocable grant of security interest, and shall remain in full force and effect until the Termination Date. Subject to the limitations expressly set forth herein, all rights of the Secured Parties and the security interests granted to the Administrative Agent (for the benefit of the Secured Parties) hereunder, and all obligations of the Grantors hereunder, shall, to the fullest extent permitted by applicable Law, in each case, be absolute, unconditional and irrevocable irrespective of:</w:t>
      </w:r>
    </w:p>
    <w:p>
      <w:pPr>
        <w:spacing w:after="0" w:line="152" w:lineRule="exact"/>
        <w:rPr>
          <w:sz w:val="20"/>
          <w:szCs w:val="20"/>
          <w:color w:val="auto"/>
        </w:rPr>
      </w:pPr>
    </w:p>
    <w:p>
      <w:pPr>
        <w:ind w:left="1940" w:hanging="636"/>
        <w:spacing w:after="0"/>
        <w:tabs>
          <w:tab w:leader="none" w:pos="194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of validity, legality or enforceability of any Loan Document (other than this Security Agreement);</w:t>
      </w:r>
    </w:p>
    <w:p>
      <w:pPr>
        <w:spacing w:after="0" w:line="190" w:lineRule="exact"/>
        <w:rPr>
          <w:rFonts w:ascii="Times New Roman" w:cs="Times New Roman" w:eastAsia="Times New Roman" w:hAnsi="Times New Roman"/>
          <w:sz w:val="21"/>
          <w:szCs w:val="21"/>
          <w:color w:val="auto"/>
        </w:rPr>
      </w:pPr>
    </w:p>
    <w:p>
      <w:pPr>
        <w:jc w:val="both"/>
        <w:ind w:left="660" w:firstLine="644"/>
        <w:spacing w:after="0" w:line="220" w:lineRule="auto"/>
        <w:tabs>
          <w:tab w:leader="none" w:pos="195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Secured Party (i) to assert any claim or demand or to enforce any right or remedy against the Borrower or any of the Subsidiaries or any other Person (including any other Grantor) under the provisions of any Loan Document or otherwise, or (ii) to exercise any right or remedy against any other guarantor (including any other Grantor) of, or Collateral securing, any Obligations;</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time, manner or place of payment of, or in any other term of, all or any part of the Obligations, or any other extension, compromise or renewal of any Obligations;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limitation, impairment or termination of any Obligations for any reason, including any claim of waiver, release, surrender, alteration or compromise, and shall not be subject to (and each Grantor hereby agrees not to assert, until payment of all Obligations, any right to or claim of) any defense or setoff, counterclaim, recoupment or termination whatsoever by reason of the invalidity, illegality, nongenuineness, irregularity, compromise, unenforceability of, or any other event or occurrence affecting, any Obligations or otherwise;</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to, rescission, waiver, or other modification of, or any consent to or departure from, any of the terms of any Loan Document;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 exchange or release of any Collateral or of any Person that is (or will become) a Grantor (including the Grantors hereunder), or any surrender or non-perfection of any Collateral, or any amendment to or waiver or release or addition to, or consent to or departure from, any other guaranty held by the Administrative Agent, for the benefit of the Secured Parties, securing any of the Obligations;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21" w:name="page122"/>
    <w:bookmarkEnd w:id="121"/>
    <w:p>
      <w:pPr>
        <w:jc w:val="both"/>
        <w:ind w:left="660" w:firstLine="644"/>
        <w:spacing w:after="0" w:line="225" w:lineRule="auto"/>
        <w:tabs>
          <w:tab w:leader="none" w:pos="195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occurrence of the Termination Date, any other circumstance which might otherwise constitute a defense available to, or a legal or equitable discharge of the Borrower or any of the Subsidiaries, any surety or any guarantor.</w:t>
      </w:r>
    </w:p>
    <w:p>
      <w:pPr>
        <w:spacing w:after="0" w:line="15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Postponement of Subrogation</w:t>
      </w:r>
      <w:r>
        <w:rPr>
          <w:rFonts w:ascii="Times New Roman" w:cs="Times New Roman" w:eastAsia="Times New Roman" w:hAnsi="Times New Roman"/>
          <w:sz w:val="22"/>
          <w:szCs w:val="22"/>
          <w:color w:val="auto"/>
        </w:rPr>
        <w:t xml:space="preserve">. Each Grantor agrees that it will not exercise any rights against another Grantor which it may acquire by way of rights of subrogation under any Loan Document to which it is a party until following the Termination Date. No Grantor shall seek or be entitled to seek any contribution or reimbursement from the Borrower or any of the Subsidiaries, in respect of any payment made by such Grantor under any Loan Document, until following the Termination Date. Any amount paid to any Grantor on account of any such subrogation rights prior to the Termination Date shall be held in trust for the benefit of the Secured Parties and shall immediately be paid and turned over to the Administrative Agent, for the benefit of the Secured Parties, in the exact form received by such Grantor (duly endorsed in favor of the Administrative Agent, if required), to be credited and applied against the Obligations, whether matured or unmatured, in accordance with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Grantor has made payment to the Administrative Agent of all or any part of the Obligations and the Termination Date has occurred, then at such Grantor’s request, the Administrative Agent will, at the expense of such Grantor, execute and deliver to such Grantor appropriate documents (without recourse and without representation or warranty) necessary to evidence the transfer by subrogation to such Grantor of an interest in the Obligations resulting from such payment. In furtherance of the foregoing, at all times prior to the Termination Date, such Grantor shall refrain from taking any action or commencing any proceeding against the Borrower or any of the Subsidiaries (or their successors or assigns, whether in connection with a bankruptcy proceeding or otherwise) to recover any amounts in respect of payments made under this Security Agreement to the Administrative Agent or any other Secured Party.</w:t>
      </w:r>
    </w:p>
    <w:p>
      <w:pPr>
        <w:spacing w:after="0" w:line="3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III</w:t>
      </w: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order to induce the Secured Parties to enter into the Credit Agreement and make the Loans thereunder, the Grantors represent and warrant to the Secured Parties as set forth below.</w:t>
      </w:r>
    </w:p>
    <w:p>
      <w:pPr>
        <w:spacing w:after="0" w:line="131"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As to Capital Securities of the Subsidiaries, Investment Property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Subsidiary of any Grantor that is: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8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corporation, business trust, joint stock company or similar Person, all Capital Securities issued by such Subsidiary that constitute Collateral are duly authorized and validly issued, fully paid and non-assessable, and, if required by such Subsidiary’s organizational documents or applicable Law, represented by a certificate or certificates;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2" w:lineRule="auto"/>
        <w:tabs>
          <w:tab w:leader="none" w:pos="259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partnership or limited liability company, no Capital Securities issued by such Subsidiary that constitute Collateral (A) are dealt in or traded on securities exchanges or in securities markets, (B) expressly provide that such Capital Securities are a security governed by Article 8 of the UCC or (C) is held in a Securities Account, except, with respect to this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Capital Securities (x) for which the Administrative Agent is the registered owner or (y) with respect to which the issuer has agreed in an authenticated record with such Grantor and the Administrative Agent to comply with any instructions of the Administrative Agent without the consent of such Grantor. Each Subsidiary party hereto that is an issuer of any Capital Securities pledged hereunder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22" w:name="page123"/>
    <w:bookmarkEnd w:id="122"/>
    <w:p>
      <w:pPr>
        <w:jc w:val="both"/>
        <w:ind w:left="1300"/>
        <w:spacing w:after="0" w:line="225" w:lineRule="auto"/>
        <w:rPr>
          <w:sz w:val="20"/>
          <w:szCs w:val="20"/>
          <w:color w:val="auto"/>
        </w:rPr>
      </w:pP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xml:space="preserve"> above agrees that it will comply with the instructions with respect to such Capital Securities originated by Administrative Agent without the consent of any other Grantor (which instructions Administrative Agent hereby agrees not to give unless an Event of Default has occurred and is continuing).</w:t>
      </w:r>
    </w:p>
    <w:p>
      <w:pPr>
        <w:spacing w:after="0" w:line="152" w:lineRule="exact"/>
        <w:rPr>
          <w:sz w:val="20"/>
          <w:szCs w:val="20"/>
          <w:color w:val="auto"/>
        </w:rPr>
      </w:pPr>
    </w:p>
    <w:p>
      <w:pPr>
        <w:jc w:val="both"/>
        <w:ind w:left="660" w:firstLine="644"/>
        <w:spacing w:after="0" w:line="217" w:lineRule="auto"/>
        <w:tabs>
          <w:tab w:leader="none" w:pos="195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has delivered to the Administrative Agent all Certificated Securities constituting Collateral held by such Grantor in a Subsidiary within ten (10) Business Days after the Closing Date (or within ten (10) Business Days after the date such Grantor becomes a party to this Security Agreement, as applicable) to the Administrative Agent, together with duly executed undated blank stock powers, or other equivalent instruments of transfer acceptable to the Administrative Agent.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Uncertificated Securities constituting Collateral owned by any Grantor in a Subsidiary on the Closing Date (or the date such Grantor becomes a party to this Security Agreement, as applicable), such Grantor has caused the issuer thereof either to (i) register the Administrative Agent as the registered owner of such security or (ii) agree in an authenticated record with such Grantor and the Administrative Agent that such issuer will comply with instructions with respect to such security originated by the Administrative Agent without further consent of such Grantor (which instructions the Administrative Agent agrees not to give unless an Event of Default is continuing). Each Subsidiary party hereto that is an issuer of any Uncertificated Securities pledged hereunder above agrees that it will comply with the instructions with respect to such Uncertificated Securities originated by Administrative Agent without the consent of any other Grantor (which instructions Administrative Agent hereby agrees not to give unless an Event of Default has occurred and is continuing).</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percentage of the issued and outstanding Capital Securities of each Subsidiary pledged on the Closing Date (or the date such Grantor becomes a party to this Security Agreement, as applicable) by each Grantor hereunder is as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All shares of such Capital Securities have been duly and validly issued and are fully paid and nonassessable.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Intercompany Notes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Grantor Name, Location, Etc</w:t>
      </w:r>
      <w:r>
        <w:rPr>
          <w:rFonts w:ascii="Times New Roman" w:cs="Times New Roman" w:eastAsia="Times New Roman" w:hAnsi="Times New Roman"/>
          <w:sz w:val="22"/>
          <w:szCs w:val="22"/>
          <w:color w:val="auto"/>
        </w:rPr>
        <w:t>. In each case as of the date hereof (or on the date such Grantor becomes a party to this Security Agreement as applicable):</w:t>
      </w:r>
    </w:p>
    <w:p>
      <w:pPr>
        <w:spacing w:after="0" w:line="150" w:lineRule="exact"/>
        <w:rPr>
          <w:sz w:val="20"/>
          <w:szCs w:val="20"/>
          <w:color w:val="auto"/>
        </w:rPr>
      </w:pPr>
    </w:p>
    <w:p>
      <w:pPr>
        <w:jc w:val="both"/>
        <w:ind w:left="660" w:firstLine="644"/>
        <w:spacing w:after="0" w:line="255" w:lineRule="auto"/>
        <w:tabs>
          <w:tab w:leader="none" w:pos="1953"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jurisdiction in which each Grantor is located for purposes of Sections 9-301 and 9-307 of the UCC and (ii) the address of each Grantor’s executive office and principal place of business is set forth in </w:t>
      </w:r>
      <w:r>
        <w:rPr>
          <w:rFonts w:ascii="Times New Roman" w:cs="Times New Roman" w:eastAsia="Times New Roman" w:hAnsi="Times New Roman"/>
          <w:sz w:val="21"/>
          <w:szCs w:val="21"/>
          <w:u w:val="single" w:color="auto"/>
          <w:color w:val="auto"/>
        </w:rPr>
        <w:t>Item A</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Grantors do not have any trade names other than those set forth in </w:t>
      </w:r>
      <w:r>
        <w:rPr>
          <w:rFonts w:ascii="Times New Roman" w:cs="Times New Roman" w:eastAsia="Times New Roman" w:hAnsi="Times New Roman"/>
          <w:sz w:val="22"/>
          <w:szCs w:val="22"/>
          <w:u w:val="single" w:color="auto"/>
          <w:color w:val="auto"/>
        </w:rPr>
        <w:t>Item C</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twelve months preceding the date hereof (or preceding the date such Grantor becomes a party to this Security Agreement, as applicable), no Grantor has been known by any legal name different from the one set forth on the signature page hereto, nor has such Grantor been the subject of any merger or other corporate reorganization, except as set forth in </w:t>
      </w:r>
      <w:r>
        <w:rPr>
          <w:rFonts w:ascii="Times New Roman" w:cs="Times New Roman" w:eastAsia="Times New Roman" w:hAnsi="Times New Roman"/>
          <w:sz w:val="22"/>
          <w:szCs w:val="22"/>
          <w:u w:val="single" w:color="auto"/>
          <w:color w:val="auto"/>
        </w:rPr>
        <w:t>Item D</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23" w:name="page124"/>
    <w:bookmarkEnd w:id="123"/>
    <w:p>
      <w:pPr>
        <w:jc w:val="both"/>
        <w:ind w:left="660" w:firstLine="644"/>
        <w:spacing w:after="0" w:line="220" w:lineRule="auto"/>
        <w:tabs>
          <w:tab w:leader="none" w:pos="195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Grantor’s federal taxpayer identification number (or foreign equivalent) is set forth in </w:t>
      </w:r>
      <w:r>
        <w:rPr>
          <w:rFonts w:ascii="Times New Roman" w:cs="Times New Roman" w:eastAsia="Times New Roman" w:hAnsi="Times New Roman"/>
          <w:sz w:val="22"/>
          <w:szCs w:val="22"/>
          <w:u w:val="single" w:color="auto"/>
          <w:color w:val="auto"/>
        </w:rPr>
        <w:t>Item E</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(if, during the twelve months preceding the date hereof (or preceding the date such Grantor becomes a party to this Security Agreement, as applicable), such Grantor has had a federal taxpayer identification number (or equivalent) different from that, together with such other number).</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Grantor is a party to any federal, state or local government contract except as set forth in </w:t>
      </w:r>
      <w:r>
        <w:rPr>
          <w:rFonts w:ascii="Times New Roman" w:cs="Times New Roman" w:eastAsia="Times New Roman" w:hAnsi="Times New Roman"/>
          <w:sz w:val="22"/>
          <w:szCs w:val="22"/>
          <w:u w:val="single" w:color="auto"/>
          <w:color w:val="auto"/>
        </w:rPr>
        <w:t>Item F</w:t>
      </w:r>
      <w:r>
        <w:rPr>
          <w:rFonts w:ascii="Times New Roman" w:cs="Times New Roman" w:eastAsia="Times New Roman" w:hAnsi="Times New Roman"/>
          <w:sz w:val="22"/>
          <w:szCs w:val="22"/>
          <w:color w:val="auto"/>
        </w:rPr>
        <w:t xml:space="preserve"> of</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Grantor maintains any Deposit Accounts, Securities Accounts or Commodity Accounts with any Person, in each case, except as set forth on </w:t>
      </w:r>
      <w:r>
        <w:rPr>
          <w:rFonts w:ascii="Times New Roman" w:cs="Times New Roman" w:eastAsia="Times New Roman" w:hAnsi="Times New Roman"/>
          <w:sz w:val="22"/>
          <w:szCs w:val="22"/>
          <w:u w:val="single" w:color="auto"/>
          <w:color w:val="auto"/>
        </w:rPr>
        <w:t>Item G</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Grantor is the beneficiary of any Letters of Credit, except as set forth on </w:t>
      </w:r>
      <w:r>
        <w:rPr>
          <w:rFonts w:ascii="Times New Roman" w:cs="Times New Roman" w:eastAsia="Times New Roman" w:hAnsi="Times New Roman"/>
          <w:sz w:val="22"/>
          <w:szCs w:val="22"/>
          <w:u w:val="single" w:color="auto"/>
          <w:color w:val="auto"/>
        </w:rPr>
        <w:t>Item H</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Grantor has Commercial Tort Claims except as set forth on </w:t>
      </w:r>
      <w:r>
        <w:rPr>
          <w:rFonts w:ascii="Times New Roman" w:cs="Times New Roman" w:eastAsia="Times New Roman" w:hAnsi="Times New Roman"/>
          <w:sz w:val="22"/>
          <w:szCs w:val="22"/>
          <w:u w:val="single" w:color="auto"/>
          <w:color w:val="auto"/>
        </w:rPr>
        <w:t>Item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set forth on the signature page attached hereto (or the signature page of the supplement hereto by which such Grantor has become a party to this Security Agreement, as applicable) is the true and correct legal name (as defined in the UCC) of each Grantor.</w:t>
      </w:r>
    </w:p>
    <w:p>
      <w:pPr>
        <w:spacing w:after="0" w:line="140"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3.3.</w:t>
      </w:r>
      <w:r>
        <w:rPr>
          <w:sz w:val="20"/>
          <w:szCs w:val="20"/>
          <w:color w:val="auto"/>
        </w:rPr>
        <w:tab/>
      </w:r>
      <w:r>
        <w:rPr>
          <w:rFonts w:ascii="Times New Roman" w:cs="Times New Roman" w:eastAsia="Times New Roman" w:hAnsi="Times New Roman"/>
          <w:sz w:val="22"/>
          <w:szCs w:val="22"/>
          <w:u w:val="single" w:color="auto"/>
          <w:color w:val="auto"/>
        </w:rPr>
        <w:t xml:space="preserve">Ownership, No Liens, Etc. </w:t>
      </w:r>
      <w:r>
        <w:rPr>
          <w:rFonts w:ascii="Times New Roman" w:cs="Times New Roman" w:eastAsia="Times New Roman" w:hAnsi="Times New Roman"/>
          <w:sz w:val="22"/>
          <w:szCs w:val="22"/>
          <w:color w:val="auto"/>
        </w:rPr>
        <w:t>Each Grantor owns its Collateral free and clear of any Lien, except for</w:t>
      </w:r>
    </w:p>
    <w:p>
      <w:pPr>
        <w:jc w:val="both"/>
        <w:ind w:firstLine="8"/>
        <w:spacing w:after="0" w:line="212" w:lineRule="auto"/>
        <w:tabs>
          <w:tab w:leader="none" w:pos="31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security interest created by this Security Agreement and (b) Permitted Liens. No effective UCC financing statement or other similar filing in effect covering all or any part of the Collateral is on file in any recording office, except those filed in favor of the Administrative Agent relating to this Security Agreement, Permitted Liens or as to which a duly authorized termination statement relating to such UCC financing statement or other instrument has been delivered to the Administrative Agent on the Closing Date.</w:t>
      </w:r>
    </w:p>
    <w:p>
      <w:pPr>
        <w:spacing w:after="0" w:line="155"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Possession of Inventory, Control, Etc.</w:t>
      </w:r>
    </w:p>
    <w:p>
      <w:pPr>
        <w:spacing w:after="0" w:line="179" w:lineRule="exact"/>
        <w:rPr>
          <w:sz w:val="20"/>
          <w:szCs w:val="20"/>
          <w:color w:val="auto"/>
        </w:rPr>
      </w:pPr>
    </w:p>
    <w:p>
      <w:pPr>
        <w:ind w:left="660" w:firstLine="644"/>
        <w:spacing w:after="0" w:line="219" w:lineRule="auto"/>
        <w:tabs>
          <w:tab w:leader="none" w:pos="1953"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Grantor has, and agrees that it will maintain, exclusive possession of its Documents, Instruments, Promissory Notes, Goods, Equipment and Inventory, in each case, constituting Collateral, other than (i) Equipment, Goods and Inventory that is in transit or temporarily relocated for repair or maintenance in the ordinary course of business, (ii) Equipment, Goods and Inventory maintained with employees in the ordinary course of business and having an aggregate value not to exceed $6,000,000, (iii) Equipment, Goods and Inventory that in the ordinary course of business is in the possession or control of a warehouseman, bailee agent or other Person (other than a Person controlled by or under common control with such Grantor other than Borrower and its Subsidiaries), it being understood that the Grantor shall, at the request of the Administrative Agent, undertake reasonable efforts to obtain authenticated a record signed by such Person acknowledging that it holds possession of such Collateral having a value in excess of $1,000,000 for the Administrative Agent’s benefit and waive any Lien held by it against such Collateral, (iv) Inventory that is in the possession of a consignee in the ordinary course of business and (v) Instruments or Promissory Notes that have been delivered to the Administrative Agent pursuant to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In the case of Equipment, Goods or Inventory described in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above, no lessor or warehouseman of any premises or warehouse upon or in which such Equipment, Goods or Inventory is located has (w) issued any warehouse receipt or other receipt in the nature of a warehouse receipt in respect of any such Equipment or Inventory unless the same has been delivered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24" w:name="page125"/>
    <w:bookmarkEnd w:id="124"/>
    <w:p>
      <w:pPr>
        <w:ind w:left="660" w:right="220"/>
        <w:spacing w:after="0" w:line="225" w:lineRule="auto"/>
        <w:rPr>
          <w:sz w:val="20"/>
          <w:szCs w:val="20"/>
          <w:color w:val="auto"/>
        </w:rPr>
      </w:pPr>
      <w:r>
        <w:rPr>
          <w:rFonts w:ascii="Times New Roman" w:cs="Times New Roman" w:eastAsia="Times New Roman" w:hAnsi="Times New Roman"/>
          <w:sz w:val="22"/>
          <w:szCs w:val="22"/>
          <w:color w:val="auto"/>
        </w:rPr>
        <w:t xml:space="preserve">Administrative Agent pursuant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(x) issued any Document for any such Equipment or Inventory unless the same has been delivered to the Administrative Agent pursuant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or (y) holds any Lien on any such Equipment or Inventory, except for Permitted Liens under Section 8.3(e) of the Credit Agreement.</w:t>
      </w:r>
    </w:p>
    <w:p>
      <w:pPr>
        <w:spacing w:after="0" w:line="152" w:lineRule="exact"/>
        <w:rPr>
          <w:sz w:val="20"/>
          <w:szCs w:val="20"/>
          <w:color w:val="auto"/>
        </w:rPr>
      </w:pPr>
    </w:p>
    <w:p>
      <w:pPr>
        <w:jc w:val="both"/>
        <w:ind w:left="660" w:firstLine="644"/>
        <w:spacing w:after="0" w:line="231" w:lineRule="auto"/>
        <w:tabs>
          <w:tab w:leader="none" w:pos="1951"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Grantor is the sole entitlement holder of its Deposit Accounts and no other Person (other than the Administrative Agent pursuant to this Security Agreement, the applicable depositary institution, or any other Person with respect to Permitted Liens) has control or possession of, or any other interest in, any of such Deposit Accounts or any other securities or property credited thereto, other than the Excluded Accounts and in each case, except Permitted Liens.</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Negotiable Documents, Instruments and Chattel Paper</w:t>
      </w:r>
      <w:r>
        <w:rPr>
          <w:rFonts w:ascii="Times New Roman" w:cs="Times New Roman" w:eastAsia="Times New Roman" w:hAnsi="Times New Roman"/>
          <w:sz w:val="22"/>
          <w:szCs w:val="22"/>
          <w:color w:val="auto"/>
        </w:rPr>
        <w:t>. Each Grantor has delivered to the Administrative Agent possession of all originals of all Documents, Instruments, Promissory Notes, and tangible Chattel Paper (other than any Document, Instrument, Promissory Note or tangible Chattel Paper not exceeding $1,000,000 in principal amount individually or $2,000,000 in the aggregate) owned or held by such Grantor on the Closing Date (or the date such Grantor becomes a party to this Security Agreement, as applicable).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Intellectual Property Collateral</w:t>
      </w:r>
      <w:r>
        <w:rPr>
          <w:rFonts w:ascii="Times New Roman" w:cs="Times New Roman" w:eastAsia="Times New Roman" w:hAnsi="Times New Roman"/>
          <w:sz w:val="22"/>
          <w:szCs w:val="22"/>
          <w:color w:val="auto"/>
        </w:rPr>
        <w:t xml:space="preserve">. Except as disclosed on </w:t>
      </w:r>
      <w:r>
        <w:rPr>
          <w:rFonts w:ascii="Times New Roman" w:cs="Times New Roman" w:eastAsia="Times New Roman" w:hAnsi="Times New Roman"/>
          <w:sz w:val="22"/>
          <w:szCs w:val="22"/>
          <w:u w:val="single" w:color="auto"/>
          <w:color w:val="auto"/>
        </w:rPr>
        <w:t>Schedules III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with respect to any Intellectual Property Collateral:</w:t>
      </w:r>
    </w:p>
    <w:p>
      <w:pPr>
        <w:spacing w:after="0" w:line="150" w:lineRule="exact"/>
        <w:rPr>
          <w:sz w:val="20"/>
          <w:szCs w:val="20"/>
          <w:color w:val="auto"/>
        </w:rPr>
      </w:pPr>
    </w:p>
    <w:p>
      <w:pPr>
        <w:ind w:left="660" w:right="20" w:firstLine="644"/>
        <w:spacing w:after="0" w:line="220" w:lineRule="auto"/>
        <w:tabs>
          <w:tab w:leader="none" w:pos="195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settlement or consents, covenants not to sue, nonassertion assurances, or releases have been entered into by any Grantor or to which such Grantor is bound that adversely affects its rights to own or use any Intellectual Property to the extent that it would materially prevent such Grantor from carrying out its business operations as currently conducted;</w:t>
      </w:r>
    </w:p>
    <w:p>
      <w:pPr>
        <w:spacing w:after="0" w:line="152" w:lineRule="exact"/>
        <w:rPr>
          <w:rFonts w:ascii="Times New Roman" w:cs="Times New Roman" w:eastAsia="Times New Roman" w:hAnsi="Times New Roman"/>
          <w:sz w:val="22"/>
          <w:szCs w:val="22"/>
          <w:color w:val="auto"/>
        </w:rPr>
      </w:pPr>
    </w:p>
    <w:p>
      <w:pPr>
        <w:ind w:left="660" w:right="100" w:firstLine="644"/>
        <w:spacing w:after="0" w:line="236" w:lineRule="auto"/>
        <w:tabs>
          <w:tab w:leader="none" w:pos="195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Grantor has not granted a security interest or pledged as collateral any of its Intellectual Property that has not been terminated or released except as permitted under the Credit Agreement;</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17" w:lineRule="auto"/>
        <w:tabs>
          <w:tab w:leader="none" w:pos="195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Grantor has executed and delivered to the Administrative Agent Intellectual Property Collateral security agreements accordance with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for all registrations and applications of Copyrights, Patents and Trademarks owned by such Grantor, including all registrations and applications of Copyrights, Patents and Trademarks on </w:t>
      </w:r>
      <w:r>
        <w:rPr>
          <w:rFonts w:ascii="Times New Roman" w:cs="Times New Roman" w:eastAsia="Times New Roman" w:hAnsi="Times New Roman"/>
          <w:sz w:val="22"/>
          <w:szCs w:val="22"/>
          <w:u w:val="single" w:color="auto"/>
          <w:color w:val="auto"/>
        </w:rPr>
        <w:t>Schedules III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(as such schedules may be amended or supplemented from time to time by notice by such Grantor to the Administrative Agent); and</w:t>
      </w:r>
    </w:p>
    <w:p>
      <w:pPr>
        <w:spacing w:after="0" w:line="152" w:lineRule="exact"/>
        <w:rPr>
          <w:rFonts w:ascii="Times New Roman" w:cs="Times New Roman" w:eastAsia="Times New Roman" w:hAnsi="Times New Roman"/>
          <w:sz w:val="22"/>
          <w:szCs w:val="22"/>
          <w:color w:val="auto"/>
        </w:rPr>
      </w:pPr>
    </w:p>
    <w:p>
      <w:pPr>
        <w:ind w:left="660" w:right="380" w:firstLine="644"/>
        <w:spacing w:after="0" w:line="225" w:lineRule="auto"/>
        <w:tabs>
          <w:tab w:leader="none" w:pos="195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Grantor uses commercially reasonable efforts designed to ensure the reasonable quality of the manufacture, distribution and sale of all products sold by such Grantor and in the provision of all services rendered by such Grantor, in each case, under or in connection with all Trademarks owned by such Grantor.</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19"/>
          <w:szCs w:val="19"/>
          <w:u w:val="single" w:color="auto"/>
          <w:color w:val="auto"/>
        </w:rPr>
        <w:t>Validity, Etc.</w:t>
      </w:r>
    </w:p>
    <w:p>
      <w:pPr>
        <w:spacing w:after="0" w:line="179" w:lineRule="exact"/>
        <w:rPr>
          <w:sz w:val="20"/>
          <w:szCs w:val="20"/>
          <w:color w:val="auto"/>
        </w:rPr>
      </w:pPr>
    </w:p>
    <w:p>
      <w:pPr>
        <w:ind w:left="660" w:firstLine="644"/>
        <w:spacing w:after="0" w:line="236" w:lineRule="auto"/>
        <w:tabs>
          <w:tab w:leader="none" w:pos="195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Security Agreement creates a valid security interest in the Collateral securing the payment of the Obligations to the extent such security interest may be created pursuant to Article 9 of the UCC.</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(or the date such Grantor becomes a party to this Security Agreement, as applicable), each Grantor has filed or caused to be filed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125" w:name="page126"/>
    <w:bookmarkEnd w:id="125"/>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 xml:space="preserve">UCC-1 financing statements in the filing office for each Grantor’s jurisdiction of organization listed in </w:t>
      </w:r>
      <w:r>
        <w:rPr>
          <w:rFonts w:ascii="Times New Roman" w:cs="Times New Roman" w:eastAsia="Times New Roman" w:hAnsi="Times New Roman"/>
          <w:sz w:val="22"/>
          <w:szCs w:val="22"/>
          <w:u w:val="single" w:color="auto"/>
          <w:color w:val="auto"/>
        </w:rPr>
        <w:t>Item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Financing Statements</w:t>
      </w:r>
      <w:r>
        <w:rPr>
          <w:rFonts w:ascii="Times New Roman" w:cs="Times New Roman" w:eastAsia="Times New Roman" w:hAnsi="Times New Roman"/>
          <w:sz w:val="22"/>
          <w:szCs w:val="22"/>
          <w:color w:val="auto"/>
        </w:rPr>
        <w:t>”) (or has delivered to the Administrative Agent the Financing Statements suitable for timely and proper filing in such offices) and has taken all other actions necessary for the Administrative Agent to obtain control of the Collateral as provided in Sections 9-104, 9-105, 9-106 and 9-107 of the UCC to the extent required under the Loan Documents.</w:t>
      </w:r>
    </w:p>
    <w:p>
      <w:pPr>
        <w:spacing w:after="0" w:line="152" w:lineRule="exact"/>
        <w:rPr>
          <w:sz w:val="20"/>
          <w:szCs w:val="20"/>
          <w:color w:val="auto"/>
        </w:rPr>
      </w:pPr>
    </w:p>
    <w:p>
      <w:pPr>
        <w:jc w:val="both"/>
        <w:ind w:left="660" w:firstLine="644"/>
        <w:spacing w:after="0" w:line="215" w:lineRule="auto"/>
        <w:tabs>
          <w:tab w:leader="none" w:pos="195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filing of the Financing Statements with the appropriate agencies therefor the security interests created under this Security Agreement shall constitute a perfected security interest in the Collateral described on such Financing Statements in favor of the Administrative Agent to the extent that a security interest therein may be perfected by filing a financing statement pursuant to the relevant UCC, prior to all other Liens, except for Permitted Liens (in which case such security interest shall be second in priority of right only to the Permitted Liens until the obligations secured by such Permitted Liens have been satisfied).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Authorization, Approval, Etc.</w:t>
      </w:r>
      <w:r>
        <w:rPr>
          <w:rFonts w:ascii="Times New Roman" w:cs="Times New Roman" w:eastAsia="Times New Roman" w:hAnsi="Times New Roman"/>
          <w:sz w:val="22"/>
          <w:szCs w:val="22"/>
          <w:color w:val="auto"/>
        </w:rPr>
        <w:t xml:space="preserve"> Except as have been obtained or made and are in full force and effect, no authorization, approval or other action by, and no notice to or filing with, any Governmental Authority or any other third party is required either:</w:t>
      </w:r>
    </w:p>
    <w:p>
      <w:pPr>
        <w:spacing w:after="0" w:line="153" w:lineRule="exact"/>
        <w:rPr>
          <w:sz w:val="20"/>
          <w:szCs w:val="20"/>
          <w:color w:val="auto"/>
        </w:rPr>
      </w:pPr>
    </w:p>
    <w:p>
      <w:pPr>
        <w:ind w:left="660" w:firstLine="644"/>
        <w:spacing w:after="0" w:line="236" w:lineRule="auto"/>
        <w:tabs>
          <w:tab w:leader="none" w:pos="195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grant by the Grantors of the security interest granted hereby or for the execution, delivery and performance of this Security Agreement by the Grantors;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perfection or maintenance of the security interests hereunder including the first priority nature (subject to Permitted Liens) of such security interest (to the extent required hereunder and to the extent same can be achieved by the filing of Financing Statements or, with respect to Intellectual Property Collateral, the recordation of any agreements with the United States Patent and Trademark Office or the United States Copyright Office or, with respect to foreign Intellectual Property Collateral, the taking of appropriate action under applicable foreign Law and, with respect to after-acquired Intellectual Property Collateral, any subsequent filings in such applicable intellectual property offices) or the exercise by the Administrative Agent of its rights and remedies hereunder; or</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exercise by the Administrative Agent of the voting or other rights provided for in this Security Agreement, except (i) with respect to any securities issued by a Subsidiary of the Grantors, as may be required in connection with a disposition of such securities by Laws affecting the offering and sale of securities generally, the remedies in respect of the Collateral pursuant to this Security Agreement and (ii) any “change of control” or similar filings required by state licensing agencies.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u w:val="single" w:color="auto"/>
          <w:color w:val="auto"/>
        </w:rPr>
        <w:t>Best Interests</w:t>
      </w:r>
      <w:r>
        <w:rPr>
          <w:rFonts w:ascii="Times New Roman" w:cs="Times New Roman" w:eastAsia="Times New Roman" w:hAnsi="Times New Roman"/>
          <w:sz w:val="22"/>
          <w:szCs w:val="22"/>
          <w:color w:val="auto"/>
        </w:rPr>
        <w:t>. It is in the best interests of each Grantor (other than the Borrower) to execute this Security Agreement inasmuch as such Grantor will, as a result of being an Affiliate of the Borrower, derive substantial direct and indirect benefits from the Loans made to the Borrower by the Lenders pursuant to the Credit Agreement, and each Grantor agrees that the Secured Parties are relying on this representation in agreeing to make such Loans pursuant to the Credit Agreement to the Borrower.</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IV</w:t>
      </w:r>
    </w:p>
    <w:p>
      <w:pPr>
        <w:ind w:left="4960"/>
        <w:spacing w:after="0"/>
        <w:rPr>
          <w:sz w:val="20"/>
          <w:szCs w:val="20"/>
          <w:color w:val="auto"/>
        </w:rPr>
      </w:pPr>
      <w:r>
        <w:rPr>
          <w:rFonts w:ascii="Times New Roman" w:cs="Times New Roman" w:eastAsia="Times New Roman" w:hAnsi="Times New Roman"/>
          <w:sz w:val="22"/>
          <w:szCs w:val="22"/>
          <w:color w:val="auto"/>
        </w:rPr>
        <w:t>COVENANTS</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Each Grantor covenants and agrees that, until the Termination Date, such Grantor will perform, comply with and be bound by the obligations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26" w:name="page127"/>
    <w:bookmarkEnd w:id="126"/>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As to Investment Property, Etc</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4.1.1.</w:t>
      </w:r>
      <w:r>
        <w:rPr>
          <w:sz w:val="20"/>
          <w:szCs w:val="20"/>
          <w:color w:val="auto"/>
        </w:rPr>
        <w:tab/>
      </w:r>
      <w:r>
        <w:rPr>
          <w:rFonts w:ascii="Times New Roman" w:cs="Times New Roman" w:eastAsia="Times New Roman" w:hAnsi="Times New Roman"/>
          <w:sz w:val="21"/>
          <w:szCs w:val="21"/>
          <w:u w:val="single" w:color="auto"/>
          <w:color w:val="auto"/>
        </w:rPr>
        <w:t>Capital Securities of Subsidiaries</w:t>
      </w:r>
      <w:r>
        <w:rPr>
          <w:rFonts w:ascii="Times New Roman" w:cs="Times New Roman" w:eastAsia="Times New Roman" w:hAnsi="Times New Roman"/>
          <w:sz w:val="21"/>
          <w:szCs w:val="21"/>
          <w:color w:val="auto"/>
        </w:rPr>
        <w:t>. No Grantor will allow any of its Subsidiaries:</w:t>
      </w:r>
    </w:p>
    <w:p>
      <w:pPr>
        <w:spacing w:after="0" w:line="179" w:lineRule="exact"/>
        <w:rPr>
          <w:sz w:val="20"/>
          <w:szCs w:val="20"/>
          <w:color w:val="auto"/>
        </w:rPr>
      </w:pPr>
    </w:p>
    <w:p>
      <w:pPr>
        <w:ind w:left="660" w:firstLine="644"/>
        <w:spacing w:after="0" w:line="236" w:lineRule="auto"/>
        <w:tabs>
          <w:tab w:leader="none" w:pos="195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a corporation, business trust, joint stock company or similar Person, to issue Uncertificated Securities after the date hereof;</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a partnership or limited liability company, to (i) issue Capital Securities that are to be dealt in or traded on securities exchanges or in securities markets, (ii) expressly provide in its Organic Documents that its Capital Securities are securities governed by Article 8 of the UCC, or (iii) place such Subsidiary’s Capital Securities in a Securities Account;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issue Capital Securities in addition to or in substitution for the Capital Securities pledged hereunder, except to such Grantor (and such Capital Securities are, to the extent not automatically pledged hereunder, within five (5) Business Days immediately pledged and, to the extent certificated, delivered to the Administrative Agent pursuant to the terms of this Security Agreement).</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4.1.2.</w:t>
      </w:r>
      <w:r>
        <w:rPr>
          <w:sz w:val="20"/>
          <w:szCs w:val="20"/>
          <w:color w:val="auto"/>
        </w:rPr>
        <w:tab/>
      </w:r>
      <w:r>
        <w:rPr>
          <w:rFonts w:ascii="Times New Roman" w:cs="Times New Roman" w:eastAsia="Times New Roman" w:hAnsi="Times New Roman"/>
          <w:sz w:val="21"/>
          <w:szCs w:val="21"/>
          <w:u w:val="single" w:color="auto"/>
          <w:color w:val="auto"/>
        </w:rPr>
        <w:t>Investment Property (other than Certificated Securities)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color w:val="auto"/>
        </w:rPr>
        <w:t>SECTION 4.1.3. (a) With respect to any Deposit Accounts, Securities Accounts, Commodity Accounts, Commodity Contracts or Security Entitlements constituting Investment Property owned or held by any Grantor, such Grantor will cause (except for Excluded Accounts) the intermediary maintaining such Investment Property to execute a Control Agreement relating to such Investment Property or other assets pursuant to which such intermediary agrees to comply with the Administrative Agent’s instructions, with respect to such Investment Property or other assets without further consent by such Grantor.</w:t>
      </w:r>
    </w:p>
    <w:p>
      <w:pPr>
        <w:spacing w:after="0" w:line="181"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color w:val="auto"/>
        </w:rPr>
        <w:t>SECTION 4.1.4. (b) With respect to any Uncertificated Securities (other than Uncertificated Securities credited to a Securities Account) constituting Investment Property owned or held by any Grantor, such Grantor will cause the issuer of such securities that is not a party hereto to either (i) register the Administrative Agent as the registered owner thereof on the books and records of the issuer or (ii) execute a Control Agreement relating to such Investment Property pursuant to which the issuer agrees to comply with the Administrative Agent’s instructions, with respect to such Uncertificated Securities without further consent by such Grantor.</w:t>
      </w:r>
    </w:p>
    <w:p>
      <w:pPr>
        <w:spacing w:after="0" w:line="15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4.1.5. </w:t>
      </w:r>
      <w:r>
        <w:rPr>
          <w:rFonts w:ascii="Times New Roman" w:cs="Times New Roman" w:eastAsia="Times New Roman" w:hAnsi="Times New Roman"/>
          <w:sz w:val="22"/>
          <w:szCs w:val="22"/>
          <w:u w:val="single" w:color="auto"/>
          <w:color w:val="auto"/>
        </w:rPr>
        <w:t>Certificated Securities (Stock Powers)</w:t>
      </w:r>
      <w:r>
        <w:rPr>
          <w:rFonts w:ascii="Times New Roman" w:cs="Times New Roman" w:eastAsia="Times New Roman" w:hAnsi="Times New Roman"/>
          <w:sz w:val="22"/>
          <w:szCs w:val="22"/>
          <w:color w:val="auto"/>
        </w:rPr>
        <w:t>. Each Grantor agrees that all Certificated Securities constituting Collateral, including the Capital Securities delivered by such Grantor pursuant to this Security Agreement, will be accompanied by duly executed undated blank stock powers, or other equivalent instruments of transfer reasonably acceptable to the Administrative Agent.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4.1.6. </w:t>
      </w:r>
      <w:r>
        <w:rPr>
          <w:rFonts w:ascii="Times New Roman" w:cs="Times New Roman" w:eastAsia="Times New Roman" w:hAnsi="Times New Roman"/>
          <w:sz w:val="22"/>
          <w:szCs w:val="22"/>
          <w:u w:val="single" w:color="auto"/>
          <w:color w:val="auto"/>
        </w:rPr>
        <w:t>Continuous Pledge</w:t>
      </w:r>
      <w:r>
        <w:rPr>
          <w:rFonts w:ascii="Times New Roman" w:cs="Times New Roman" w:eastAsia="Times New Roman" w:hAnsi="Times New Roman"/>
          <w:sz w:val="22"/>
          <w:szCs w:val="22"/>
          <w:color w:val="auto"/>
        </w:rPr>
        <w:t>. Each Grantor will (subject to the terms of the Credit Agreement and this Security Agreement) (a) deliver to the Administrative Agent all Investment Property and all Payment Intangibles, in each case, to the extent constituting Collateral, to the extent that such Investment Property or Payment Intangibles are evidenced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127" w:name="page128"/>
    <w:bookmarkEnd w:id="127"/>
    <w:p>
      <w:pPr>
        <w:jc w:val="both"/>
        <w:spacing w:after="0" w:line="211" w:lineRule="auto"/>
        <w:rPr>
          <w:sz w:val="20"/>
          <w:szCs w:val="20"/>
          <w:color w:val="auto"/>
        </w:rPr>
      </w:pPr>
      <w:r>
        <w:rPr>
          <w:rFonts w:ascii="Times New Roman" w:cs="Times New Roman" w:eastAsia="Times New Roman" w:hAnsi="Times New Roman"/>
          <w:sz w:val="22"/>
          <w:szCs w:val="22"/>
          <w:color w:val="auto"/>
        </w:rPr>
        <w:t>Document, Instrument, Promissory Note or Chattel Paper (other than any Document, Instrument, Promissory Note or Chattel Paper not exceeding $1,000,000 in the principal amount, individually or $2,000,000 in the aggregate), and (b) to the extent constituting Collateral, at all times keep pledged to the Administrative Agent pursuant hereto, on a first-priority (subject to Permitted Liens), perfected basis, a security interest therein and in all interest and principal with respect to such Payment Intangibles, and all Proceeds and rights from time to time received by or distributable to such Grantor in respect of any of the foregoing Collateral. Each Grantor agrees that it will, promptly following receipt thereof, deliver to the Administrative Agent possession of all originals of negotiable Documents, Instruments, Promissory Notes and Chattel Paper, in each case, to the extent constituting Collateral, that it acquires following the Closing Date (other than any Document, Instrument, Promissory Note or Chattel Paper not exceeding $1,000,000 in the principal amount individually or $2,000,000 in the aggregate).</w:t>
      </w:r>
    </w:p>
    <w:p>
      <w:pPr>
        <w:spacing w:after="0" w:line="158"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4.1.7.</w:t>
      </w:r>
      <w:r>
        <w:rPr>
          <w:sz w:val="20"/>
          <w:szCs w:val="20"/>
          <w:color w:val="auto"/>
        </w:rPr>
        <w:tab/>
      </w:r>
      <w:r>
        <w:rPr>
          <w:rFonts w:ascii="Times New Roman" w:cs="Times New Roman" w:eastAsia="Times New Roman" w:hAnsi="Times New Roman"/>
          <w:sz w:val="21"/>
          <w:szCs w:val="21"/>
          <w:u w:val="single" w:color="auto"/>
          <w:color w:val="auto"/>
        </w:rPr>
        <w:t>Voting Rights, Dividends, Etc</w:t>
      </w:r>
      <w:r>
        <w:rPr>
          <w:rFonts w:ascii="Times New Roman" w:cs="Times New Roman" w:eastAsia="Times New Roman" w:hAnsi="Times New Roman"/>
          <w:sz w:val="21"/>
          <w:szCs w:val="21"/>
          <w:color w:val="auto"/>
        </w:rPr>
        <w:t>. Each Grantor agrees:</w:t>
      </w:r>
    </w:p>
    <w:p>
      <w:pPr>
        <w:spacing w:after="0" w:line="179" w:lineRule="exact"/>
        <w:rPr>
          <w:sz w:val="20"/>
          <w:szCs w:val="20"/>
          <w:color w:val="auto"/>
        </w:rPr>
      </w:pPr>
    </w:p>
    <w:p>
      <w:pPr>
        <w:jc w:val="both"/>
        <w:ind w:left="660" w:firstLine="644"/>
        <w:spacing w:after="0" w:line="213" w:lineRule="auto"/>
        <w:tabs>
          <w:tab w:leader="none" w:pos="195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notice of the occurrence and continuance of an Event of Default from the Administrative Agent and without any request therefor by the Administrative Agent, so long as such Event of Default shall continue, to deliver (properly endorsed where required hereby or requested by the Administrative Agent) to the Administrative Agent all dividends and Distributions with respect to Investment Property constituting Collateral; all interest, principal, other cash payments on Payment Intangibles constituting Collateral; and all Proceeds of the Collateral, in each case thereafter received by such Grantor, all of which shall be held by the Administrative Agent as additional Collateral, except for payments made in accordance with Section 8.6 of the Credit Agreement; and</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upon the occurrence and during the continuance of an Event of Default and so long as the Administrative Agent has notified such Grantor of the Administrative Agent’s intention to exercise its voting power under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consisting of general partner interests or limited liability company interests, to promptly modify its Organic Documents to admit the Administrative Agent as a general partner or member, as applicable;</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Administrative Agent may exercise (to the exclusion of such Grantor) the voting power and all other incidental rights of ownership with respect to any Investment Property constituting Collateral and such Grantor hereby grants the Administrative Agent an irrevocable proxy, exercisable under such circumstances, to vote such Investment Property; and</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promptly deliver to the Administrative Agent such additional proxies and other documents as may be necessary to allow the Administrative Agent to exercise such voting power.</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All dividends, Distributions, interest, principal, cash payments, Payment Intangibles in each case, to the extent constituting Collateral, and Proceeds of Collateral that may at any time and from time to time be held by such Grantor, but which such Grantor is then obligated to deliver to the Administrative Agent, shall, until delivery to the Administrative Agent, be held by such Grantor separate and apart from its other property in trust for the Administrative Agent. The Administrative Agent agrees that unless an Event of Default shall have occurred and be continuing and the Administrative Agent shall have given the notice referred to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such Grantor will have the exclusive voting power with respect to any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28" w:name="page129"/>
    <w:bookmarkEnd w:id="128"/>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Property constituting Collateral and the Administrative Agent will, upon the written request of such Grantor, promptly deliver such proxies and other documents, if any, as shall be reasonably requested by such Grantor which are necessary to allow such Grantor to exercise that voting power;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vote shall be cast, or consent, waiver, or ratification given, or action taken by such Grantor that would impair any such collateral or be inconsistent with or violate any provision of any Loan Document.</w:t>
      </w:r>
    </w:p>
    <w:p>
      <w:pPr>
        <w:spacing w:after="0" w:line="13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Change of Name, Etc</w:t>
      </w:r>
      <w:r>
        <w:rPr>
          <w:rFonts w:ascii="Times New Roman" w:cs="Times New Roman" w:eastAsia="Times New Roman" w:hAnsi="Times New Roman"/>
          <w:sz w:val="22"/>
          <w:szCs w:val="22"/>
          <w:color w:val="auto"/>
        </w:rPr>
        <w:t>. No Grantor will change its name or place of incorporation or organization or federal taxpayer identification number except as otherwise permitted by the Credit Agreement.</w:t>
      </w:r>
    </w:p>
    <w:p>
      <w:pPr>
        <w:spacing w:after="0" w:line="150"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As to Accounts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right="20" w:firstLine="644"/>
        <w:spacing w:after="0" w:line="236" w:lineRule="auto"/>
        <w:tabs>
          <w:tab w:leader="none" w:pos="195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Grantor shall have the right to collect all Accounts so long as no Event of Default shall have occurred and be continuing.</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4" w:lineRule="auto"/>
        <w:tabs>
          <w:tab w:leader="none" w:pos="1951"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(i) the occurrence and continuance of an Event of Default and (ii) the delivery of notice by the Administrative Agent to each Grantor, all Proceeds of Collateral received by such Grantor shall be delivered in kind to the Administrative Agent for deposit in a Deposit Account of such Grantor maintained with the Administrative Agent or that otherwise is a Controlled Account (together with any other Deposit Accounts or Controlled Accounts pursuant to which any portion of the Collateral is deposited with the Administrative Agent, the “</w:t>
      </w:r>
      <w:r>
        <w:rPr>
          <w:rFonts w:ascii="Times New Roman" w:cs="Times New Roman" w:eastAsia="Times New Roman" w:hAnsi="Times New Roman"/>
          <w:sz w:val="21"/>
          <w:szCs w:val="21"/>
          <w:u w:val="single" w:color="auto"/>
          <w:color w:val="auto"/>
        </w:rPr>
        <w:t>Collateral Accounts</w:t>
      </w:r>
      <w:r>
        <w:rPr>
          <w:rFonts w:ascii="Times New Roman" w:cs="Times New Roman" w:eastAsia="Times New Roman" w:hAnsi="Times New Roman"/>
          <w:sz w:val="21"/>
          <w:szCs w:val="21"/>
          <w:color w:val="auto"/>
        </w:rPr>
        <w:t>”), and such Grantor shall not commingle any such Proceeds, and shall hold separate and apart from all other property, all such Proceeds in express trust for the benefit of the Administrative Agent until delivery thereof is made to the Administrative Agent.</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delivery of notice pursuant to </w:t>
      </w:r>
      <w:r>
        <w:rPr>
          <w:rFonts w:ascii="Times New Roman" w:cs="Times New Roman" w:eastAsia="Times New Roman" w:hAnsi="Times New Roman"/>
          <w:sz w:val="22"/>
          <w:szCs w:val="22"/>
          <w:u w:val="single" w:color="auto"/>
          <w:color w:val="auto"/>
        </w:rPr>
        <w:t>clause (b)(ii)</w:t>
      </w:r>
      <w:r>
        <w:rPr>
          <w:rFonts w:ascii="Times New Roman" w:cs="Times New Roman" w:eastAsia="Times New Roman" w:hAnsi="Times New Roman"/>
          <w:sz w:val="22"/>
          <w:szCs w:val="22"/>
          <w:color w:val="auto"/>
        </w:rPr>
        <w:t xml:space="preserve"> and for so long as an Event of Default is continuing, the Administrative Agent shall have the right to apply any amount in the Collateral Accounts to the payment of any Obligations which are then due and payable in accordance with Section 4.4(b) of the Credit Agreement.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of the Collateral Accounts, it is hereby confirmed and agreed that (i) deposits in such Collateral Account are subject to a security interest as contemplated hereby, (ii) such Collateral Account shall be under the control of the Administrative Agent and (iii), following the delivery of notice pursuant to </w:t>
      </w:r>
      <w:r>
        <w:rPr>
          <w:rFonts w:ascii="Times New Roman" w:cs="Times New Roman" w:eastAsia="Times New Roman" w:hAnsi="Times New Roman"/>
          <w:sz w:val="22"/>
          <w:szCs w:val="22"/>
          <w:u w:val="single" w:color="auto"/>
          <w:color w:val="auto"/>
        </w:rPr>
        <w:t>clause (b)(ii)</w:t>
      </w:r>
      <w:r>
        <w:rPr>
          <w:rFonts w:ascii="Times New Roman" w:cs="Times New Roman" w:eastAsia="Times New Roman" w:hAnsi="Times New Roman"/>
          <w:sz w:val="22"/>
          <w:szCs w:val="22"/>
          <w:color w:val="auto"/>
        </w:rPr>
        <w:t xml:space="preserve"> above and for so long as an Event of Default is continuing, the Administrative Agent shall have the sole right of withdrawal over such Collateral Account.</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4.4.</w:t>
      </w:r>
      <w:r>
        <w:rPr>
          <w:sz w:val="20"/>
          <w:szCs w:val="20"/>
          <w:color w:val="auto"/>
        </w:rPr>
        <w:tab/>
      </w:r>
      <w:r>
        <w:rPr>
          <w:rFonts w:ascii="Times New Roman" w:cs="Times New Roman" w:eastAsia="Times New Roman" w:hAnsi="Times New Roman"/>
          <w:sz w:val="21"/>
          <w:szCs w:val="21"/>
          <w:u w:val="single" w:color="auto"/>
          <w:color w:val="auto"/>
        </w:rPr>
        <w:t>As to Grantors’ Use of Collateral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11" w:lineRule="auto"/>
        <w:tabs>
          <w:tab w:leader="none" w:pos="195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below, each Grantor (i) may in the ordinary course of its business, at its own expense, sell, lease or furnish under contracts of service any of the Inventory normally held by such Grantor for such purpose, and use and consume, in the ordinary course of its business, any raw materials, work in process or materials normally held by such Grantor for such purpose, (ii) will, at its own expense, endeavor to collect in the ordinary course consistent with its practice, as and when due, all amounts due with respect to any of the Collateral, including the taking of such action with respect to such collection as the Administrative Agent may reasonably request following the occurrence and during the continuance of an Event of Default or, in the absence of such request, as such Grantor may deem advisable in accordance with its normal business practices, and (iii) may grant, in the ordinary course of business, to any party obligated on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29" w:name="page130"/>
    <w:bookmarkEnd w:id="129"/>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Collateral, any rebate, refund or allowance to which such party may be lawfully entitled, and may accept, in connection therewith, the return of Goods, the sale or lease of which shall have given rise to such Collateral, and may make Dispositions and take such other actions permitted under the Credit Agreement.</w:t>
      </w:r>
    </w:p>
    <w:p>
      <w:pPr>
        <w:spacing w:after="0" w:line="153" w:lineRule="exact"/>
        <w:rPr>
          <w:sz w:val="20"/>
          <w:szCs w:val="20"/>
          <w:color w:val="auto"/>
        </w:rPr>
      </w:pPr>
    </w:p>
    <w:p>
      <w:pPr>
        <w:jc w:val="both"/>
        <w:ind w:left="660" w:firstLine="644"/>
        <w:spacing w:after="0" w:line="215" w:lineRule="auto"/>
        <w:tabs>
          <w:tab w:leader="none" w:pos="195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following the occurrence and during the continuance of an Event of Default, whether before or after the maturity of any of the Obligations, the Administrative Agent may (i) revoke any or all of the rights of each Grantor set forth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(ii) notify any parties obligated on any of the Collateral to make payment to the Administrative Agent of any amounts due or to become due thereunder and (iii) enforce collection of any of the Collateral by suit or otherwise and surrender, release, or exchange all or any part thereof, or compromise or extend or renew for any period (whether or not longer than the original period) any indebtedness thereunder or evidenced thereby.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Administrative Agent following the occurrence and during the continuance of an Event of Default, each Grantor will, at its own expense, notify any parties obligated on any of the Collateral to make payment to the Administrative Agent of any amounts due or to become due thereunder.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following the occurrence and during the continuation of an Event of Default, the Administrative Agent may endorse, in the name of such Grantor, any item, howsoever received by the Administrative Agent, representing any payment on or other Proceeds of any of the Collateral.</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As to Intellectual Property Collateral</w:t>
      </w:r>
      <w:r>
        <w:rPr>
          <w:rFonts w:ascii="Times New Roman" w:cs="Times New Roman" w:eastAsia="Times New Roman" w:hAnsi="Times New Roman"/>
          <w:sz w:val="22"/>
          <w:szCs w:val="22"/>
          <w:color w:val="auto"/>
        </w:rPr>
        <w:t>. Each Grantor covenants and agrees to comply with the following provisions as such provisions relate to any Intellectual Property Collateral owned by such Grantor material to the operations or business of such Grantor:</w:t>
      </w:r>
    </w:p>
    <w:p>
      <w:pPr>
        <w:spacing w:after="0" w:line="153" w:lineRule="exact"/>
        <w:rPr>
          <w:sz w:val="20"/>
          <w:szCs w:val="20"/>
          <w:color w:val="auto"/>
        </w:rPr>
      </w:pPr>
    </w:p>
    <w:p>
      <w:pPr>
        <w:jc w:val="both"/>
        <w:ind w:left="660" w:firstLine="644"/>
        <w:spacing w:after="0" w:line="224" w:lineRule="auto"/>
        <w:tabs>
          <w:tab w:leader="none" w:pos="1953"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will such Grantor or any of its agents, employees, designees or licensees file an application for the registration of any Intellectual Property Collateral with the United States Patent and Trademark Office, the United States Copyright Office or any similar office or agency in any other country or any political subdivision thereof, unless such Grantor together with the delivery of the Compliance Certificate covering such period during which any such application is filed, informs the Administrative Agent and, upon request of the Administrative Agent (subject to the terms of the Credit Agreement), executes and delivers all agreements, instruments and documents as the Administrative Agent may reasonably request to evidence the Administrative Agent’s security interest in such Intellectual Property Collateral;</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11" w:lineRule="auto"/>
        <w:tabs>
          <w:tab w:leader="none" w:pos="195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Grantor will take all reasonable and necessary steps, including in any proceeding before the United States Patent and Trademark Office, the United States Copyright Office or any similar office or agency in any other country or any political subdivision thereof (subject to the terms of the Credit Agreement), to maintain and pursue any material application (and to obtain the relevant registration) filed with respect to, and to maintain any registration of, material Intellectual Property Collateral, including the filing of applications for renewal, affidavits of use, affidavits of incontestability and opposition, interference and cancellation proceedings and the payment of fees and taxes (except to the extent that dedication, abandonment or invalidation is permitted under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such Grantor reasonably and in good faith determines that the failure to take any such step would not have a material adverse effect on the interests of the Administrative Agent in such Intellectual Property Collateral);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130" w:name="page131"/>
    <w:bookmarkEnd w:id="130"/>
    <w:p>
      <w:pPr>
        <w:jc w:val="both"/>
        <w:ind w:left="660" w:firstLine="644"/>
        <w:spacing w:after="0" w:line="210" w:lineRule="auto"/>
        <w:tabs>
          <w:tab w:leader="none" w:pos="195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Grantor will promptly (but no less than quarterly, concurrently with the delivery of any Compliance Certificate in accordance with Section 7.1(d) of the Credit Agreement, insofar as any new Intellectual Property Collateral arises or such Grantor (or its agents, employees, designees or licensees) files an application for registration of such Intellectual Property Collateral in such quarter) execute and deliver to the Administrative Agent (as applicable) a Patent Security Agreement, Trademark Security Agreement and/or Copyright Security Agreement, as the case may be, in the forms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respectively, following its obtaining an interest in, or filing an application for registration of, any Patent, Trademark or Copyright, and shall execute and deliver to the Administrative Agent any other document reasonably required by the Administrative Agent in writing to evidence the Administrative Agent’s interest in any part of such item of Intellectual Property Collateral unless such Grantor shall determine in good faith (with the consent of the Administrative Agent) that any Intellectual Property Collateral is of negligible economic value to such Grantor.</w:t>
      </w:r>
    </w:p>
    <w:p>
      <w:pPr>
        <w:spacing w:after="0" w:line="157"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1"/>
          <w:szCs w:val="21"/>
          <w:u w:val="single" w:color="auto"/>
          <w:color w:val="auto"/>
        </w:rPr>
        <w:t>As to Letter-of-Credit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22"/>
          <w:szCs w:val="22"/>
          <w:color w:val="auto"/>
        </w:rPr>
        <w:t>SECTION 4.7. (a) Each Grantor, by granting a security interest in its Letter-of-Credit Rights to the Administrative Agent, intends to (and hereby does) collaterally assign to the Administrative Agent its rights (including its contingent rights) to the Proceeds of all Letter-of-Credit Rights of which it is or hereafter becomes a beneficiary or assignee.</w:t>
      </w:r>
    </w:p>
    <w:p>
      <w:pPr>
        <w:spacing w:after="0" w:line="176"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color w:val="auto"/>
        </w:rPr>
        <w:t>SECTION 4.8. (b) Upon the occurrence and during the continuance of an Event of Default, such Grantor will, promptly upon request by the Administrative Agent, (i) notify (and such Grantor hereby authorizes the Administrative Agent to notify) the issuer and each nominated Person with respect to each of the Letters of Credit of such Grantor with value in excess of $1,000,000 that the Proceeds thereof have been assigned to the Administrative Agent hereunder and any payments due or to become due in respect thereof are to be made directly to the Administrative Agent and (ii) arrange for the Administrative Agent to become the transferee beneficiary of each such Letter of Credit.</w:t>
      </w:r>
    </w:p>
    <w:p>
      <w:pPr>
        <w:spacing w:after="0" w:line="15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As to Commercial Tort Claims</w:t>
      </w:r>
      <w:r>
        <w:rPr>
          <w:rFonts w:ascii="Times New Roman" w:cs="Times New Roman" w:eastAsia="Times New Roman" w:hAnsi="Times New Roman"/>
          <w:sz w:val="22"/>
          <w:szCs w:val="22"/>
          <w:color w:val="auto"/>
        </w:rPr>
        <w:t>. Each Grantor covenants and agrees that, until the Termination Date, with respect to any Commercial Tort Claim with value in excess of $1,000,000 hereafter arising, it shall reasonably promptly deliver to the Administrative Agent a supplement in form and substance reasonably satisfactory to the Administrative Agent, together with all supplements to schedules thereto, identifying such new Commercial Tort Claim.</w:t>
      </w:r>
    </w:p>
    <w:p>
      <w:pPr>
        <w:spacing w:after="0" w:line="15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4.10. </w:t>
      </w:r>
      <w:r>
        <w:rPr>
          <w:rFonts w:ascii="Times New Roman" w:cs="Times New Roman" w:eastAsia="Times New Roman" w:hAnsi="Times New Roman"/>
          <w:sz w:val="21"/>
          <w:szCs w:val="21"/>
          <w:u w:val="single" w:color="auto"/>
          <w:color w:val="auto"/>
        </w:rPr>
        <w:t>Electronic Chattel Paper and Transferable Records</w:t>
      </w:r>
      <w:r>
        <w:rPr>
          <w:rFonts w:ascii="Times New Roman" w:cs="Times New Roman" w:eastAsia="Times New Roman" w:hAnsi="Times New Roman"/>
          <w:sz w:val="21"/>
          <w:szCs w:val="21"/>
          <w:color w:val="auto"/>
        </w:rPr>
        <w:t>. If any Grantor at any time holds or acquires an interest in any Electronic Chattel Paper or any “transferable record,” as that term is defined in Section 201 of the U.S. Federal Electronic Signatures in Global and National Commerce Act, or in Section 16 of the U.S. Uniform Electronic Transactions Act as in effect in any relevant jurisdiction, with a value in excess of $1,000,000, such Grantor shall promptly notify the Administrative Agent thereof and, at the request of the Administrative Agent, shall take such action as the Administrative Agent may reasonably request to vest in the Administrative Agent control under Section 9-105 of the UCC of such Electronic Chattel Paper or control under Section 201 of the Federal Electronic Signatures in Global and National Commerce Act or, as the case may be, Section 16 of the Uniform Electronic Transactions Act, as so in effect in such jurisdiction, of such transferable record. The Administrative Agent agrees with such Grantor that the Administrative Agent will arrange, pursuant to procedures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131" w:name="page132"/>
    <w:bookmarkEnd w:id="131"/>
    <w:p>
      <w:pPr>
        <w:jc w:val="both"/>
        <w:spacing w:after="0" w:line="215" w:lineRule="auto"/>
        <w:rPr>
          <w:sz w:val="20"/>
          <w:szCs w:val="20"/>
          <w:color w:val="auto"/>
        </w:rPr>
      </w:pPr>
      <w:r>
        <w:rPr>
          <w:rFonts w:ascii="Times New Roman" w:cs="Times New Roman" w:eastAsia="Times New Roman" w:hAnsi="Times New Roman"/>
          <w:sz w:val="22"/>
          <w:szCs w:val="22"/>
          <w:color w:val="auto"/>
        </w:rPr>
        <w:t>satisfactory to the Administrative Agent and so long as such procedures will not result in the Administrative Agent’s loss of control, for the Grantor to make alterations to the Electronic Chattel Paper or transferable record permitted under Section 9-105 of the UCC or, as the case may be, Section 201 of the U.S. Federal Electronic Signatures in Global and National Commerce Act or Section 16 of the U.S. Uniform Electronic Transactions Act for a party in control to allow without loss of control, unless an Event of Default has occurred and is continuing or would occur after taking into account any action by such Grantor with respect to such Electronic Chattel Paper or transferable record.</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Landlord Access Agreements</w:t>
      </w:r>
      <w:r>
        <w:rPr>
          <w:rFonts w:ascii="Times New Roman" w:cs="Times New Roman" w:eastAsia="Times New Roman" w:hAnsi="Times New Roman"/>
          <w:sz w:val="22"/>
          <w:szCs w:val="22"/>
          <w:color w:val="auto"/>
        </w:rPr>
        <w:t>. Each Grantor shall furnish to the Administrative Agent landlord access agreements as to locations where any books and records, or more than $1,000,000 of other Collateral, is stored, in form and substance reasonably satisfactory to the Administrative Agent, from each landlord, bailee or other third party to such Grantor for each such location and/or real property lease entered into by such Grantor after the date hereof.</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Further Assurances, Etc</w:t>
      </w:r>
      <w:r>
        <w:rPr>
          <w:rFonts w:ascii="Times New Roman" w:cs="Times New Roman" w:eastAsia="Times New Roman" w:hAnsi="Times New Roman"/>
          <w:sz w:val="22"/>
          <w:szCs w:val="22"/>
          <w:color w:val="auto"/>
        </w:rPr>
        <w:t>. Each Grantor agrees that, from time to time at its own expense, it will, subject to the terms of this Security Agreement, promptly execute and deliver all further instruments and documents, and take all further action that may be necessary or that the Administrative Agent may reasonably request, in order to perfect, preserve and protect any security interest granted or purported to be granted hereby or to enable the Administrative Agent to exercise and enforce its rights and remedies hereunder with respect to any Collateral. Without limiting the generality of the foregoing, such Grantor will:</w:t>
      </w:r>
    </w:p>
    <w:p>
      <w:pPr>
        <w:spacing w:after="0" w:line="152" w:lineRule="exact"/>
        <w:rPr>
          <w:sz w:val="20"/>
          <w:szCs w:val="20"/>
          <w:color w:val="auto"/>
        </w:rPr>
      </w:pPr>
    </w:p>
    <w:p>
      <w:pPr>
        <w:jc w:val="both"/>
        <w:ind w:left="660" w:firstLine="644"/>
        <w:spacing w:after="0" w:line="210" w:lineRule="auto"/>
        <w:tabs>
          <w:tab w:leader="none" w:pos="195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upon the request of the Administrative Agent, promptly deliver to the Administrative Agent such stock powers, instruments and similar documents, reasonably satisfactory in form and substance to the Administrative Agent, with respect to such Collateral as the Administrative Agent may request and will, from time to time upon the request of the Administrative Agent, after the occurrence and during the continuance of any Event of Default, promptly transfer any securities constituting Collateral into the name of any nominee designated by the Administrative Agent; if any Collateral shall be evidenced by an Instrument, negotiable Document, Promissory Note or tangible Chattel Paper, deliver and pledge to the Administrative Agent hereunder such Instrument, negotiable Document, Promissory Note or tangible Chattel Paper (other than any Instruments, negotiable Documents, Promissory Notes or tangible Chattel Paper in principal amount less than $1,000,000 individually or $2,000,000 in the aggregate) duly endorsed and accompanied by duly executed instruments of transfer or assignment, all in form and substance reasonably satisfactory to the Administrative Agent;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(and such Grantor hereby authorizes the Administrative Agent to file) such Financing Statements or continuation statements, or amendments thereto, and such other instruments or notices (including any assignment of claim form under or pursuant to the federal assignment of claims statute, 31 U.S.C. § 3727, any successor or amended version thereof or any regulation promulgated under or pursuant to any version thereof), as may be necessary or that the Administrative Agent may reasonably request in order to perfect and preserve the security interests and other rights granted or purported to be granted to the Administrative Agent hereby;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keep pledged to the Administrative Agent pursuant hereto, on a first-priority, perfected basis, all Investment Property constituting Collateral, all dividends and Distributions with respect thereto, and all interest and principal with respect to Promissory Notes constituting Collateral, and all Proceeds and rights from time to time received by or distributable to such Grantor in respect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22"/>
          <w:szCs w:val="22"/>
          <w:color w:val="auto"/>
        </w:rPr>
        <w:t>Collateral, in each case, to the extent required hereunder or under any other Loan Document;</w:t>
      </w:r>
    </w:p>
    <w:p>
      <w:pPr>
        <w:spacing w:after="0" w:line="179" w:lineRule="exact"/>
        <w:rPr>
          <w:sz w:val="20"/>
          <w:szCs w:val="20"/>
          <w:color w:val="auto"/>
        </w:rPr>
      </w:pPr>
    </w:p>
    <w:p>
      <w:pPr>
        <w:jc w:val="both"/>
        <w:ind w:left="660" w:firstLine="644"/>
        <w:spacing w:after="0" w:line="225" w:lineRule="auto"/>
        <w:tabs>
          <w:tab w:leader="none" w:pos="195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take or omit to take any action the taking or the omission of which would result in any impairment or alteration of any obligation of the maker of any Payment Intangible or other Instrument constituting Collateral in any material respect, except as provided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right="20" w:firstLine="644"/>
        <w:spacing w:after="0" w:line="220" w:lineRule="auto"/>
        <w:tabs>
          <w:tab w:leader="none" w:pos="195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create any tangible Chattel Paper constituting Collateral in a principal amount in excess of $1,000,000 individually or $2,000,000 in the aggregate without, at the request of the Administrative Agent, placing a legend on such tangible Chattel Paper reasonably acceptable to the Administrative Agent indicating that the Administrative Agent has a security interest in such Chattel Paper;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the Administrative Agent, from time to time at the Administrative Agent’s request, statements and schedules further identifying and describing the Collateral and such other reports in connection with the Collateral as the Administrative Agent may reasonably request, all in reasonable detail;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things reasonably requested by the Administrative Agent in accordance with this Security Agreement in order to enable the Administrative Agent to have and maintain control over the Collateral consisting of Investment Property, Deposit Accounts (other than Excluded Accounts), Letter-of Credit-Rights and Electronic Chattel Paper.</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With respect to the foregoing and the grant of the security interest hereunder, each Grantor hereby authorizes the Administrative Agent to file one or more financing or continuation statements, and amendments thereto, relative to all or any part of the Collateral. Each Grantor agrees that a carbon, photographic or other reproduction of this Security Agreement or any UCC financing statement covering the Collateral or any part thereof shall be sufficient as a UCC financing statement where permitted by Law. Each Grantor hereby authorizes the Administrative Agent to file financing statements describing as the collateral covered thereby “all of the debtor’s personal property or assets” or words to that effect, notwithstanding that such wording may be broader in scope than the Collateral described in this Security Agreement. Notwithstanding anything else herein, the Administrative Agent shall not be liable for the preparation, filing or maintenance of any UCC or other applicable financing statements or instruments, all of which shall be duties of the Grantors.</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w:t>
      </w:r>
    </w:p>
    <w:p>
      <w:pPr>
        <w:ind w:left="4080"/>
        <w:spacing w:after="0"/>
        <w:rPr>
          <w:sz w:val="20"/>
          <w:szCs w:val="20"/>
          <w:color w:val="auto"/>
        </w:rPr>
      </w:pPr>
      <w:r>
        <w:rPr>
          <w:rFonts w:ascii="Times New Roman" w:cs="Times New Roman" w:eastAsia="Times New Roman" w:hAnsi="Times New Roman"/>
          <w:sz w:val="22"/>
          <w:szCs w:val="22"/>
          <w:color w:val="auto"/>
        </w:rPr>
        <w:t>THE ADMINISTRATIVE AGENT</w:t>
      </w:r>
    </w:p>
    <w:p>
      <w:pPr>
        <w:spacing w:after="0" w:line="15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Administrative Agent Appointed Attorney-in-Fact</w:t>
      </w:r>
      <w:r>
        <w:rPr>
          <w:rFonts w:ascii="Times New Roman" w:cs="Times New Roman" w:eastAsia="Times New Roman" w:hAnsi="Times New Roman"/>
          <w:sz w:val="22"/>
          <w:szCs w:val="22"/>
          <w:color w:val="auto"/>
        </w:rPr>
        <w:t>. Each Grantor hereby irrevocably designates and appoints the Administrative Agent, on behalf of the Secured Parties, as its attorney-in-fact, with full authority in the place and stead of such Grantor and in the name of such Grantor or otherwise, from time to time in the Administrative Agent’s discretion, solely following the occurrence and during the continuance of an Event of Default, to take any action and to execute any instrument in accordance with applicable Law which the Administrative Agent may deem reasonably necessary or advisable to accomplish the purposes of this Security Agreement, and, subject to and in furtherance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133" w:name="page134"/>
    <w:bookmarkEnd w:id="133"/>
    <w:p>
      <w:pPr>
        <w:ind w:left="660" w:firstLine="644"/>
        <w:spacing w:after="0" w:line="236" w:lineRule="auto"/>
        <w:tabs>
          <w:tab w:leader="none" w:pos="195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demand, collect, settle, compromise and adjust, and give discharges and releases concerning the Collateral, all as the Administrative Agent may deem reasonably appropriate;</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commence and prosecute any actions at any court for the purposes of collecting any of the Collateral and enforcing any other right in respect thereof;</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defend, settle or compromise any action brought in respect of the Collateral and, in connection therewith, give such discharge or release as the Administrative Agent may deem reasonably appropriate;</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or discharge taxes, liens, security interests or other encumbrances levied or placed on or threatened against the Collateral;</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direct any parties liable for any payment in connection with any of the Collateral to make payment of any and all monies due and to become due thereunder directly to the Administrative Agent or as the Administrative Agent shall direct;</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receive payment of and receipt for any and all monies, claims and other amounts due and to become due at any time in respect of or arising out of any Collateral;</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sign and endorse, any drafts, assignments, proxies, stock powers, verifications, notices and other documents relating to the Collateral;</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execute and deliver all assignments, conveyances, statements, financing statements, renewal financing statements, security and pledge agreements, affidavits, notices and other agreements, instruments and documents that the Administrative Agent may deem reasonably appropriate in order to perfect and maintain the security interests and liens granted in this Security Agreement and in order to fully consummate all of the transactions contemplated herein;</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exchange any of the Collateral or other property upon any merger, consolidation, reorganization, recapitalization or other readjustment of the issuer thereof and, in connection therewith, deposit any of the Collateral with any committee, depository, transfer agent, registrar or other designated agency upon such terms as the Administrative Agent may deem reasonably appropriate;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vote for a shareholder or member resolution, or to sign an instrument in writing, sanctioning the transfer of any or all of the Collateral into the name of the Administrative Agent (or its designee) or one or more of the Secured Parties or into the name of any transferee to whom the Collateral or any part thereof may be sold pursuant to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hereof;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perform the affirmative obligations of such Grantor hereunder.</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Each Grantor hereby acknowledges, consents and agrees that the power of attorney granted pursuant to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is irrevocable and coupled with an interest.</w:t>
      </w:r>
    </w:p>
    <w:p>
      <w:pPr>
        <w:spacing w:after="0" w:line="13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Administrative Agent May Perform</w:t>
      </w:r>
      <w:r>
        <w:rPr>
          <w:rFonts w:ascii="Times New Roman" w:cs="Times New Roman" w:eastAsia="Times New Roman" w:hAnsi="Times New Roman"/>
          <w:sz w:val="22"/>
          <w:szCs w:val="22"/>
          <w:color w:val="auto"/>
        </w:rPr>
        <w:t xml:space="preserve">. If any Grantor fails to perform any agreement contained herein, the Administrative Agent, on behalf of the Secured Parties, may (but shall not be obligated to), with written notice to such Grantor (which notice may be delivered to such Grantor after the Administrative Agent has taken such actions as described in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itself perform, or cause performance of, such agreement,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4" w:right="339" w:bottom="1440" w:gutter="0" w:footer="0" w:header="0"/>
        </w:sectPr>
      </w:pPr>
    </w:p>
    <w:bookmarkStart w:id="134" w:name="page135"/>
    <w:bookmarkEnd w:id="134"/>
    <w:p>
      <w:pPr>
        <w:jc w:val="both"/>
        <w:spacing w:after="0" w:line="225" w:lineRule="auto"/>
        <w:rPr>
          <w:sz w:val="20"/>
          <w:szCs w:val="20"/>
          <w:color w:val="auto"/>
        </w:rPr>
      </w:pPr>
      <w:r>
        <w:rPr>
          <w:rFonts w:ascii="Times New Roman" w:cs="Times New Roman" w:eastAsia="Times New Roman" w:hAnsi="Times New Roman"/>
          <w:sz w:val="22"/>
          <w:szCs w:val="22"/>
          <w:color w:val="auto"/>
        </w:rPr>
        <w:t>Administrative Agent deems necessary for the maintenance, preservation or protection of any of the Collateral or of its security interest therein to the extent provided for herein, and the expenses of the Administrative Agent incurred in connection therewith shall be payable by such Grantor pursuant to Section 10.3 of the Credit Agreement.</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Administrative Agent Has No Duty</w:t>
      </w:r>
      <w:r>
        <w:rPr>
          <w:rFonts w:ascii="Times New Roman" w:cs="Times New Roman" w:eastAsia="Times New Roman" w:hAnsi="Times New Roman"/>
          <w:sz w:val="22"/>
          <w:szCs w:val="22"/>
          <w:color w:val="auto"/>
        </w:rPr>
        <w:t>. The powers conferred on the Administrative Agent hereunder are solely to protect its interest in the Collateral and shall not impose any duty on it to exercise any such powers. Except for reasonable care of any Collateral in its possession and the accounting for moneys actually received by it hereunder, the Administrative Agent shall have no duty as to any Collateral or responsibility for:</w:t>
      </w:r>
    </w:p>
    <w:p>
      <w:pPr>
        <w:spacing w:after="0" w:line="152" w:lineRule="exact"/>
        <w:rPr>
          <w:sz w:val="20"/>
          <w:szCs w:val="20"/>
          <w:color w:val="auto"/>
        </w:rPr>
      </w:pPr>
    </w:p>
    <w:p>
      <w:pPr>
        <w:jc w:val="both"/>
        <w:ind w:left="660" w:firstLine="644"/>
        <w:spacing w:after="0" w:line="225" w:lineRule="auto"/>
        <w:tabs>
          <w:tab w:leader="none" w:pos="195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ascertaining or taking action with respect to calls, conversions, exchanges, maturities, tenders or other matters relative to any Investment Property, whether or not the Administrative Agent has or is deemed to have knowledge of such matters; or</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necessary steps to preserve rights against prior parties or any other rights pertaining to any</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Reasonable Care</w:t>
      </w:r>
      <w:r>
        <w:rPr>
          <w:rFonts w:ascii="Times New Roman" w:cs="Times New Roman" w:eastAsia="Times New Roman" w:hAnsi="Times New Roman"/>
          <w:sz w:val="22"/>
          <w:szCs w:val="22"/>
          <w:color w:val="auto"/>
        </w:rPr>
        <w:t xml:space="preserve">. The Administrative Agent is required to exercise reasonable care in the custody and preservation of any of the Collateral in its possession;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be deemed to have exercised reasonable care if such Collateral is accorded treatment substantially equal to that which the Administrative Agent accords its own property.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Assignment by the Administrative Agent</w:t>
      </w:r>
      <w:r>
        <w:rPr>
          <w:rFonts w:ascii="Times New Roman" w:cs="Times New Roman" w:eastAsia="Times New Roman" w:hAnsi="Times New Roman"/>
          <w:sz w:val="22"/>
          <w:szCs w:val="22"/>
          <w:color w:val="auto"/>
        </w:rPr>
        <w:t>. The Administrative Agent may from time to time assign its security interest in the Collateral and any portion thereof to a successor Administrative Agent in accordance with the Credit Agreement, and the assignee shall be entitled to all of the rights and remedies of the Administrative Agent under this Security Agreement in relation thereto.</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The provisions of Article XI of the Credit Agreement, including the rights, privileges, protections, benefits, indemnities and immunities of the Administrative Agent are incorporated herein,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 as if a part hereof, and shall also apply to the Administrative Agent acting under or in connection with this Security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Release of Collateral</w:t>
      </w:r>
      <w:r>
        <w:rPr>
          <w:rFonts w:ascii="Times New Roman" w:cs="Times New Roman" w:eastAsia="Times New Roman" w:hAnsi="Times New Roman"/>
          <w:sz w:val="22"/>
          <w:szCs w:val="22"/>
          <w:color w:val="auto"/>
        </w:rPr>
        <w:t xml:space="preserve">. Without limiting the effect of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the Administrative Agent, upon the direction of the Lenders, may release any of the Collateral from this Security Agreement or may substitute any of the Collateral for other Collateral without altering, varying or diminishing in any way the force, effect, Lien, pledge or security interest of this Security Agreement as to any Collateral not expressly released or substituted, and this Security Agreement shall continue as a first priority Lien (subject to Permitted Liens) on all Collateral not expressly released or substituted.</w:t>
      </w:r>
    </w:p>
    <w:p>
      <w:pPr>
        <w:spacing w:after="0" w:line="139"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22"/>
          <w:szCs w:val="22"/>
          <w:color w:val="auto"/>
        </w:rPr>
        <w:t>ARTICLE VI</w:t>
      </w:r>
    </w:p>
    <w:p>
      <w:pPr>
        <w:jc w:val="right"/>
        <w:ind w:right="5080"/>
        <w:spacing w:after="0"/>
        <w:rPr>
          <w:sz w:val="20"/>
          <w:szCs w:val="20"/>
          <w:color w:val="auto"/>
        </w:rPr>
      </w:pPr>
      <w:r>
        <w:rPr>
          <w:rFonts w:ascii="Times New Roman" w:cs="Times New Roman" w:eastAsia="Times New Roman" w:hAnsi="Times New Roman"/>
          <w:sz w:val="22"/>
          <w:szCs w:val="22"/>
          <w:color w:val="auto"/>
        </w:rPr>
        <w:t>REMEDIES</w:t>
      </w:r>
    </w:p>
    <w:p>
      <w:pPr>
        <w:spacing w:after="0" w:line="155"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Certain Remedies</w:t>
      </w:r>
      <w:r>
        <w:rPr>
          <w:rFonts w:ascii="Times New Roman" w:cs="Times New Roman" w:eastAsia="Times New Roman" w:hAnsi="Times New Roman"/>
          <w:sz w:val="21"/>
          <w:szCs w:val="21"/>
          <w:color w:val="auto"/>
        </w:rPr>
        <w:t>. If any Event of Default shall have occurred and be continuing:</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exercise in respect of the Collateral, in addition to other rights and remedies provided for herein or otherwise available to it, all the rights and remedies of the Administrative Agent on default under the UCC (whether or not the UCC applies to the affected Collateral) and also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4" w:right="339" w:bottom="1440" w:gutter="0" w:footer="0" w:header="0"/>
        </w:sectPr>
      </w:pPr>
    </w:p>
    <w:bookmarkStart w:id="135" w:name="page136"/>
    <w:bookmarkEnd w:id="135"/>
    <w:p>
      <w:pPr>
        <w:ind w:left="1460" w:hanging="628"/>
        <w:spacing w:after="0"/>
        <w:tabs>
          <w:tab w:leader="none" w:pos="14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possession of any Collateral not already in its possession without demand and without legal</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process;</w:t>
      </w:r>
    </w:p>
    <w:p>
      <w:pPr>
        <w:spacing w:after="0" w:line="155" w:lineRule="exact"/>
        <w:rPr>
          <w:rFonts w:ascii="Times New Roman" w:cs="Times New Roman" w:eastAsia="Times New Roman" w:hAnsi="Times New Roman"/>
          <w:sz w:val="22"/>
          <w:szCs w:val="22"/>
          <w:color w:val="auto"/>
        </w:rPr>
      </w:pPr>
    </w:p>
    <w:p>
      <w:pPr>
        <w:jc w:val="both"/>
        <w:ind w:left="180" w:firstLine="652"/>
        <w:spacing w:after="0" w:line="220" w:lineRule="auto"/>
        <w:tabs>
          <w:tab w:leader="none" w:pos="147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each Grantor to, and each Grantor hereby agrees that it will, at its expense and upon request of the Administrative Agent forthwith, assemble all or part of the Collateral as directed by the Administrative Agent and make it available to the Administrative Agent at a place to be designated by the Administrative Agent that is reasonably convenient to both the Administrative Agent and such Grantor;</w:t>
      </w:r>
    </w:p>
    <w:p>
      <w:pPr>
        <w:spacing w:after="0" w:line="152" w:lineRule="exact"/>
        <w:rPr>
          <w:rFonts w:ascii="Times New Roman" w:cs="Times New Roman" w:eastAsia="Times New Roman" w:hAnsi="Times New Roman"/>
          <w:sz w:val="22"/>
          <w:szCs w:val="22"/>
          <w:color w:val="auto"/>
        </w:rPr>
      </w:pPr>
    </w:p>
    <w:p>
      <w:pPr>
        <w:ind w:left="180" w:firstLine="652"/>
        <w:spacing w:after="0" w:line="236" w:lineRule="auto"/>
        <w:tabs>
          <w:tab w:leader="none" w:pos="1476"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onto the property where any Collateral is located and take possession thereof without demand and without legal process; and</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22" w:lineRule="auto"/>
        <w:tabs>
          <w:tab w:leader="none" w:pos="1464"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notice except as specified below, lease, license, sell or otherwise dispose of the Collateral or any part thereof in one or more parcels at any public or private sale, at any of the Administrative Agent’s offices or elsewhere, for cash, on credit or for future delivery, and upon such other terms as the Administrative Agent may deem commercially reasonable. Each Grantor agrees that, to the extent notice of sale shall be required by Law, at least ten (10) days’ prior notice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149" w:lineRule="exact"/>
        <w:rPr>
          <w:rFonts w:ascii="Times New Roman" w:cs="Times New Roman" w:eastAsia="Times New Roman" w:hAnsi="Times New Roman"/>
          <w:sz w:val="21"/>
          <w:szCs w:val="21"/>
          <w:color w:val="auto"/>
        </w:rPr>
      </w:pPr>
    </w:p>
    <w:p>
      <w:pPr>
        <w:jc w:val="both"/>
        <w:ind w:left="-460" w:firstLine="644"/>
        <w:spacing w:after="0" w:line="225" w:lineRule="auto"/>
        <w:tabs>
          <w:tab w:leader="none" w:pos="83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Proceeds received by the Administrative Agent in respect of any sale of, collection from, or other realization upon, all or any part of the Collateral shall be applied by the Administrative Agent against all or any part of the Obligations as set forth in Section 4.4(b) of the Credit Agreement.</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w:t>
      </w:r>
    </w:p>
    <w:p>
      <w:pPr>
        <w:spacing w:after="0" w:line="179" w:lineRule="exact"/>
        <w:rPr>
          <w:rFonts w:ascii="Times New Roman" w:cs="Times New Roman" w:eastAsia="Times New Roman" w:hAnsi="Times New Roman"/>
          <w:sz w:val="22"/>
          <w:szCs w:val="22"/>
          <w:color w:val="auto"/>
        </w:rPr>
      </w:pPr>
    </w:p>
    <w:p>
      <w:pPr>
        <w:ind w:left="180" w:firstLine="652"/>
        <w:spacing w:after="0" w:line="236" w:lineRule="auto"/>
        <w:tabs>
          <w:tab w:leader="none" w:pos="146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all or any part of the Collateral into the name of the Administrative Agent or its nominee, with or without disclosing that such Collateral is subject to the Lien hereunder;</w:t>
      </w:r>
    </w:p>
    <w:p>
      <w:pPr>
        <w:spacing w:after="0" w:line="150" w:lineRule="exact"/>
        <w:rPr>
          <w:rFonts w:ascii="Times New Roman" w:cs="Times New Roman" w:eastAsia="Times New Roman" w:hAnsi="Times New Roman"/>
          <w:sz w:val="22"/>
          <w:szCs w:val="22"/>
          <w:color w:val="auto"/>
        </w:rPr>
      </w:pPr>
    </w:p>
    <w:p>
      <w:pPr>
        <w:ind w:left="180" w:firstLine="652"/>
        <w:spacing w:after="0" w:line="236" w:lineRule="auto"/>
        <w:tabs>
          <w:tab w:leader="none" w:pos="147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the parties obligated on any of the Collateral to make payment to the Administrative Agent of any amount due or to become due thereunder;</w:t>
      </w:r>
    </w:p>
    <w:p>
      <w:pPr>
        <w:spacing w:after="0" w:line="150"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withdraw, or cause or direct the withdrawal, of all funds with respect to any Collateral Account;</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6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 collection of any of the Collateral by suit or otherwise, and surrender, release or exchange all or any part thereof, or compromise or extend or renew for any period (whether or not longer than the original period) any obligations of any nature of any party with respect thereto;</w:t>
      </w:r>
    </w:p>
    <w:p>
      <w:pPr>
        <w:spacing w:after="0" w:line="139"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 any checks, drafts, or other writings in any Grantor’s name to allow collection of the</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w:t>
      </w:r>
    </w:p>
    <w:p>
      <w:pPr>
        <w:spacing w:after="0" w:line="155"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control of any Proceeds of the Collateral;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120"/>
          </w:cols>
          <w:pgMar w:left="1440" w:top="1382" w:right="339" w:bottom="1440" w:gutter="0" w:footer="0" w:header="0"/>
        </w:sectPr>
      </w:pPr>
    </w:p>
    <w:bookmarkStart w:id="136" w:name="page137"/>
    <w:bookmarkEnd w:id="136"/>
    <w:p>
      <w:pPr>
        <w:ind w:left="1300" w:firstLine="652"/>
        <w:spacing w:after="0" w:line="236" w:lineRule="auto"/>
        <w:tabs>
          <w:tab w:leader="none" w:pos="259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(in the name, place and stead of any Grantor) endorsements, assignments, stock powers and other instruments of conveyance or transfer with respect to all or any of the Collateral.</w:t>
      </w:r>
    </w:p>
    <w:p>
      <w:pPr>
        <w:spacing w:after="0" w:line="150"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Compliance with Restrictions</w:t>
      </w:r>
      <w:r>
        <w:rPr>
          <w:rFonts w:ascii="Times New Roman" w:cs="Times New Roman" w:eastAsia="Times New Roman" w:hAnsi="Times New Roman"/>
          <w:sz w:val="22"/>
          <w:szCs w:val="22"/>
          <w:color w:val="auto"/>
        </w:rPr>
        <w:t>. Each Grantor agrees that in any sale of any of the Collateral whenever an Event of Default shall have occurred and be continuing, the Administrative Agent is hereby authorized to comply with any limitation or restriction in connection with such sale as it may be advised by counsel is necessary in order to avoid any violation of applicable Law (including compliance with such procedures as may restrict the number of prospective bidders and purchasers, require that such prospective bidders and purchasers have certain qualifications, and restrict such prospective bidders and purchasers to Persons who will represent and agree that they are purchasing for their own account for investment and not with a view to the distribution or resale of such Collateral), or in order to obtain any required approval of the sale or of the purchaser by any Governmental Authority or official, and such Grantor further agrees that such compliance shall not result in such sale being considered or deemed not to have been made in a commercially reasonable manner, nor shall the Administrative Agent be liable nor accountable to such Grantor for any discount allowed by the reason of the fact that such Collateral is sold in compliance with any such limitation or restriction.</w:t>
      </w:r>
    </w:p>
    <w:p>
      <w:pPr>
        <w:spacing w:after="0" w:line="15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Protection of Collateral</w:t>
      </w:r>
      <w:r>
        <w:rPr>
          <w:rFonts w:ascii="Times New Roman" w:cs="Times New Roman" w:eastAsia="Times New Roman" w:hAnsi="Times New Roman"/>
          <w:sz w:val="22"/>
          <w:szCs w:val="22"/>
          <w:color w:val="auto"/>
        </w:rPr>
        <w:t>. The Administrative Agent may from time to time, at its option, perform any act which any Grantor fails to perform after being requested in writing so to perform (it being understood that no such request need be made after the occurrence and during the continuance of an Event of Default) and the Administrative Agent may from time to time take any other action which the Administrative Agent deems necessary for the maintenance, preservation or protection of any of the Collateral or of its security interest therein.</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ARTICLE VII</w:t>
      </w:r>
    </w:p>
    <w:p>
      <w:pPr>
        <w:jc w:val="center"/>
        <w:spacing w:after="0"/>
        <w:rPr>
          <w:sz w:val="20"/>
          <w:szCs w:val="20"/>
          <w:color w:val="auto"/>
        </w:rPr>
      </w:pPr>
      <w:r>
        <w:rPr>
          <w:rFonts w:ascii="Times New Roman" w:cs="Times New Roman" w:eastAsia="Times New Roman" w:hAnsi="Times New Roman"/>
          <w:sz w:val="22"/>
          <w:szCs w:val="22"/>
          <w:color w:val="auto"/>
        </w:rPr>
        <w:t>MISCELLANEOUS PROVISIONS</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Loan Document</w:t>
      </w:r>
      <w:r>
        <w:rPr>
          <w:rFonts w:ascii="Times New Roman" w:cs="Times New Roman" w:eastAsia="Times New Roman" w:hAnsi="Times New Roman"/>
          <w:sz w:val="22"/>
          <w:szCs w:val="22"/>
          <w:color w:val="auto"/>
        </w:rPr>
        <w:t>. This Security Agreement is a Loan Document executed pursuant to the Credit Agreement and shall (unless otherwise expressly indicated herein) be construed, administered and applied in accordance with the terms and provisions thereof, including Section 1.5 and Article X thereof.</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Binding on Successors, Transferees and Assigns; Assignment</w:t>
      </w:r>
      <w:r>
        <w:rPr>
          <w:rFonts w:ascii="Times New Roman" w:cs="Times New Roman" w:eastAsia="Times New Roman" w:hAnsi="Times New Roman"/>
          <w:sz w:val="22"/>
          <w:szCs w:val="22"/>
          <w:color w:val="auto"/>
        </w:rPr>
        <w:t xml:space="preserve">. This Security Agreement shall remain in full force and effect until the Termination Date has occurred, shall be binding upon the Grantors and their successors, permitted transferees and permitted assigns and shall inure to the benefit of and be enforceable by the Administrative Agent and the Secured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Grantor may assign or transfer any of its rights or obligations hereunder without the prior consent of the Administrative Agent.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 xml:space="preserve"> No amendment or modification to or waiver of any provision of this Security Agreement, nor consent to any departure by any Grantor from its obligations under this Security Agreement, shall in any event be effective unless the same shall be in writing and signed by the Administrative Agent and the Grantors and then such waiver or consent shall be effective only in the specific instance and for the specific purpose for which given.</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provided for hereunder shall be delivered or made as provided in Section 10.2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4" w:right="339" w:bottom="1440" w:gutter="0" w:footer="0" w:header="0"/>
        </w:sectPr>
      </w:pPr>
    </w:p>
    <w:bookmarkStart w:id="137" w:name="page138"/>
    <w:bookmarkEnd w:id="137"/>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Release of Liens</w:t>
      </w:r>
      <w:r>
        <w:rPr>
          <w:rFonts w:ascii="Times New Roman" w:cs="Times New Roman" w:eastAsia="Times New Roman" w:hAnsi="Times New Roman"/>
          <w:sz w:val="22"/>
          <w:szCs w:val="22"/>
          <w:color w:val="auto"/>
        </w:rPr>
        <w:t xml:space="preserve">. Upon (a) the sale of Collateral to Persons who are not the Borrower or any Subsidiary thereof in accordance with the Credit Agreement or (b) the occurrence of the Termination Date, the security interests granted herein in such Collateral shall automatically terminate with respect to (i) such Collateral (in the case of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(ii) all Collateral (in the case of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Upon any such sale or termination, the Administrative Agent will, at the Grantors’ sole expense, deliver to the Grantors, without any representations, warranties or recourse of any kind whatsoever, all such Collateral held by the Administrative Agent hereunder, and execute and deliver to the Grantors such documents as the Grantors shall reasonably request to evidence such termination.</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SECTION 7.6. </w:t>
      </w:r>
      <w:r>
        <w:rPr>
          <w:rFonts w:ascii="Times New Roman" w:cs="Times New Roman" w:eastAsia="Times New Roman" w:hAnsi="Times New Roman"/>
          <w:sz w:val="21"/>
          <w:szCs w:val="21"/>
          <w:u w:val="single" w:color="auto"/>
          <w:color w:val="auto"/>
        </w:rPr>
        <w:t>Additional Grantors</w:t>
      </w:r>
      <w:r>
        <w:rPr>
          <w:rFonts w:ascii="Times New Roman" w:cs="Times New Roman" w:eastAsia="Times New Roman" w:hAnsi="Times New Roman"/>
          <w:sz w:val="21"/>
          <w:szCs w:val="21"/>
          <w:color w:val="auto"/>
        </w:rPr>
        <w:t xml:space="preserve">. Upon the execution and delivery by any other Person of a supplement in the form of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xml:space="preserve"> hereto, such Person shall become a “Grantor” hereunder with the same force and effect as if it were originally a party to this Security Agreement and named as a “Grantor” hereunder. The execution and delivery of such supplement shall not require the consent of any other Grantor hereunder, and the rights and obligations of each Grantor hereunder shall remain in full force and effect notwithstanding the addition of any new Grantor as a party to this Security Agreement. Any schedules delivered by any additional Grantor pursuant to such supplement shall supplement the relevant schedules to this Security Agreement.</w:t>
      </w:r>
    </w:p>
    <w:p>
      <w:pPr>
        <w:spacing w:after="0" w:line="15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No Waiver; Remedies</w:t>
      </w:r>
      <w:r>
        <w:rPr>
          <w:rFonts w:ascii="Times New Roman" w:cs="Times New Roman" w:eastAsia="Times New Roman" w:hAnsi="Times New Roman"/>
          <w:sz w:val="22"/>
          <w:szCs w:val="22"/>
          <w:color w:val="auto"/>
        </w:rPr>
        <w:t xml:space="preserve">. In addition to, and not in limitation of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no failure on the part of the Administrative Agent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Security Agreement which is prohibited or unenforceable in any jurisdiction shall, as to such provision and such jurisdiction, be ineffective only to the extent of such prohibition or unenforceability without invalidating the remaining provisions of this Security Agreement or affecting the validity or enforceability of such provision in any other jurisdiction.</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Governing Law, Entire Agreement, Etc.</w:t>
      </w:r>
      <w:r>
        <w:rPr>
          <w:rFonts w:ascii="Times New Roman" w:cs="Times New Roman" w:eastAsia="Times New Roman" w:hAnsi="Times New Roman"/>
          <w:sz w:val="22"/>
          <w:szCs w:val="22"/>
          <w:color w:val="auto"/>
        </w:rPr>
        <w:t xml:space="preserve"> THIS SECURITY AGREEMENT AND ANY CLAIMS, CONTROVERSY, DISPUTE OR CAUSE OF ACTION (WHETHER IN CONTRACT OR TORT OR OTHERWISE) BASED UPON, ARISING OUT OF OR RELATING TO THIS SECURITY AGREEMENT OR ANY OTHER LOAN DOCUMENT CONTEMPLATED HEREBY SHALL BE GOVERNED BY, AND CONSTRUED IN ACCORDANCE WITH, THE INTERNAL LAWS OF THE STATE OF NEW YORK (INCLUDING FOR SUCH PURPOSE SECTIONS 5-1401 AND 5-1402 OF THE GENERAL OBLIGATIONS LAW OF THE STATE OF NEW YORK). This Security Agreement, along with the other Loan Documents, constitutes the entire understanding among the parties hereto with respect to the subject matter thereof and supersedes any prior agreements, written or oral, with respect thereto.</w:t>
      </w:r>
    </w:p>
    <w:p>
      <w:pPr>
        <w:spacing w:after="0" w:line="15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Security Agreement may be executed by the parties hereto in several counterparts, each of which shall be an original and all of which shall constitute together but one and the same agreement. This Security Agreement shall become effective when counterparts hereof executed on behalf of all of the signatories hereto, shall have been received by the Administrative Agent. The words “execute,” “execution,” “signed,” “signature” and words of like import in this Agreement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4" w:right="339" w:bottom="1440" w:gutter="0" w:footer="0" w:header="0"/>
        </w:sectPr>
      </w:pPr>
    </w:p>
    <w:bookmarkStart w:id="138" w:name="page139"/>
    <w:bookmarkEnd w:id="138"/>
    <w:p>
      <w:pPr>
        <w:jc w:val="both"/>
        <w:spacing w:after="0" w:line="220" w:lineRule="auto"/>
        <w:rPr>
          <w:sz w:val="20"/>
          <w:szCs w:val="20"/>
          <w:color w:val="auto"/>
        </w:rPr>
      </w:pPr>
      <w:r>
        <w:rPr>
          <w:rFonts w:ascii="Times New Roman" w:cs="Times New Roman" w:eastAsia="Times New Roman" w:hAnsi="Times New Roman"/>
          <w:sz w:val="22"/>
          <w:szCs w:val="22"/>
          <w:color w:val="auto"/>
        </w:rPr>
        <w:t>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SECTION 7.11. </w:t>
      </w:r>
      <w:r>
        <w:rPr>
          <w:rFonts w:ascii="Times New Roman" w:cs="Times New Roman" w:eastAsia="Times New Roman" w:hAnsi="Times New Roman"/>
          <w:sz w:val="21"/>
          <w:szCs w:val="21"/>
          <w:u w:val="single" w:color="auto"/>
          <w:color w:val="auto"/>
        </w:rPr>
        <w:t>Forum Selection and Consent to Jurisdiction</w:t>
      </w:r>
      <w:r>
        <w:rPr>
          <w:rFonts w:ascii="Times New Roman" w:cs="Times New Roman" w:eastAsia="Times New Roman" w:hAnsi="Times New Roman"/>
          <w:sz w:val="21"/>
          <w:szCs w:val="21"/>
          <w:color w:val="auto"/>
        </w:rPr>
        <w:t xml:space="preserve">. ANY LITIGATION BASED HEREON, OR ARISING OUT OF, UNDER, OR IN CONNECTION WITH, THIS SECURITY AGREEMENT, OR ANY COURSE OF CONDUCT, COURSE OF DEALING, STATEMENTS (WHETHER ORAL OR WRITTEN) OR ACTIONS OF THE SECURED PARTIES OR ANY GRANTOR IN CONNECTION HEREWITH SHALL BE BROUGHT AND MAINTAINED IN THE COURTS OF THE BOROUGH OF MANHATTAN IN THE CITY OF NEW YORK IN THE STATE OF NEW YORK OR IN THE UNITED STATES DISTRICT COURT FOR THE SOUTHERN DISTRICT OF NEW YORK;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SUIT SEEKING ENFORCEMENT AGAINST ANY COLLATERAL OR OTHER PROPERTY MAY BE BROUGHT, AT THE ADMINISTRATIVE AGENT’S OPTION, IN THE COURTS OF ANY JURISDICTION WHERE SUCH COLLATERAL OR OTHER PROPERTY MAY BE FOUND. EACH GRANTOR THAT IS A FOREIGN SUBSIDIARY HEREBY APPOINTS MYRIAD GENETICS, INC. AS ITS AGENT WHERE NOTICES AND DEMANDS TO OR UPON SUCH GRANTOR IN RESPECT OF THIS SECURITY AGREEMENT MAY BE SERVED (WITHOUT PREJUDICE TO THE RIGHT OF THE SECURED PARTIES TO SERVE PROCESS IN ANY OTHER MANNER PERMITTED BY LAW). IF FOR ANY REASON MYRIAD GENETICS, INC. IS UNABLE TO SERVE AS SUCH, EACH SUCH GRANTOR WILL WITHIN 30 DAYS APPOINT A PROCESS AGENT LOCATED IN THE STATE OF NEW YORK AND GIVE NOTICE OF SUCH APPOINTMENT TO THE SECURED PARTIES. EACH GRANTOR IRREVOCABLY CONSENTS TO THE SERVICE OF PROCESS BY REGISTERED MAIL, POSTAGE PREPAID, OR BY PERSONAL SERVICE WITHIN OR WITHOUT THE STATE OF NEW YORK AT THE ADDRESS FOR NOTICES SPECIFIED IN SECTION 10.2 OF THE CREDIT AGREEMENT. EACH GRANTOR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ANY GRANTOR HAS OR HEREAFTER MAY ACQUIRE ANY IMMUNITY FROM JURISDICTION OF ANY COURT OR FROM ANY LEGAL PROCESS (WHETHER THROUGH SERVICE OR NOTICE, ATTACHMENT PRIOR TO JUDGMENT, ATTACHMENT IN AID OF EXECUTION OR OTHERWISE) WITH RESPECT TO ITSELF OR ITS PROPERTY, SUCH GRANTOR, ON ITS OWN BEHALF, HEREBY IRREVOCABLY WAIVES TO THE FULLEST EXTENT PERMITTED BY LAW SUCH IMMUNITY IN RESPECT OF ITS OBLIGATIONS UNDER THIS SECURITY AGREEMENT.</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Rights of Lenders</w:t>
      </w:r>
      <w:r>
        <w:rPr>
          <w:rFonts w:ascii="Times New Roman" w:cs="Times New Roman" w:eastAsia="Times New Roman" w:hAnsi="Times New Roman"/>
          <w:sz w:val="22"/>
          <w:szCs w:val="22"/>
          <w:color w:val="auto"/>
        </w:rPr>
        <w:t>. If the Administrative Agent has a right to take or omit to take any action hereunder, it shall exercise such right if instructed to do so by the Lenders. With respect to any discretion, consent, approval or similar such action to be made, taken, omitted to be taken or determined by the Administrative Agent under this Security Agreement (each an “</w:t>
      </w:r>
      <w:r>
        <w:rPr>
          <w:rFonts w:ascii="Times New Roman" w:cs="Times New Roman" w:eastAsia="Times New Roman" w:hAnsi="Times New Roman"/>
          <w:sz w:val="22"/>
          <w:szCs w:val="22"/>
          <w:u w:val="single" w:color="auto"/>
          <w:color w:val="auto"/>
        </w:rPr>
        <w:t>Administrative Agent Determination</w:t>
      </w:r>
      <w:r>
        <w:rPr>
          <w:rFonts w:ascii="Times New Roman" w:cs="Times New Roman" w:eastAsia="Times New Roman" w:hAnsi="Times New Roman"/>
          <w:sz w:val="22"/>
          <w:szCs w:val="22"/>
          <w:color w:val="auto"/>
        </w:rPr>
        <w:t>”), such Administrative Agent Determination shall be made by the Administrative Agent at the direction of the Lenders. If the Administrative Agent has resigned and no successor Administrative Agent has been appointed pursuant to the Credit Agreement, all rights of the Administrative Agent hereunder may be exercised by the Lenders.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4" w:right="339" w:bottom="1440" w:gutter="0" w:footer="0" w:header="0"/>
        </w:sectPr>
      </w:pPr>
    </w:p>
    <w:bookmarkStart w:id="139" w:name="page140"/>
    <w:bookmarkEnd w:id="13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has caused this Security Agreement to be duly executed and delivered by its Authorized Officer as of the date first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J. Leffler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Scott J. Leffler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MYRIAD GENETIC LABORATORIES, INC.</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049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9020" cy="8255"/>
                    </a:xfrm>
                    <a:prstGeom prst="rect">
                      <a:avLst/>
                    </a:prstGeom>
                    <a:noFill/>
                  </pic:spPr>
                </pic:pic>
              </a:graphicData>
            </a:graphic>
          </wp:anchor>
        </w:drawing>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Scott J. Leffler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MYRIAD WOMEN’S HEALTH, INC.</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049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902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Scott J. Leffler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ASSUREX HEALTH, INC.</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049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902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Scott J. Leffler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GATEWAY GENOMICS, LLC</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049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902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Scott J. Leffler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Security Agreement</w:t>
      </w:r>
    </w:p>
    <w:p>
      <w:pPr>
        <w:sectPr>
          <w:pgSz w:w="11900" w:h="16838" w:orient="portrait"/>
          <w:cols w:equalWidth="0" w:num="1">
            <w:col w:w="11240"/>
          </w:cols>
          <w:pgMar w:left="320" w:top="1421" w:right="339" w:bottom="1440" w:gutter="0" w:footer="0" w:header="0"/>
        </w:sectPr>
      </w:pPr>
    </w:p>
    <w:bookmarkStart w:id="140" w:name="page141"/>
    <w:bookmarkEnd w:id="140"/>
    <w:p>
      <w:pPr>
        <w:ind w:left="2780" w:right="239"/>
        <w:spacing w:after="0" w:line="271" w:lineRule="auto"/>
        <w:rPr>
          <w:sz w:val="20"/>
          <w:szCs w:val="20"/>
          <w:color w:val="auto"/>
        </w:rPr>
      </w:pPr>
      <w:r>
        <w:rPr>
          <w:rFonts w:ascii="Times New Roman" w:cs="Times New Roman" w:eastAsia="Times New Roman" w:hAnsi="Times New Roman"/>
          <w:sz w:val="22"/>
          <w:szCs w:val="22"/>
          <w:color w:val="auto"/>
        </w:rPr>
        <w:t>ORBIMED ROYALTY &amp; CREDIT OPPORTUNITIES IV, LP, as the Administrative Agent</w:t>
      </w:r>
    </w:p>
    <w:p>
      <w:pPr>
        <w:spacing w:after="0" w:line="18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Matthew Rizzo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074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Matthew Rizzo</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Security Agreement</w:t>
      </w:r>
    </w:p>
    <w:p>
      <w:pPr>
        <w:sectPr>
          <w:pgSz w:w="11900" w:h="16838" w:orient="portrait"/>
          <w:cols w:equalWidth="0" w:num="1">
            <w:col w:w="9019"/>
          </w:cols>
          <w:pgMar w:left="1440" w:top="1421"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58595B"/>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114935</wp:posOffset>
            </wp:positionV>
            <wp:extent cx="5863590" cy="960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595"/>
        </w:rPr>
        <w:t>Myriad Genetics Announces New $200 Million Credit Facility</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22"/>
          <w:szCs w:val="22"/>
          <w:b w:val="1"/>
          <w:bCs w:val="1"/>
          <w:color w:val="58595B"/>
        </w:rPr>
        <w:t xml:space="preserve">SALT LAKE CITY, </w:t>
      </w:r>
      <w:r>
        <w:rPr>
          <w:rFonts w:ascii="Arial" w:cs="Arial" w:eastAsia="Arial" w:hAnsi="Arial"/>
          <w:sz w:val="22"/>
          <w:szCs w:val="22"/>
          <w:color w:val="58595B"/>
        </w:rPr>
        <w:t>July 31, 2025 –</w:t>
      </w:r>
      <w:r>
        <w:rPr>
          <w:rFonts w:ascii="Arial" w:cs="Arial" w:eastAsia="Arial" w:hAnsi="Arial"/>
          <w:sz w:val="22"/>
          <w:szCs w:val="22"/>
          <w:b w:val="1"/>
          <w:bCs w:val="1"/>
          <w:color w:val="58595B"/>
        </w:rPr>
        <w:t xml:space="preserve"> </w:t>
      </w:r>
      <w:r>
        <w:rPr>
          <w:rFonts w:ascii="Arial" w:cs="Arial" w:eastAsia="Arial" w:hAnsi="Arial"/>
          <w:sz w:val="22"/>
          <w:szCs w:val="22"/>
          <w:u w:val="single" w:color="auto"/>
          <w:color w:val="0000FF"/>
        </w:rPr>
        <w:t>Myriad Genetics, Inc</w:t>
      </w:r>
      <w:r>
        <w:rPr>
          <w:rFonts w:ascii="Arial" w:cs="Arial" w:eastAsia="Arial" w:hAnsi="Arial"/>
          <w:sz w:val="22"/>
          <w:szCs w:val="22"/>
          <w:color w:val="000000"/>
        </w:rPr>
        <w:t>. (</w:t>
      </w:r>
      <w:r>
        <w:rPr>
          <w:rFonts w:ascii="Arial" w:cs="Arial" w:eastAsia="Arial" w:hAnsi="Arial"/>
          <w:sz w:val="22"/>
          <w:szCs w:val="22"/>
          <w:color w:val="58595B"/>
        </w:rPr>
        <w:t>NASDAQ: MYGN), a leader in molecular diagnostic testing</w:t>
      </w:r>
      <w:r>
        <w:rPr>
          <w:rFonts w:ascii="Arial" w:cs="Arial" w:eastAsia="Arial" w:hAnsi="Arial"/>
          <w:sz w:val="22"/>
          <w:szCs w:val="22"/>
          <w:b w:val="1"/>
          <w:bCs w:val="1"/>
          <w:color w:val="58595B"/>
        </w:rPr>
        <w:t xml:space="preserve"> </w:t>
      </w:r>
      <w:r>
        <w:rPr>
          <w:rFonts w:ascii="Arial" w:cs="Arial" w:eastAsia="Arial" w:hAnsi="Arial"/>
          <w:sz w:val="22"/>
          <w:szCs w:val="22"/>
          <w:color w:val="58595B"/>
        </w:rPr>
        <w:t>and precision medicine, today announced it has closed a five-year senior secured term loan credit facility providing up to $200 million of capital from OrbiMed, a leading global healthcare investment firm. The facility includes $125 million of funded capital with an option to borrow up to an additional $75 million until June 30, 2027. This facility matures on July 31, 2030, and bears interest at a rate based upon the one-month secured overnight financing rate (SOFR) plus 6.50% per year, subject to a SOFR floor of 2.50% per year.</w:t>
      </w:r>
    </w:p>
    <w:p>
      <w:pPr>
        <w:spacing w:after="0" w:line="221" w:lineRule="exact"/>
        <w:rPr>
          <w:sz w:val="20"/>
          <w:szCs w:val="20"/>
          <w:color w:val="auto"/>
        </w:rPr>
      </w:pPr>
    </w:p>
    <w:p>
      <w:pPr>
        <w:ind w:right="40"/>
        <w:spacing w:after="0" w:line="279" w:lineRule="auto"/>
        <w:rPr>
          <w:sz w:val="20"/>
          <w:szCs w:val="20"/>
          <w:color w:val="auto"/>
        </w:rPr>
      </w:pPr>
      <w:r>
        <w:rPr>
          <w:rFonts w:ascii="Arial" w:cs="Arial" w:eastAsia="Arial" w:hAnsi="Arial"/>
          <w:sz w:val="22"/>
          <w:szCs w:val="22"/>
          <w:color w:val="58595B"/>
        </w:rPr>
        <w:t>“We are excited to partner with OrbiMed, a leading global healthcare investment firm. We value their insight and financial backing, which supports our ability to pursue our near-term objectives and long-term growth plan,” said Scott Leffler, chief financial officer, Myriad Genetics. “Between this credit facility and our cash and cash equivalents, we now have access to more than $200 million in capital to support the company’s growth strategy, which we will speak to in more detail on our upcoming second quarter earnings call.”</w:t>
      </w:r>
    </w:p>
    <w:p>
      <w:pPr>
        <w:spacing w:after="0" w:line="204" w:lineRule="exact"/>
        <w:rPr>
          <w:sz w:val="20"/>
          <w:szCs w:val="20"/>
          <w:color w:val="auto"/>
        </w:rPr>
      </w:pPr>
    </w:p>
    <w:p>
      <w:pPr>
        <w:ind w:right="240"/>
        <w:spacing w:after="0" w:line="289" w:lineRule="auto"/>
        <w:rPr>
          <w:sz w:val="20"/>
          <w:szCs w:val="20"/>
          <w:color w:val="auto"/>
        </w:rPr>
      </w:pPr>
      <w:r>
        <w:rPr>
          <w:rFonts w:ascii="Arial" w:cs="Arial" w:eastAsia="Arial" w:hAnsi="Arial"/>
          <w:sz w:val="22"/>
          <w:szCs w:val="22"/>
          <w:color w:val="58595B"/>
        </w:rPr>
        <w:t>“We are pleased to partner with Myriad to support the company’s growth strategy,” said Matthew Rizzo, General Partner of OrbiMed. “We believe Myriad’s portfolio of diagnostic tests provide critical insights that enable healthcare providers to deliver better care to patients.”</w:t>
      </w:r>
    </w:p>
    <w:p>
      <w:pPr>
        <w:spacing w:after="0" w:line="193" w:lineRule="exact"/>
        <w:rPr>
          <w:sz w:val="20"/>
          <w:szCs w:val="20"/>
          <w:color w:val="auto"/>
        </w:rPr>
      </w:pPr>
    </w:p>
    <w:p>
      <w:pPr>
        <w:ind w:right="60"/>
        <w:spacing w:after="0" w:line="282" w:lineRule="auto"/>
        <w:rPr>
          <w:sz w:val="20"/>
          <w:szCs w:val="20"/>
          <w:color w:val="auto"/>
        </w:rPr>
      </w:pPr>
      <w:r>
        <w:rPr>
          <w:rFonts w:ascii="Arial" w:cs="Arial" w:eastAsia="Arial" w:hAnsi="Arial"/>
          <w:sz w:val="22"/>
          <w:szCs w:val="22"/>
          <w:color w:val="58595B"/>
        </w:rPr>
        <w:t>The new credit facility with OrbiMed replaces Myriad's previous ABL facility. The credit facility is secured by substantially all the assets of Myriad Genetics and its subsidiaries. Additional details on the credit facility are included in the company’s Current Report on Form 8-K filed with the Securities and Exchange Commission on July 31, 2025. Evercore served as exclusive financial advisor to Myriad Genetics on this transaction.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About Myriad Genetics</w:t>
      </w:r>
    </w:p>
    <w:p>
      <w:pPr>
        <w:spacing w:after="0" w:line="46" w:lineRule="exact"/>
        <w:rPr>
          <w:sz w:val="20"/>
          <w:szCs w:val="20"/>
          <w:color w:val="auto"/>
        </w:rPr>
      </w:pPr>
    </w:p>
    <w:p>
      <w:pPr>
        <w:ind w:right="300"/>
        <w:spacing w:after="0" w:line="279" w:lineRule="auto"/>
        <w:rPr>
          <w:sz w:val="20"/>
          <w:szCs w:val="20"/>
          <w:color w:val="auto"/>
        </w:rPr>
      </w:pPr>
      <w:r>
        <w:rPr>
          <w:rFonts w:ascii="Arial" w:cs="Arial" w:eastAsia="Arial" w:hAnsi="Arial"/>
          <w:sz w:val="22"/>
          <w:szCs w:val="22"/>
          <w:color w:val="58595B"/>
        </w:rPr>
        <w:t xml:space="preserve">Myriad Genetics is a leading molecular diagnostic testing and precision medicine company dedicated to advancing health and well-being for all. Myriad Genetics develops and offers molecular tests that help assess the risk of developing disease or disease progression and guide treatment decisions across medical specialties where molecular insights can significantly improve patient care and lower healthcare costs. For more information, visit </w:t>
      </w:r>
      <w:r>
        <w:rPr>
          <w:rFonts w:ascii="Arial" w:cs="Arial" w:eastAsia="Arial" w:hAnsi="Arial"/>
          <w:sz w:val="22"/>
          <w:szCs w:val="22"/>
          <w:u w:val="single" w:color="auto"/>
          <w:color w:val="0000FF"/>
        </w:rPr>
        <w:t>www.myriad.com</w:t>
      </w:r>
      <w:r>
        <w:rPr>
          <w:rFonts w:ascii="Arial" w:cs="Arial" w:eastAsia="Arial" w:hAnsi="Arial"/>
          <w:sz w:val="22"/>
          <w:szCs w:val="22"/>
          <w:color w:val="58595B"/>
        </w:rPr>
        <w:t>.</w:t>
      </w:r>
    </w:p>
    <w:p>
      <w:pPr>
        <w:sectPr>
          <w:pgSz w:w="11900" w:h="16838" w:orient="portrait"/>
          <w:cols w:equalWidth="0" w:num="1">
            <w:col w:w="11240"/>
          </w:cols>
          <w:pgMar w:left="320" w:top="1177" w:right="33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b w:val="1"/>
          <w:bCs w:val="1"/>
          <w:color w:val="58595B"/>
        </w:rPr>
        <w:t>About OrbiMed</w:t>
      </w:r>
    </w:p>
    <w:p>
      <w:pPr>
        <w:spacing w:after="0" w:line="45" w:lineRule="exact"/>
        <w:rPr>
          <w:sz w:val="20"/>
          <w:szCs w:val="20"/>
          <w:color w:val="auto"/>
        </w:rPr>
      </w:pPr>
    </w:p>
    <w:p>
      <w:pPr>
        <w:ind w:right="100"/>
        <w:spacing w:after="0" w:line="277" w:lineRule="auto"/>
        <w:rPr>
          <w:sz w:val="20"/>
          <w:szCs w:val="20"/>
          <w:color w:val="auto"/>
        </w:rPr>
      </w:pPr>
      <w:r>
        <w:rPr>
          <w:rFonts w:ascii="Arial" w:cs="Arial" w:eastAsia="Arial" w:hAnsi="Arial"/>
          <w:sz w:val="22"/>
          <w:szCs w:val="22"/>
          <w:color w:val="58595B"/>
        </w:rPr>
        <w:t>OrbiMed is a leading healthcare investment firm, with over $17 billion in assets under management. OrbiMed invests globally across the healthcare industry, from start-ups to large multinational corporations, through private equity funds, public equity funds, and royalty/credit funds. OrbiMed seeks to be a capital provider of choice, providing tailored financing solutions and extensive global team resources to help build world-class healthcare companies. OrbiMed's team of over 130 professionals is based in New York City, London, San Francisco, Shanghai, Hong Kong, Mumbai, Herzliya, and other key global markets.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Safe Harbor Statement</w:t>
      </w:r>
    </w:p>
    <w:p>
      <w:pPr>
        <w:spacing w:after="0" w:line="45" w:lineRule="exact"/>
        <w:rPr>
          <w:sz w:val="20"/>
          <w:szCs w:val="20"/>
          <w:color w:val="auto"/>
        </w:rPr>
      </w:pPr>
    </w:p>
    <w:p>
      <w:pPr>
        <w:spacing w:after="0" w:line="275" w:lineRule="auto"/>
        <w:rPr>
          <w:sz w:val="20"/>
          <w:szCs w:val="20"/>
          <w:color w:val="auto"/>
        </w:rPr>
      </w:pPr>
      <w:r>
        <w:rPr>
          <w:rFonts w:ascii="Arial" w:cs="Arial" w:eastAsia="Arial" w:hAnsi="Arial"/>
          <w:sz w:val="22"/>
          <w:szCs w:val="22"/>
          <w:color w:val="58595B"/>
        </w:rPr>
        <w:t>This press release contains “forward-looking statements” within the meaning of the Private Securities Litigation Reform Act of 1995, including statements regarding the term loan credit facility and how it supports the company’s ability to pursue its near-term objectives and long-term growth plan. These “forward looking statements” are management’s expectations of future events as of the date hereof and are subject to known and unknown risks and uncertainties that could cause actual results, conditions, and events to differ materially and adversely from those anticipated. Such factors include those risks described in the company’s filings with the U.S. Securities and Exchange Commission, including the company’s Annual Report on Form 10-K filed on February 28, 2025, as well as any updates to those risk factors filed from time to time in the company’s Quarterly Reports on Form 10-Q or Current Reports on Form 8-K. Myriad is not under any obligation, and it expressly disclaims any obligation, to update or alter any forward-looking statements, whether as a result of new information, future events or otherwise except as required by law.</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64696F"/>
        </w:rPr>
        <w:t>Investor Contact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64696F"/>
        </w:rPr>
        <w:t>Matt Scalo</w:t>
      </w:r>
    </w:p>
    <w:p>
      <w:pPr>
        <w:spacing w:after="0" w:line="32" w:lineRule="exact"/>
        <w:rPr>
          <w:sz w:val="20"/>
          <w:szCs w:val="20"/>
          <w:color w:val="auto"/>
        </w:rPr>
      </w:pPr>
    </w:p>
    <w:p>
      <w:pPr>
        <w:jc w:val="right"/>
        <w:ind w:right="9660" w:firstLine="8"/>
        <w:spacing w:after="0" w:line="323" w:lineRule="auto"/>
        <w:tabs>
          <w:tab w:leader="none" w:pos="564" w:val="left"/>
        </w:tabs>
        <w:numPr>
          <w:ilvl w:val="0"/>
          <w:numId w:val="146"/>
        </w:numPr>
        <w:rPr>
          <w:rFonts w:ascii="Arial" w:cs="Arial" w:eastAsia="Arial" w:hAnsi="Arial"/>
          <w:sz w:val="21"/>
          <w:szCs w:val="21"/>
          <w:color w:val="64696F"/>
        </w:rPr>
      </w:pPr>
      <w:r>
        <w:rPr>
          <w:rFonts w:ascii="Arial" w:cs="Arial" w:eastAsia="Arial" w:hAnsi="Arial"/>
          <w:sz w:val="21"/>
          <w:szCs w:val="21"/>
          <w:color w:val="64696F"/>
        </w:rPr>
        <w:t xml:space="preserve">584-3532 </w:t>
      </w:r>
      <w:r>
        <w:rPr>
          <w:rFonts w:ascii="Arial" w:cs="Arial" w:eastAsia="Arial" w:hAnsi="Arial"/>
          <w:sz w:val="21"/>
          <w:szCs w:val="21"/>
          <w:u w:val="single" w:color="auto"/>
          <w:color w:val="0000FF"/>
        </w:rPr>
        <w:t>IR@myriad.com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64696F"/>
        </w:rPr>
        <w:t>Media Contact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64696F"/>
        </w:rPr>
        <w:t>Katie Schraml</w:t>
      </w:r>
    </w:p>
    <w:p>
      <w:pPr>
        <w:spacing w:after="0" w:line="19" w:lineRule="exact"/>
        <w:rPr>
          <w:sz w:val="20"/>
          <w:szCs w:val="20"/>
          <w:color w:val="auto"/>
        </w:rPr>
      </w:pPr>
    </w:p>
    <w:p>
      <w:pPr>
        <w:ind w:right="9580" w:firstLine="8"/>
        <w:spacing w:after="0" w:line="336" w:lineRule="auto"/>
        <w:tabs>
          <w:tab w:leader="none" w:pos="564" w:val="left"/>
        </w:tabs>
        <w:numPr>
          <w:ilvl w:val="0"/>
          <w:numId w:val="147"/>
        </w:numPr>
        <w:rPr>
          <w:rFonts w:ascii="Arial" w:cs="Arial" w:eastAsia="Arial" w:hAnsi="Arial"/>
          <w:sz w:val="21"/>
          <w:szCs w:val="21"/>
          <w:color w:val="64696F"/>
        </w:rPr>
      </w:pPr>
      <w:r>
        <w:rPr>
          <w:rFonts w:ascii="Arial" w:cs="Arial" w:eastAsia="Arial" w:hAnsi="Arial"/>
          <w:sz w:val="21"/>
          <w:szCs w:val="21"/>
          <w:color w:val="64696F"/>
        </w:rPr>
        <w:t xml:space="preserve">875-4493 </w:t>
      </w:r>
      <w:r>
        <w:rPr>
          <w:rFonts w:ascii="Arial" w:cs="Arial" w:eastAsia="Arial" w:hAnsi="Arial"/>
          <w:sz w:val="21"/>
          <w:szCs w:val="21"/>
          <w:u w:val="single" w:color="auto"/>
          <w:color w:val="0000FF"/>
        </w:rPr>
        <w:t>PR@myriad.com</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sectPr>
      <w:pgSz w:w="11900" w:h="16838" w:orient="portrait"/>
      <w:cols w:equalWidth="0" w:num="1">
        <w:col w:w="11220"/>
      </w:cols>
      <w:pgMar w:left="320" w:top="1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1)"/>
      <w:numFmt w:val="lowerRoman"/>
      <w:start w:val="3"/>
    </w:lvl>
  </w:abstractNum>
  <w:abstractNum w:abstractNumId="2">
    <w:nsid w:val="7BD3EE7B"/>
    <w:multiLevelType w:val="hybridMultilevel"/>
    <w:lvl w:ilvl="0">
      <w:lvlJc w:val="left"/>
      <w:lvlText w:val="(%1)"/>
      <w:numFmt w:val="lowerLetter"/>
      <w:start w:val="1"/>
    </w:lvl>
  </w:abstractNum>
  <w:abstractNum w:abstractNumId="3">
    <w:nsid w:val="51D9C564"/>
    <w:multiLevelType w:val="hybridMultilevel"/>
    <w:lvl w:ilvl="0">
      <w:lvlJc w:val="left"/>
      <w:lvlText w:val="%1"/>
      <w:numFmt w:val="lowerLetter"/>
      <w:start w:val="1"/>
    </w:lvl>
    <w:lvl w:ilvl="1">
      <w:lvlJc w:val="left"/>
      <w:lvlText w:val="(%2)"/>
      <w:numFmt w:val="lowerLetter"/>
      <w:start w:val="4"/>
    </w:lvl>
  </w:abstractNum>
  <w:abstractNum w:abstractNumId="4">
    <w:nsid w:val="613EFDC5"/>
    <w:multiLevelType w:val="hybridMultilevel"/>
    <w:lvl w:ilvl="0">
      <w:lvlJc w:val="left"/>
      <w:lvlText w:val="(%1)"/>
      <w:numFmt w:val="lowerLetter"/>
      <w:start w:val="5"/>
    </w:lvl>
    <w:lvl w:ilvl="1">
      <w:lvlJc w:val="left"/>
      <w:lvlText w:val="%2"/>
      <w:numFmt w:val="lowerLetter"/>
      <w:start w:val="1"/>
    </w:lvl>
  </w:abstractNum>
  <w:abstractNum w:abstractNumId="5">
    <w:nsid w:val="BF72B14"/>
    <w:multiLevelType w:val="hybridMultilevel"/>
    <w:lvl w:ilvl="0">
      <w:lvlJc w:val="left"/>
      <w:lvlText w:val="(%1)"/>
      <w:numFmt w:val="lowerRoman"/>
      <w:start w:val="3"/>
    </w:lvl>
  </w:abstractNum>
  <w:abstractNum w:abstractNumId="6">
    <w:nsid w:val="11447B73"/>
    <w:multiLevelType w:val="hybridMultilevel"/>
    <w:lvl w:ilvl="0">
      <w:lvlJc w:val="left"/>
      <w:lvlText w:val="(%1)"/>
      <w:numFmt w:val="lowerLetter"/>
      <w:start w:val="1"/>
    </w:lvl>
    <w:lvl w:ilvl="1">
      <w:lvlJc w:val="left"/>
      <w:lvlText w:val="(%2)"/>
      <w:numFmt w:val="lowerRoman"/>
      <w:start w:val="1"/>
    </w:lvl>
  </w:abstractNum>
  <w:abstractNum w:abstractNumId="7">
    <w:nsid w:val="42963E5A"/>
    <w:multiLevelType w:val="hybridMultilevel"/>
    <w:lvl w:ilvl="0">
      <w:lvlJc w:val="left"/>
      <w:lvlText w:val="(%1)"/>
      <w:numFmt w:val="lowerRoman"/>
      <w:start w:val="11"/>
    </w:lvl>
  </w:abstractNum>
  <w:abstractNum w:abstractNumId="8">
    <w:nsid w:val="A0382C5"/>
    <w:multiLevelType w:val="hybridMultilevel"/>
    <w:lvl w:ilvl="0">
      <w:lvlJc w:val="left"/>
      <w:lvlText w:val="(%1)"/>
      <w:numFmt w:val="lowerLetter"/>
      <w:start w:val="1"/>
    </w:lvl>
  </w:abstractNum>
  <w:abstractNum w:abstractNumId="9">
    <w:nsid w:val="8F2B15E"/>
    <w:multiLevelType w:val="hybridMultilevel"/>
    <w:lvl w:ilvl="0">
      <w:lvlJc w:val="left"/>
      <w:lvlText w:val="(%1)"/>
      <w:numFmt w:val="lowerRoman"/>
      <w:start w:val="1"/>
    </w:lvl>
  </w:abstractNum>
  <w:abstractNum w:abstractNumId="10">
    <w:nsid w:val="1A32234B"/>
    <w:multiLevelType w:val="hybridMultilevel"/>
    <w:lvl w:ilvl="0">
      <w:lvlJc w:val="left"/>
      <w:lvlText w:val="(%1)"/>
      <w:numFmt w:val="lowerLetter"/>
      <w:start w:val="1"/>
    </w:lvl>
  </w:abstractNum>
  <w:abstractNum w:abstractNumId="11">
    <w:nsid w:val="3B0FD379"/>
    <w:multiLevelType w:val="hybridMultilevel"/>
    <w:lvl w:ilvl="0">
      <w:lvlJc w:val="left"/>
      <w:lvlText w:val="(%1)"/>
      <w:numFmt w:val="lowerLetter"/>
      <w:start w:val="2"/>
    </w:lvl>
  </w:abstractNum>
  <w:abstractNum w:abstractNumId="12">
    <w:nsid w:val="68EB2F63"/>
    <w:multiLevelType w:val="hybridMultilevel"/>
    <w:lvl w:ilvl="0">
      <w:lvlJc w:val="left"/>
      <w:lvlText w:val="(%1)"/>
      <w:numFmt w:val="lowerLetter"/>
      <w:start w:val="1"/>
    </w:lvl>
  </w:abstractNum>
  <w:abstractNum w:abstractNumId="13">
    <w:nsid w:val="4962813B"/>
    <w:multiLevelType w:val="hybridMultilevel"/>
    <w:lvl w:ilvl="0">
      <w:lvlJc w:val="left"/>
      <w:lvlText w:val="(%1)"/>
      <w:numFmt w:val="lowerLetter"/>
      <w:start w:val="6"/>
    </w:lvl>
  </w:abstractNum>
  <w:abstractNum w:abstractNumId="14">
    <w:nsid w:val="60B6DF70"/>
    <w:multiLevelType w:val="hybridMultilevel"/>
    <w:lvl w:ilvl="0">
      <w:lvlJc w:val="left"/>
      <w:lvlText w:val="%1"/>
      <w:numFmt w:val="lowerLetter"/>
      <w:start w:val="1"/>
    </w:lvl>
    <w:lvl w:ilvl="1">
      <w:lvlJc w:val="left"/>
      <w:lvlText w:val="(%2)"/>
      <w:numFmt w:val="lowerLetter"/>
      <w:start w:val="8"/>
    </w:lvl>
  </w:abstractNum>
  <w:abstractNum w:abstractNumId="15">
    <w:nsid w:val="6A5EE64"/>
    <w:multiLevelType w:val="hybridMultilevel"/>
    <w:lvl w:ilvl="0">
      <w:lvlJc w:val="left"/>
      <w:lvlText w:val="(%1)"/>
      <w:numFmt w:val="lowerLetter"/>
      <w:start w:val="35"/>
    </w:lvl>
    <w:lvl w:ilvl="1">
      <w:lvlJc w:val="left"/>
      <w:lvlText w:val="%2"/>
      <w:numFmt w:val="lowerLetter"/>
      <w:start w:val="1"/>
    </w:lvl>
  </w:abstractNum>
  <w:abstractNum w:abstractNumId="16">
    <w:nsid w:val="14330624"/>
    <w:multiLevelType w:val="hybridMultilevel"/>
    <w:lvl w:ilvl="0">
      <w:lvlJc w:val="left"/>
      <w:lvlText w:val="(%1)"/>
      <w:numFmt w:val="lowerRoman"/>
      <w:start w:val="1"/>
    </w:lvl>
  </w:abstractNum>
  <w:abstractNum w:abstractNumId="17">
    <w:nsid w:val="7FFFCA11"/>
    <w:multiLevelType w:val="hybridMultilevel"/>
    <w:lvl w:ilvl="0">
      <w:lvlJc w:val="left"/>
      <w:lvlText w:val="(%1)"/>
      <w:numFmt w:val="lowerRoman"/>
      <w:start w:val="2"/>
    </w:lvl>
  </w:abstractNum>
  <w:abstractNum w:abstractNumId="18">
    <w:nsid w:val="1A27709E"/>
    <w:multiLevelType w:val="hybridMultilevel"/>
    <w:lvl w:ilvl="0">
      <w:lvlJc w:val="left"/>
      <w:lvlText w:val="(%1)"/>
      <w:numFmt w:val="lowerRoman"/>
      <w:start w:val="1"/>
    </w:lvl>
  </w:abstractNum>
  <w:abstractNum w:abstractNumId="19">
    <w:nsid w:val="71EA1109"/>
    <w:multiLevelType w:val="hybridMultilevel"/>
    <w:lvl w:ilvl="0">
      <w:lvlJc w:val="left"/>
      <w:lvlText w:val="(%1)"/>
      <w:numFmt w:val="lowerLetter"/>
      <w:start w:val="1"/>
    </w:lvl>
  </w:abstractNum>
  <w:abstractNum w:abstractNumId="20">
    <w:nsid w:val="100F59DC"/>
    <w:multiLevelType w:val="hybridMultilevel"/>
    <w:lvl w:ilvl="0">
      <w:lvlJc w:val="left"/>
      <w:lvlText w:val="(%1)"/>
      <w:numFmt w:val="lowerLetter"/>
      <w:start w:val="1"/>
    </w:lvl>
  </w:abstractNum>
  <w:abstractNum w:abstractNumId="21">
    <w:nsid w:val="7FB7E0AA"/>
    <w:multiLevelType w:val="hybridMultilevel"/>
    <w:lvl w:ilvl="0">
      <w:lvlJc w:val="left"/>
      <w:lvlText w:val="(%1)"/>
      <w:numFmt w:val="lowerLetter"/>
      <w:start w:val="1"/>
    </w:lvl>
  </w:abstractNum>
  <w:abstractNum w:abstractNumId="22">
    <w:nsid w:val="6EB5BD4"/>
    <w:multiLevelType w:val="hybridMultilevel"/>
    <w:lvl w:ilvl="0">
      <w:lvlJc w:val="left"/>
      <w:lvlText w:val="(%1)"/>
      <w:numFmt w:val="lowerLetter"/>
      <w:start w:val="1"/>
    </w:lvl>
  </w:abstractNum>
  <w:abstractNum w:abstractNumId="23">
    <w:nsid w:val="6F6DD9AC"/>
    <w:multiLevelType w:val="hybridMultilevel"/>
    <w:lvl w:ilvl="0">
      <w:lvlJc w:val="left"/>
      <w:lvlText w:val="(%1)"/>
      <w:numFmt w:val="lowerLetter"/>
      <w:start w:val="1"/>
    </w:lvl>
    <w:lvl w:ilvl="1">
      <w:lvlJc w:val="left"/>
      <w:lvlText w:val="(%2)"/>
      <w:numFmt w:val="lowerRoman"/>
      <w:start w:val="1"/>
    </w:lvl>
  </w:abstractNum>
  <w:abstractNum w:abstractNumId="24">
    <w:nsid w:val="94211F2"/>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5">
    <w:nsid w:val="885E1B"/>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25"/>
    </w:lvl>
    <w:lvl w:ilvl="3">
      <w:lvlJc w:val="left"/>
      <w:lvlText w:val="(%4)"/>
      <w:numFmt w:val="upperLetter"/>
      <w:start w:val="4"/>
    </w:lvl>
  </w:abstractNum>
  <w:abstractNum w:abstractNumId="26">
    <w:nsid w:val="76272110"/>
    <w:multiLevelType w:val="hybridMultilevel"/>
    <w:lvl w:ilvl="0">
      <w:lvlJc w:val="left"/>
      <w:lvlText w:val="%1"/>
      <w:numFmt w:val="lowerRoman"/>
      <w:start w:val="1"/>
    </w:lvl>
    <w:lvl w:ilvl="1">
      <w:lvlJc w:val="left"/>
      <w:lvlText w:val="(%2)"/>
      <w:numFmt w:val="lowerRoman"/>
      <w:start w:val="2"/>
    </w:lvl>
    <w:lvl w:ilvl="2">
      <w:lvlJc w:val="left"/>
      <w:lvlText w:val="%3"/>
      <w:numFmt w:val="lowerLetter"/>
      <w:start w:val="1"/>
    </w:lvl>
    <w:lvl w:ilvl="3">
      <w:lvlJc w:val="left"/>
      <w:lvlText w:val="%4"/>
      <w:numFmt w:val="upperLetter"/>
      <w:start w:val="1"/>
    </w:lvl>
  </w:abstractNum>
  <w:abstractNum w:abstractNumId="27">
    <w:nsid w:val="4C04A8AF"/>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28">
    <w:nsid w:val="1716703B"/>
    <w:multiLevelType w:val="hybridMultilevel"/>
    <w:lvl w:ilvl="0">
      <w:lvlJc w:val="left"/>
      <w:lvlText w:val="(%1)"/>
      <w:numFmt w:val="lowerLetter"/>
      <w:start w:val="6"/>
    </w:lvl>
  </w:abstractNum>
  <w:abstractNum w:abstractNumId="29">
    <w:nsid w:val="14E17E33"/>
    <w:multiLevelType w:val="hybridMultilevel"/>
    <w:lvl w:ilvl="0">
      <w:lvlJc w:val="left"/>
      <w:lvlText w:val="(%1)"/>
      <w:numFmt w:val="lowerLetter"/>
      <w:start w:val="7"/>
    </w:lvl>
  </w:abstractNum>
  <w:abstractNum w:abstractNumId="30">
    <w:nsid w:val="3222E7CD"/>
    <w:multiLevelType w:val="hybridMultilevel"/>
    <w:lvl w:ilvl="0">
      <w:lvlJc w:val="left"/>
      <w:lvlText w:val="(%1)"/>
      <w:numFmt w:val="lowerLetter"/>
      <w:start w:val="1"/>
    </w:lvl>
  </w:abstractNum>
  <w:abstractNum w:abstractNumId="31">
    <w:nsid w:val="74DE0EE3"/>
    <w:multiLevelType w:val="hybridMultilevel"/>
    <w:lvl w:ilvl="0">
      <w:lvlJc w:val="left"/>
      <w:lvlText w:val="(%1)"/>
      <w:numFmt w:val="lowerLetter"/>
      <w:start w:val="4"/>
    </w:lvl>
    <w:lvl w:ilvl="1">
      <w:lvlJc w:val="left"/>
      <w:lvlText w:val="(%2)"/>
      <w:numFmt w:val="lowerRoman"/>
      <w:start w:val="1"/>
    </w:lvl>
  </w:abstractNum>
  <w:abstractNum w:abstractNumId="32">
    <w:nsid w:val="68EBC550"/>
    <w:multiLevelType w:val="hybridMultilevel"/>
    <w:lvl w:ilvl="0">
      <w:lvlJc w:val="left"/>
      <w:lvlText w:val="(%1)"/>
      <w:numFmt w:val="lowerLetter"/>
      <w:start w:val="1"/>
    </w:lvl>
  </w:abstractNum>
  <w:abstractNum w:abstractNumId="33">
    <w:nsid w:val="2DF6D648"/>
    <w:multiLevelType w:val="hybridMultilevel"/>
    <w:lvl w:ilvl="0">
      <w:lvlJc w:val="left"/>
      <w:lvlText w:val="(%1)"/>
      <w:numFmt w:val="lowerLetter"/>
      <w:start w:val="2"/>
    </w:lvl>
  </w:abstractNum>
  <w:abstractNum w:abstractNumId="34">
    <w:nsid w:val="46B7D447"/>
    <w:multiLevelType w:val="hybridMultilevel"/>
    <w:lvl w:ilvl="0">
      <w:lvlJc w:val="left"/>
      <w:lvlText w:val="(%1)"/>
      <w:numFmt w:val="lowerLetter"/>
      <w:start w:val="1"/>
    </w:lvl>
    <w:lvl w:ilvl="1">
      <w:lvlJc w:val="left"/>
      <w:lvlText w:val="(%2)"/>
      <w:numFmt w:val="lowerRoman"/>
      <w:start w:val="1"/>
    </w:lvl>
  </w:abstractNum>
  <w:abstractNum w:abstractNumId="35">
    <w:nsid w:val="4A2AC315"/>
    <w:multiLevelType w:val="hybridMultilevel"/>
    <w:lvl w:ilvl="0">
      <w:lvlJc w:val="left"/>
      <w:lvlText w:val="%1"/>
      <w:numFmt w:val="lowerLetter"/>
      <w:start w:val="1"/>
    </w:lvl>
    <w:lvl w:ilvl="1">
      <w:lvlJc w:val="left"/>
      <w:lvlText w:val="(%2)"/>
      <w:numFmt w:val="lowerLetter"/>
      <w:start w:val="61"/>
    </w:lvl>
  </w:abstractNum>
  <w:abstractNum w:abstractNumId="36">
    <w:nsid w:val="39EE015C"/>
    <w:multiLevelType w:val="hybridMultilevel"/>
    <w:lvl w:ilvl="0">
      <w:lvlJc w:val="left"/>
      <w:lvlText w:val="(%1)"/>
      <w:numFmt w:val="lowerLetter"/>
      <w:start w:val="2"/>
    </w:lvl>
    <w:lvl w:ilvl="1">
      <w:lvlJc w:val="left"/>
      <w:lvlText w:val="%2"/>
      <w:numFmt w:val="lowerLetter"/>
      <w:start w:val="1"/>
    </w:lvl>
  </w:abstractNum>
  <w:abstractNum w:abstractNumId="37">
    <w:nsid w:val="57FC4FBB"/>
    <w:multiLevelType w:val="hybridMultilevel"/>
    <w:lvl w:ilvl="0">
      <w:lvlJc w:val="left"/>
      <w:lvlText w:val="(%1)"/>
      <w:numFmt w:val="lowerLetter"/>
      <w:start w:val="1"/>
    </w:lvl>
  </w:abstractNum>
  <w:abstractNum w:abstractNumId="38">
    <w:nsid w:val="CC1016F"/>
    <w:multiLevelType w:val="hybridMultilevel"/>
    <w:lvl w:ilvl="0">
      <w:lvlJc w:val="left"/>
      <w:lvlText w:val="(%1)"/>
      <w:numFmt w:val="lowerLetter"/>
      <w:start w:val="1"/>
    </w:lvl>
  </w:abstractNum>
  <w:abstractNum w:abstractNumId="39">
    <w:nsid w:val="43F18422"/>
    <w:multiLevelType w:val="hybridMultilevel"/>
    <w:lvl w:ilvl="0">
      <w:lvlJc w:val="left"/>
      <w:lvlText w:val="(%1)"/>
      <w:numFmt w:val="lowerLetter"/>
      <w:start w:val="1"/>
    </w:lvl>
  </w:abstractNum>
  <w:abstractNum w:abstractNumId="40">
    <w:nsid w:val="60EF0119"/>
    <w:multiLevelType w:val="hybridMultilevel"/>
    <w:lvl w:ilvl="0">
      <w:lvlJc w:val="left"/>
      <w:lvlText w:val="(%1)"/>
      <w:numFmt w:val="lowerLetter"/>
      <w:start w:val="1"/>
    </w:lvl>
  </w:abstractNum>
  <w:abstractNum w:abstractNumId="41">
    <w:nsid w:val="26F324BA"/>
    <w:multiLevelType w:val="hybridMultilevel"/>
    <w:lvl w:ilvl="0">
      <w:lvlJc w:val="left"/>
      <w:lvlText w:val="(%1)"/>
      <w:numFmt w:val="lowerLetter"/>
      <w:start w:val="1"/>
    </w:lvl>
  </w:abstractNum>
  <w:abstractNum w:abstractNumId="42">
    <w:nsid w:val="7F01579B"/>
    <w:multiLevelType w:val="hybridMultilevel"/>
    <w:lvl w:ilvl="0">
      <w:lvlJc w:val="left"/>
      <w:lvlText w:val="(%1)"/>
      <w:numFmt w:val="lowerRoman"/>
      <w:start w:val="1"/>
    </w:lvl>
  </w:abstractNum>
  <w:abstractNum w:abstractNumId="43">
    <w:nsid w:val="49DA307D"/>
    <w:multiLevelType w:val="hybridMultilevel"/>
    <w:lvl w:ilvl="0">
      <w:lvlJc w:val="left"/>
      <w:lvlText w:val="(%1)"/>
      <w:numFmt w:val="lowerLetter"/>
      <w:start w:val="1"/>
    </w:lvl>
  </w:abstractNum>
  <w:abstractNum w:abstractNumId="44">
    <w:nsid w:val="7055A5F5"/>
    <w:multiLevelType w:val="hybridMultilevel"/>
    <w:lvl w:ilvl="0">
      <w:lvlJc w:val="left"/>
      <w:lvlText w:val="(%1)"/>
      <w:numFmt w:val="lowerLetter"/>
      <w:start w:val="2"/>
    </w:lvl>
  </w:abstractNum>
  <w:abstractNum w:abstractNumId="45">
    <w:nsid w:val="5FB8370B"/>
    <w:multiLevelType w:val="hybridMultilevel"/>
    <w:lvl w:ilvl="0">
      <w:lvlJc w:val="left"/>
      <w:lvlText w:val="(%1)"/>
      <w:numFmt w:val="lowerLetter"/>
      <w:start w:val="7"/>
    </w:lvl>
  </w:abstractNum>
  <w:abstractNum w:abstractNumId="46">
    <w:nsid w:val="50801EE1"/>
    <w:multiLevelType w:val="hybridMultilevel"/>
    <w:lvl w:ilvl="0">
      <w:lvlJc w:val="left"/>
      <w:lvlText w:val="%1"/>
      <w:numFmt w:val="lowerLetter"/>
      <w:start w:val="1"/>
    </w:lvl>
    <w:lvl w:ilvl="1">
      <w:lvlJc w:val="left"/>
      <w:lvlText w:val="(%2)"/>
      <w:numFmt w:val="lowerLetter"/>
      <w:start w:val="1"/>
    </w:lvl>
  </w:abstractNum>
  <w:abstractNum w:abstractNumId="47">
    <w:nsid w:val="488AC1A"/>
    <w:multiLevelType w:val="hybridMultilevel"/>
    <w:lvl w:ilvl="0">
      <w:lvlJc w:val="left"/>
      <w:lvlText w:val="(%1)"/>
      <w:numFmt w:val="lowerLetter"/>
      <w:start w:val="9"/>
    </w:lvl>
    <w:lvl w:ilvl="1">
      <w:lvlJc w:val="left"/>
      <w:lvlText w:val="%2"/>
      <w:numFmt w:val="lowerLetter"/>
      <w:start w:val="1"/>
    </w:lvl>
  </w:abstractNum>
  <w:abstractNum w:abstractNumId="48">
    <w:nsid w:val="5FB8011C"/>
    <w:multiLevelType w:val="hybridMultilevel"/>
    <w:lvl w:ilvl="0">
      <w:lvlJc w:val="left"/>
      <w:lvlText w:val="(%1)"/>
      <w:numFmt w:val="lowerLetter"/>
      <w:start w:val="3"/>
    </w:lvl>
  </w:abstractNum>
  <w:abstractNum w:abstractNumId="49">
    <w:nsid w:val="6AA78F7F"/>
    <w:multiLevelType w:val="hybridMultilevel"/>
    <w:lvl w:ilvl="0">
      <w:lvlJc w:val="left"/>
      <w:lvlText w:val="(%1)"/>
      <w:numFmt w:val="lowerLetter"/>
      <w:start w:val="6"/>
    </w:lvl>
  </w:abstractNum>
  <w:abstractNum w:abstractNumId="50">
    <w:nsid w:val="7672BD23"/>
    <w:multiLevelType w:val="hybridMultilevel"/>
    <w:lvl w:ilvl="0">
      <w:lvlJc w:val="left"/>
      <w:lvlText w:val="(%1)"/>
      <w:numFmt w:val="lowerLetter"/>
      <w:start w:val="1"/>
    </w:lvl>
  </w:abstractNum>
  <w:abstractNum w:abstractNumId="51">
    <w:nsid w:val="6FC75AF8"/>
    <w:multiLevelType w:val="hybridMultilevel"/>
    <w:lvl w:ilvl="0">
      <w:lvlJc w:val="left"/>
      <w:lvlText w:val="(%1)"/>
      <w:numFmt w:val="lowerLetter"/>
      <w:start w:val="5"/>
    </w:lvl>
  </w:abstractNum>
  <w:abstractNum w:abstractNumId="52">
    <w:nsid w:val="6A5F7029"/>
    <w:multiLevelType w:val="hybridMultilevel"/>
    <w:lvl w:ilvl="0">
      <w:lvlJc w:val="left"/>
      <w:lvlText w:val="§"/>
      <w:numFmt w:val="bullet"/>
      <w:start w:val="1"/>
    </w:lvl>
    <w:lvl w:ilvl="1">
      <w:lvlJc w:val="left"/>
      <w:lvlText w:val="(%2)"/>
      <w:numFmt w:val="lowerLetter"/>
      <w:start w:val="1"/>
    </w:lvl>
  </w:abstractNum>
  <w:abstractNum w:abstractNumId="53">
    <w:nsid w:val="7D5E18F8"/>
    <w:multiLevelType w:val="hybridMultilevel"/>
    <w:lvl w:ilvl="0">
      <w:lvlJc w:val="left"/>
      <w:lvlText w:val="§"/>
      <w:numFmt w:val="bullet"/>
      <w:start w:val="1"/>
    </w:lvl>
    <w:lvl w:ilvl="1">
      <w:lvlJc w:val="left"/>
      <w:lvlText w:val="(%2)"/>
      <w:numFmt w:val="lowerLetter"/>
      <w:start w:val="3"/>
    </w:lvl>
  </w:abstractNum>
  <w:abstractNum w:abstractNumId="54">
    <w:nsid w:val="5F3534A4"/>
    <w:multiLevelType w:val="hybridMultilevel"/>
    <w:lvl w:ilvl="0">
      <w:lvlJc w:val="left"/>
      <w:lvlText w:val="(%1)"/>
      <w:numFmt w:val="lowerLetter"/>
      <w:start w:val="1"/>
    </w:lvl>
  </w:abstractNum>
  <w:abstractNum w:abstractNumId="55">
    <w:nsid w:val="73A1821B"/>
    <w:multiLevelType w:val="hybridMultilevel"/>
    <w:lvl w:ilvl="0">
      <w:lvlJc w:val="left"/>
      <w:lvlText w:val="(%1)"/>
      <w:numFmt w:val="lowerLetter"/>
      <w:start w:val="5"/>
    </w:lvl>
  </w:abstractNum>
  <w:abstractNum w:abstractNumId="56">
    <w:nsid w:val="7DE67713"/>
    <w:multiLevelType w:val="hybridMultilevel"/>
    <w:lvl w:ilvl="0">
      <w:lvlJc w:val="left"/>
      <w:lvlText w:val="(%1)"/>
      <w:numFmt w:val="lowerLetter"/>
      <w:start w:val="10"/>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lowerLetter"/>
      <w:start w:val="1"/>
    </w:lvl>
  </w:abstractNum>
  <w:abstractNum w:abstractNumId="59">
    <w:nsid w:val="14FCE74E"/>
    <w:multiLevelType w:val="hybridMultilevel"/>
    <w:lvl w:ilvl="0">
      <w:lvlJc w:val="left"/>
      <w:lvlText w:val="(%1)"/>
      <w:numFmt w:val="lowerLetter"/>
      <w:start w:val="2"/>
    </w:lvl>
    <w:lvl w:ilvl="1">
      <w:lvlJc w:val="left"/>
      <w:lvlText w:val="(%2)"/>
      <w:numFmt w:val="lowerRoman"/>
      <w:start w:val="1"/>
    </w:lvl>
  </w:abstractNum>
  <w:abstractNum w:abstractNumId="60">
    <w:nsid w:val="6A3DD3E8"/>
    <w:multiLevelType w:val="hybridMultilevel"/>
    <w:lvl w:ilvl="0">
      <w:lvlJc w:val="left"/>
      <w:lvlText w:val="(%1)"/>
      <w:numFmt w:val="lowerLetter"/>
      <w:start w:val="1"/>
    </w:lvl>
  </w:abstractNum>
  <w:abstractNum w:abstractNumId="61">
    <w:nsid w:val="71C91298"/>
    <w:multiLevelType w:val="hybridMultilevel"/>
    <w:lvl w:ilvl="0">
      <w:lvlJc w:val="left"/>
      <w:lvlText w:val="(%1)"/>
      <w:numFmt w:val="lowerLetter"/>
      <w:start w:val="4"/>
    </w:lvl>
  </w:abstractNum>
  <w:abstractNum w:abstractNumId="62">
    <w:nsid w:val="9DAF632"/>
    <w:multiLevelType w:val="hybridMultilevel"/>
    <w:lvl w:ilvl="0">
      <w:lvlJc w:val="left"/>
      <w:lvlText w:val="(%1)"/>
      <w:numFmt w:val="lowerLetter"/>
      <w:start w:val="1"/>
    </w:lvl>
  </w:abstractNum>
  <w:abstractNum w:abstractNumId="63">
    <w:nsid w:val="53299938"/>
    <w:multiLevelType w:val="hybridMultilevel"/>
    <w:lvl w:ilvl="0">
      <w:lvlJc w:val="left"/>
      <w:lvlText w:val="(%1)"/>
      <w:numFmt w:val="lowerLetter"/>
      <w:start w:val="1"/>
    </w:lvl>
  </w:abstractNum>
  <w:abstractNum w:abstractNumId="64">
    <w:nsid w:val="1FBFE8E0"/>
    <w:multiLevelType w:val="hybridMultilevel"/>
    <w:lvl w:ilvl="0">
      <w:lvlJc w:val="left"/>
      <w:lvlText w:val="(%1)"/>
      <w:numFmt w:val="lowerLetter"/>
      <w:start w:val="3"/>
    </w:lvl>
  </w:abstractNum>
  <w:abstractNum w:abstractNumId="65">
    <w:nsid w:val="5092CA79"/>
    <w:multiLevelType w:val="hybridMultilevel"/>
    <w:lvl w:ilvl="0">
      <w:lvlJc w:val="left"/>
      <w:lvlText w:val="(%1)"/>
      <w:numFmt w:val="lowerLetter"/>
      <w:start w:val="14"/>
    </w:lvl>
  </w:abstractNum>
  <w:abstractNum w:abstractNumId="66">
    <w:nsid w:val="1D545C4D"/>
    <w:multiLevelType w:val="hybridMultilevel"/>
    <w:lvl w:ilvl="0">
      <w:lvlJc w:val="left"/>
      <w:lvlText w:val="%1"/>
      <w:numFmt w:val="decimal"/>
      <w:start w:val="1"/>
    </w:lvl>
    <w:lvl w:ilvl="1">
      <w:lvlJc w:val="left"/>
      <w:lvlText w:val="(%2)"/>
      <w:numFmt w:val="lowerLetter"/>
      <w:start w:val="1"/>
    </w:lvl>
  </w:abstractNum>
  <w:abstractNum w:abstractNumId="67">
    <w:nsid w:val="59ADEA3D"/>
    <w:multiLevelType w:val="hybridMultilevel"/>
    <w:lvl w:ilvl="0">
      <w:lvlJc w:val="left"/>
      <w:lvlText w:val="(%1)"/>
      <w:numFmt w:val="decimal"/>
      <w:start w:val="1"/>
    </w:lvl>
    <w:lvl w:ilvl="1">
      <w:lvlJc w:val="left"/>
      <w:lvlText w:val="(%2)"/>
      <w:numFmt w:val="lowerLetter"/>
      <w:start w:val="3"/>
    </w:lvl>
  </w:abstractNum>
  <w:abstractNum w:abstractNumId="68">
    <w:nsid w:val="288F1A34"/>
    <w:multiLevelType w:val="hybridMultilevel"/>
    <w:lvl w:ilvl="0">
      <w:lvlJc w:val="left"/>
      <w:lvlText w:val="(%1)"/>
      <w:numFmt w:val="lowerLetter"/>
      <w:start w:val="4"/>
    </w:lvl>
  </w:abstractNum>
  <w:abstractNum w:abstractNumId="69">
    <w:nsid w:val="2A155DBC"/>
    <w:multiLevelType w:val="hybridMultilevel"/>
    <w:lvl w:ilvl="0">
      <w:lvlJc w:val="left"/>
      <w:lvlText w:val="(%1)"/>
      <w:numFmt w:val="lowerLetter"/>
      <w:start w:val="13"/>
    </w:lvl>
  </w:abstractNum>
  <w:abstractNum w:abstractNumId="70">
    <w:nsid w:val="1D9F6E5F"/>
    <w:multiLevelType w:val="hybridMultilevel"/>
    <w:lvl w:ilvl="0">
      <w:lvlJc w:val="left"/>
      <w:lvlText w:val="(%1)"/>
      <w:numFmt w:val="lowerLetter"/>
      <w:start w:val="1"/>
    </w:lvl>
  </w:abstractNum>
  <w:abstractNum w:abstractNumId="71">
    <w:nsid w:val="97E1B4E"/>
    <w:multiLevelType w:val="hybridMultilevel"/>
    <w:lvl w:ilvl="0">
      <w:lvlJc w:val="left"/>
      <w:lvlText w:val="(%1)"/>
      <w:numFmt w:val="lowerLetter"/>
      <w:start w:val="6"/>
    </w:lvl>
  </w:abstractNum>
  <w:abstractNum w:abstractNumId="72">
    <w:nsid w:val="51088277"/>
    <w:multiLevelType w:val="hybridMultilevel"/>
    <w:lvl w:ilvl="0">
      <w:lvlJc w:val="left"/>
      <w:lvlText w:val="(%1)"/>
      <w:numFmt w:val="lowerLetter"/>
      <w:start w:val="18"/>
    </w:lvl>
  </w:abstractNum>
  <w:abstractNum w:abstractNumId="73">
    <w:nsid w:val="1CA0C5FA"/>
    <w:multiLevelType w:val="hybridMultilevel"/>
    <w:lvl w:ilvl="0">
      <w:lvlJc w:val="left"/>
      <w:lvlText w:val="(%1)"/>
      <w:numFmt w:val="lowerLetter"/>
      <w:start w:val="1"/>
    </w:lvl>
  </w:abstractNum>
  <w:abstractNum w:abstractNumId="74">
    <w:nsid w:val="53584BCB"/>
    <w:multiLevelType w:val="hybridMultilevel"/>
    <w:lvl w:ilvl="0">
      <w:lvlJc w:val="left"/>
      <w:lvlText w:val="(%1)"/>
      <w:numFmt w:val="upperLetter"/>
      <w:start w:val="1"/>
    </w:lvl>
  </w:abstractNum>
  <w:abstractNum w:abstractNumId="75">
    <w:nsid w:val="415E286C"/>
    <w:multiLevelType w:val="hybridMultilevel"/>
    <w:lvl w:ilvl="0">
      <w:lvlJc w:val="left"/>
      <w:lvlText w:val="(%1)"/>
      <w:numFmt w:val="lowerLetter"/>
      <w:start w:val="1"/>
    </w:lvl>
  </w:abstractNum>
  <w:abstractNum w:abstractNumId="76">
    <w:nsid w:val="7C58FD05"/>
    <w:multiLevelType w:val="hybridMultilevel"/>
    <w:lvl w:ilvl="0">
      <w:lvlJc w:val="left"/>
      <w:lvlText w:val="(%1)"/>
      <w:numFmt w:val="lowerLetter"/>
      <w:start w:val="8"/>
    </w:lvl>
  </w:abstractNum>
  <w:abstractNum w:abstractNumId="77">
    <w:nsid w:val="23D86AAC"/>
    <w:multiLevelType w:val="hybridMultilevel"/>
    <w:lvl w:ilvl="0">
      <w:lvlJc w:val="left"/>
      <w:lvlText w:val="(%1)"/>
      <w:numFmt w:val="lowerRoman"/>
      <w:start w:val="1"/>
    </w:lvl>
  </w:abstractNum>
  <w:abstractNum w:abstractNumId="78">
    <w:nsid w:val="45E6D486"/>
    <w:multiLevelType w:val="hybridMultilevel"/>
    <w:lvl w:ilvl="0">
      <w:lvlJc w:val="left"/>
      <w:lvlText w:val="(%1)"/>
      <w:numFmt w:val="lowerLetter"/>
      <w:start w:val="4"/>
    </w:lvl>
  </w:abstractNum>
  <w:abstractNum w:abstractNumId="79">
    <w:nsid w:val="5C10FE21"/>
    <w:multiLevelType w:val="hybridMultilevel"/>
    <w:lvl w:ilvl="0">
      <w:lvlJc w:val="left"/>
      <w:lvlText w:val="(%1)"/>
      <w:numFmt w:val="lowerLetter"/>
      <w:start w:val="1"/>
    </w:lvl>
  </w:abstractNum>
  <w:abstractNum w:abstractNumId="80">
    <w:nsid w:val="E7FFA2B"/>
    <w:multiLevelType w:val="hybridMultilevel"/>
    <w:lvl w:ilvl="0">
      <w:lvlJc w:val="left"/>
      <w:lvlText w:val="(%1)"/>
      <w:numFmt w:val="lowerLetter"/>
      <w:start w:val="6"/>
    </w:lvl>
    <w:lvl w:ilvl="1">
      <w:lvlJc w:val="left"/>
      <w:lvlText w:val="(%2)"/>
      <w:numFmt w:val="lowerRoman"/>
      <w:start w:val="1"/>
    </w:lvl>
  </w:abstractNum>
  <w:abstractNum w:abstractNumId="81">
    <w:nsid w:val="3C5991A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82">
    <w:nsid w:val="4BD8591A"/>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83">
    <w:nsid w:val="78DF6A55"/>
    <w:multiLevelType w:val="hybridMultilevel"/>
    <w:lvl w:ilvl="0">
      <w:lvlJc w:val="left"/>
      <w:lvlText w:val="(%1)"/>
      <w:numFmt w:val="upperLetter"/>
      <w:start w:val="1"/>
    </w:lvl>
    <w:lvl w:ilvl="1">
      <w:lvlJc w:val="left"/>
      <w:lvlText w:val="(%2)"/>
      <w:numFmt w:val="lowerLetter"/>
      <w:start w:val="12"/>
    </w:lvl>
    <w:lvl w:ilvl="2">
      <w:lvlJc w:val="left"/>
      <w:lvlText w:val="%3"/>
      <w:numFmt w:val="lowerLetter"/>
      <w:start w:val="1"/>
    </w:lvl>
  </w:abstractNum>
  <w:abstractNum w:abstractNumId="84">
    <w:nsid w:val="39B7AAA2"/>
    <w:multiLevelType w:val="hybridMultilevel"/>
    <w:lvl w:ilvl="0">
      <w:lvlJc w:val="left"/>
      <w:lvlText w:val="(%1)"/>
      <w:numFmt w:val="lowerLetter"/>
      <w:start w:val="1"/>
    </w:lvl>
  </w:abstractNum>
  <w:abstractNum w:abstractNumId="85">
    <w:nsid w:val="2B0D8DBE"/>
    <w:multiLevelType w:val="hybridMultilevel"/>
    <w:lvl w:ilvl="0">
      <w:lvlJc w:val="left"/>
      <w:lvlText w:val="%1"/>
      <w:numFmt w:val="lowerLetter"/>
      <w:start w:val="1"/>
    </w:lvl>
    <w:lvl w:ilvl="1">
      <w:lvlJc w:val="left"/>
      <w:lvlText w:val="(%2)"/>
      <w:numFmt w:val="lowerRoman"/>
      <w:start w:val="1"/>
    </w:lvl>
  </w:abstractNum>
  <w:abstractNum w:abstractNumId="86">
    <w:nsid w:val="6C80EC70"/>
    <w:multiLevelType w:val="hybridMultilevel"/>
    <w:lvl w:ilvl="0">
      <w:lvlJc w:val="left"/>
      <w:lvlText w:val="(%1)"/>
      <w:numFmt w:val="lowerLetter"/>
      <w:start w:val="2"/>
    </w:lvl>
    <w:lvl w:ilvl="1">
      <w:lvlJc w:val="left"/>
      <w:lvlText w:val="%2"/>
      <w:numFmt w:val="lowerRoman"/>
      <w:start w:val="1"/>
    </w:lvl>
  </w:abstractNum>
  <w:abstractNum w:abstractNumId="87">
    <w:nsid w:val="379E21B5"/>
    <w:multiLevelType w:val="hybridMultilevel"/>
    <w:lvl w:ilvl="0">
      <w:lvlJc w:val="left"/>
      <w:lvlText w:val="(%1)"/>
      <w:numFmt w:val="lowerRoman"/>
      <w:start w:val="2"/>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lowerLetter"/>
      <w:start w:val="1"/>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4"/>
    </w:lvl>
  </w:abstractNum>
  <w:abstractNum w:abstractNumId="92">
    <w:nsid w:val="1DF029D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3">
    <w:nsid w:val="5675FF36"/>
    <w:multiLevelType w:val="hybridMultilevel"/>
    <w:lvl w:ilvl="0">
      <w:lvlJc w:val="left"/>
      <w:lvlText w:val="(%1)"/>
      <w:numFmt w:val="lowerRoman"/>
      <w:start w:val="2"/>
    </w:lvl>
  </w:abstractNum>
  <w:abstractNum w:abstractNumId="94">
    <w:nsid w:val="3DD15094"/>
    <w:multiLevelType w:val="hybridMultilevel"/>
    <w:lvl w:ilvl="0">
      <w:lvlJc w:val="left"/>
      <w:lvlText w:val="%1"/>
      <w:numFmt w:val="lowerLetter"/>
      <w:start w:val="1"/>
    </w:lvl>
    <w:lvl w:ilvl="1">
      <w:lvlJc w:val="left"/>
      <w:lvlText w:val="(%2)"/>
      <w:numFmt w:val="lowerRoman"/>
      <w:start w:val="4"/>
    </w:lvl>
  </w:abstractNum>
  <w:abstractNum w:abstractNumId="95">
    <w:nsid w:val="3DB012B3"/>
    <w:multiLevelType w:val="hybridMultilevel"/>
    <w:lvl w:ilvl="0">
      <w:lvlJc w:val="left"/>
      <w:lvlText w:val="(%1)"/>
      <w:numFmt w:val="lowerLetter"/>
      <w:start w:val="3"/>
    </w:lvl>
    <w:lvl w:ilvl="1">
      <w:lvlJc w:val="left"/>
      <w:lvlText w:val="%2"/>
      <w:numFmt w:val="lowerRoman"/>
      <w:start w:val="1"/>
    </w:lvl>
  </w:abstractNum>
  <w:abstractNum w:abstractNumId="96">
    <w:nsid w:val="2708C9AF"/>
    <w:multiLevelType w:val="hybridMultilevel"/>
    <w:lvl w:ilvl="0">
      <w:lvlJc w:val="left"/>
      <w:lvlText w:val="(%1)"/>
      <w:numFmt w:val="lowerLetter"/>
      <w:start w:val="4"/>
    </w:lvl>
  </w:abstractNum>
  <w:abstractNum w:abstractNumId="97">
    <w:nsid w:val="5B25ACE2"/>
    <w:multiLevelType w:val="hybridMultilevel"/>
    <w:lvl w:ilvl="0">
      <w:lvlJc w:val="left"/>
      <w:lvlText w:val="(%1)"/>
      <w:numFmt w:val="lowerLetter"/>
      <w:start w:val="1"/>
    </w:lvl>
  </w:abstractNum>
  <w:abstractNum w:abstractNumId="98">
    <w:nsid w:val="175DFCF0"/>
    <w:multiLevelType w:val="hybridMultilevel"/>
    <w:lvl w:ilvl="0">
      <w:lvlJc w:val="left"/>
      <w:lvlText w:val="(%1)"/>
      <w:numFmt w:val="lowerLetter"/>
      <w:start w:val="1"/>
    </w:lvl>
  </w:abstractNum>
  <w:abstractNum w:abstractNumId="99">
    <w:nsid w:val="4F97E3E4"/>
    <w:multiLevelType w:val="hybridMultilevel"/>
    <w:lvl w:ilvl="0">
      <w:lvlJc w:val="left"/>
      <w:lvlText w:val="%1"/>
      <w:numFmt w:val="lowerLetter"/>
      <w:start w:val="1"/>
    </w:lvl>
    <w:lvl w:ilvl="1">
      <w:lvlJc w:val="left"/>
      <w:lvlText w:val="(%2)"/>
      <w:numFmt w:val="lowerLetter"/>
      <w:start w:val="1"/>
    </w:lvl>
  </w:abstractNum>
  <w:abstractNum w:abstractNumId="100">
    <w:nsid w:val="53B0A9E"/>
    <w:multiLevelType w:val="hybridMultilevel"/>
    <w:lvl w:ilvl="0">
      <w:lvlJc w:val="left"/>
      <w:lvlText w:val="(%1)"/>
      <w:numFmt w:val="lowerLetter"/>
      <w:start w:val="1"/>
    </w:lvl>
    <w:lvl w:ilvl="1">
      <w:lvlJc w:val="left"/>
      <w:lvlText w:val="%2"/>
      <w:numFmt w:val="lowerLetter"/>
      <w:start w:val="1"/>
    </w:lvl>
  </w:abstractNum>
  <w:abstractNum w:abstractNumId="101">
    <w:nsid w:val="34FD6B4F"/>
    <w:multiLevelType w:val="hybridMultilevel"/>
    <w:lvl w:ilvl="0">
      <w:lvlJc w:val="left"/>
      <w:lvlText w:val="(%1)"/>
      <w:numFmt w:val="lowerRoman"/>
      <w:start w:val="1"/>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1"/>
    </w:lvl>
  </w:abstractNum>
  <w:abstractNum w:abstractNumId="104">
    <w:nsid w:val="519E3149"/>
    <w:multiLevelType w:val="hybridMultilevel"/>
    <w:lvl w:ilvl="0">
      <w:lvlJc w:val="left"/>
      <w:lvlText w:val="(%1)"/>
      <w:numFmt w:val="lowerLetter"/>
      <w:start w:val="1"/>
    </w:lvl>
  </w:abstractNum>
  <w:abstractNum w:abstractNumId="105">
    <w:nsid w:val="2C6E4AFD"/>
    <w:multiLevelType w:val="hybridMultilevel"/>
    <w:lvl w:ilvl="0">
      <w:lvlJc w:val="left"/>
      <w:lvlText w:val="(%1)"/>
      <w:numFmt w:val="lowerLetter"/>
      <w:start w:val="1"/>
    </w:lvl>
  </w:abstractNum>
  <w:abstractNum w:abstractNumId="106">
    <w:nsid w:val="17A1B582"/>
    <w:multiLevelType w:val="hybridMultilevel"/>
    <w:lvl w:ilvl="0">
      <w:lvlJc w:val="left"/>
      <w:lvlText w:val="(%1)"/>
      <w:numFmt w:val="lowerLetter"/>
      <w:start w:val="1"/>
    </w:lvl>
  </w:abstractNum>
  <w:abstractNum w:abstractNumId="107">
    <w:nsid w:val="4DF72E4E"/>
    <w:multiLevelType w:val="hybridMultilevel"/>
    <w:lvl w:ilvl="0">
      <w:lvlJc w:val="left"/>
      <w:lvlText w:val="(%1)"/>
      <w:numFmt w:val="lowerLetter"/>
      <w:start w:val="2"/>
    </w:lvl>
    <w:lvl w:ilvl="1">
      <w:lvlJc w:val="left"/>
      <w:lvlText w:val="(%2)"/>
      <w:numFmt w:val="lowerRoman"/>
      <w:start w:val="1"/>
    </w:lvl>
  </w:abstractNum>
  <w:abstractNum w:abstractNumId="108">
    <w:nsid w:val="5046B5A9"/>
    <w:multiLevelType w:val="hybridMultilevel"/>
    <w:lvl w:ilvl="0">
      <w:lvlJc w:val="left"/>
      <w:lvlText w:val="(%1)"/>
      <w:numFmt w:val="lowerLetter"/>
      <w:start w:val="6"/>
    </w:lvl>
  </w:abstractNum>
  <w:abstractNum w:abstractNumId="109">
    <w:nsid w:val="5D888A08"/>
    <w:multiLevelType w:val="hybridMultilevel"/>
    <w:lvl w:ilvl="0">
      <w:lvlJc w:val="left"/>
      <w:lvlText w:val="(%1)"/>
      <w:numFmt w:val="lowerLetter"/>
      <w:start w:val="1"/>
    </w:lvl>
  </w:abstractNum>
  <w:abstractNum w:abstractNumId="110">
    <w:nsid w:val="2A082C70"/>
    <w:multiLevelType w:val="hybridMultilevel"/>
    <w:lvl w:ilvl="0">
      <w:lvlJc w:val="left"/>
      <w:lvlText w:val="(%1)"/>
      <w:numFmt w:val="lowerLetter"/>
      <w:start w:val="4"/>
    </w:lvl>
  </w:abstractNum>
  <w:abstractNum w:abstractNumId="111">
    <w:nsid w:val="5EC6AFD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12">
    <w:nsid w:val="19E21BB2"/>
    <w:multiLevelType w:val="hybridMultilevel"/>
    <w:lvl w:ilvl="0">
      <w:lvlJc w:val="left"/>
      <w:lvlText w:val="(%1)"/>
      <w:numFmt w:val="lowerLetter"/>
      <w:start w:val="15"/>
    </w:lvl>
    <w:lvl w:ilvl="1">
      <w:lvlJc w:val="left"/>
      <w:lvlText w:val="%2"/>
      <w:numFmt w:val="lowerLetter"/>
      <w:start w:val="1"/>
    </w:lvl>
    <w:lvl w:ilvl="2">
      <w:lvlJc w:val="left"/>
      <w:lvlText w:val="(%3)"/>
      <w:numFmt w:val="lowerLetter"/>
      <w:start w:val="9"/>
    </w:lvl>
  </w:abstractNum>
  <w:abstractNum w:abstractNumId="113">
    <w:nsid w:val="75E0858A"/>
    <w:multiLevelType w:val="hybridMultilevel"/>
    <w:lvl w:ilvl="0">
      <w:lvlJc w:val="left"/>
      <w:lvlText w:val="(%1)"/>
      <w:numFmt w:val="lowerRoman"/>
      <w:start w:val="2"/>
    </w:lvl>
  </w:abstractNum>
  <w:abstractNum w:abstractNumId="114">
    <w:nsid w:val="57A61A29"/>
    <w:multiLevelType w:val="hybridMultilevel"/>
    <w:lvl w:ilvl="0">
      <w:lvlJc w:val="left"/>
      <w:lvlText w:val="(%1)"/>
      <w:numFmt w:val="lowerLetter"/>
      <w:start w:val="16"/>
    </w:lvl>
  </w:abstractNum>
  <w:abstractNum w:abstractNumId="115">
    <w:nsid w:val="5399C654"/>
    <w:multiLevelType w:val="hybridMultilevel"/>
    <w:lvl w:ilvl="0">
      <w:lvlJc w:val="left"/>
      <w:lvlText w:val="(%1)"/>
      <w:numFmt w:val="lowerLetter"/>
      <w:start w:val="1"/>
    </w:lvl>
  </w:abstractNum>
  <w:abstractNum w:abstractNumId="116">
    <w:nsid w:val="20EE1348"/>
    <w:multiLevelType w:val="hybridMultilevel"/>
    <w:lvl w:ilvl="0">
      <w:lvlJc w:val="left"/>
      <w:lvlText w:val="(%1)"/>
      <w:numFmt w:val="lowerLetter"/>
      <w:start w:val="3"/>
    </w:lvl>
  </w:abstractNum>
  <w:abstractNum w:abstractNumId="117">
    <w:nsid w:val="4427069A"/>
    <w:multiLevelType w:val="hybridMultilevel"/>
    <w:lvl w:ilvl="0">
      <w:lvlJc w:val="left"/>
      <w:lvlText w:val="(%1)"/>
      <w:numFmt w:val="lowerLetter"/>
      <w:start w:val="1"/>
    </w:lvl>
  </w:abstractNum>
  <w:abstractNum w:abstractNumId="118">
    <w:nsid w:val="B37E80A"/>
    <w:multiLevelType w:val="hybridMultilevel"/>
    <w:lvl w:ilvl="0">
      <w:lvlJc w:val="left"/>
      <w:lvlText w:val="(%1)"/>
      <w:numFmt w:val="lowerLetter"/>
      <w:start w:val="7"/>
    </w:lvl>
  </w:abstractNum>
  <w:abstractNum w:abstractNumId="119">
    <w:nsid w:val="2157F6BC"/>
    <w:multiLevelType w:val="hybridMultilevel"/>
    <w:lvl w:ilvl="0">
      <w:lvlJc w:val="left"/>
      <w:lvlText w:val="(%1)"/>
      <w:numFmt w:val="lowerLetter"/>
      <w:start w:val="1"/>
    </w:lvl>
    <w:lvl w:ilvl="1">
      <w:lvlJc w:val="left"/>
      <w:lvlText w:val="(%2)"/>
      <w:numFmt w:val="lowerRoman"/>
      <w:start w:val="1"/>
    </w:lvl>
  </w:abstractNum>
  <w:abstractNum w:abstractNumId="120">
    <w:nsid w:val="704E1DD5"/>
    <w:multiLevelType w:val="hybridMultilevel"/>
    <w:lvl w:ilvl="0">
      <w:lvlJc w:val="left"/>
      <w:lvlText w:val="(%1)"/>
      <w:numFmt w:val="lowerLetter"/>
      <w:start w:val="2"/>
    </w:lvl>
  </w:abstractNum>
  <w:abstractNum w:abstractNumId="121">
    <w:nsid w:val="57D2F10E"/>
    <w:multiLevelType w:val="hybridMultilevel"/>
    <w:lvl w:ilvl="0">
      <w:lvlJc w:val="left"/>
      <w:lvlText w:val="(%1)"/>
      <w:numFmt w:val="lowerLetter"/>
      <w:start w:val="1"/>
    </w:lvl>
  </w:abstractNum>
  <w:abstractNum w:abstractNumId="122">
    <w:nsid w:val="BFFAE18"/>
    <w:multiLevelType w:val="hybridMultilevel"/>
    <w:lvl w:ilvl="0">
      <w:lvlJc w:val="left"/>
      <w:lvlText w:val="(%1)"/>
      <w:numFmt w:val="lowerLetter"/>
      <w:start w:val="4"/>
    </w:lvl>
  </w:abstractNum>
  <w:abstractNum w:abstractNumId="123">
    <w:nsid w:val="E3E47A8"/>
    <w:multiLevelType w:val="hybridMultilevel"/>
    <w:lvl w:ilvl="0">
      <w:lvlJc w:val="left"/>
      <w:lvlText w:val="(%1)"/>
      <w:numFmt w:val="lowerLetter"/>
      <w:start w:val="1"/>
    </w:lvl>
  </w:abstractNum>
  <w:abstractNum w:abstractNumId="124">
    <w:nsid w:val="2E48F044"/>
    <w:multiLevelType w:val="hybridMultilevel"/>
    <w:lvl w:ilvl="0">
      <w:lvlJc w:val="left"/>
      <w:lvlText w:val="(%1)"/>
      <w:numFmt w:val="lowerLetter"/>
      <w:start w:val="1"/>
    </w:lvl>
  </w:abstractNum>
  <w:abstractNum w:abstractNumId="125">
    <w:nsid w:val="49D0FEAC"/>
    <w:multiLevelType w:val="hybridMultilevel"/>
    <w:lvl w:ilvl="0">
      <w:lvlJc w:val="left"/>
      <w:lvlText w:val="(%1)"/>
      <w:numFmt w:val="lowerLetter"/>
      <w:start w:val="2"/>
    </w:lvl>
  </w:abstractNum>
  <w:abstractNum w:abstractNumId="126">
    <w:nsid w:val="4BEE5A5B"/>
    <w:multiLevelType w:val="hybridMultilevel"/>
    <w:lvl w:ilvl="0">
      <w:lvlJc w:val="left"/>
      <w:lvlText w:val="(%1)"/>
      <w:numFmt w:val="lowerLetter"/>
      <w:start w:val="1"/>
    </w:lvl>
  </w:abstractNum>
  <w:abstractNum w:abstractNumId="127">
    <w:nsid w:val="5551B9F3"/>
    <w:multiLevelType w:val="hybridMultilevel"/>
    <w:lvl w:ilvl="0">
      <w:lvlJc w:val="left"/>
      <w:lvlText w:val="(%1)"/>
      <w:numFmt w:val="lowerLetter"/>
      <w:start w:val="1"/>
    </w:lvl>
  </w:abstractNum>
  <w:abstractNum w:abstractNumId="128">
    <w:nsid w:val="24F6AB8E"/>
    <w:multiLevelType w:val="hybridMultilevel"/>
    <w:lvl w:ilvl="0">
      <w:lvlJc w:val="left"/>
      <w:lvlText w:val="(%1)"/>
      <w:numFmt w:val="lowerLetter"/>
      <w:start w:val="3"/>
    </w:lvl>
  </w:abstractNum>
  <w:abstractNum w:abstractNumId="129">
    <w:nsid w:val="634C574C"/>
    <w:multiLevelType w:val="hybridMultilevel"/>
    <w:lvl w:ilvl="0">
      <w:lvlJc w:val="left"/>
      <w:lvlText w:val="(%1)"/>
      <w:numFmt w:val="lowerLetter"/>
      <w:start w:val="1"/>
    </w:lvl>
  </w:abstractNum>
  <w:abstractNum w:abstractNumId="130">
    <w:nsid w:val="24E99DD7"/>
    <w:multiLevelType w:val="hybridMultilevel"/>
    <w:lvl w:ilvl="0">
      <w:lvlJc w:val="left"/>
      <w:lvlText w:val="(%1)"/>
      <w:numFmt w:val="lowerLetter"/>
      <w:start w:val="1"/>
    </w:lvl>
  </w:abstractNum>
  <w:abstractNum w:abstractNumId="131">
    <w:nsid w:val="2A31B62D"/>
    <w:multiLevelType w:val="hybridMultilevel"/>
    <w:lvl w:ilvl="0">
      <w:lvlJc w:val="left"/>
      <w:lvlText w:val="(%1)"/>
      <w:numFmt w:val="lowerLetter"/>
      <w:start w:val="1"/>
    </w:lvl>
    <w:lvl w:ilvl="1">
      <w:lvlJc w:val="left"/>
      <w:lvlText w:val="(%2)"/>
      <w:numFmt w:val="lowerRoman"/>
      <w:start w:val="1"/>
    </w:lvl>
  </w:abstractNum>
  <w:abstractNum w:abstractNumId="132">
    <w:nsid w:val="1849C29B"/>
    <w:multiLevelType w:val="hybridMultilevel"/>
    <w:lvl w:ilvl="0">
      <w:lvlJc w:val="left"/>
      <w:lvlText w:val="(%1)"/>
      <w:numFmt w:val="lowerLetter"/>
      <w:start w:val="1"/>
    </w:lvl>
  </w:abstractNum>
  <w:abstractNum w:abstractNumId="133">
    <w:nsid w:val="7DFF9D09"/>
    <w:multiLevelType w:val="hybridMultilevel"/>
    <w:lvl w:ilvl="0">
      <w:lvlJc w:val="left"/>
      <w:lvlText w:val="(%1)"/>
      <w:numFmt w:val="lowerLetter"/>
      <w:start w:val="1"/>
    </w:lvl>
  </w:abstractNum>
  <w:abstractNum w:abstractNumId="134">
    <w:nsid w:val="754342"/>
    <w:multiLevelType w:val="hybridMultilevel"/>
    <w:lvl w:ilvl="0">
      <w:lvlJc w:val="left"/>
      <w:lvlText w:val="(%1)"/>
      <w:numFmt w:val="lowerLetter"/>
      <w:start w:val="2"/>
    </w:lvl>
  </w:abstractNum>
  <w:abstractNum w:abstractNumId="135">
    <w:nsid w:val="69E7F3E5"/>
    <w:multiLevelType w:val="hybridMultilevel"/>
    <w:lvl w:ilvl="0">
      <w:lvlJc w:val="left"/>
      <w:lvlText w:val="(%1)"/>
      <w:numFmt w:val="lowerLetter"/>
      <w:start w:val="1"/>
    </w:lvl>
  </w:abstractNum>
  <w:abstractNum w:abstractNumId="136">
    <w:nsid w:val="2A6DE806"/>
    <w:multiLevelType w:val="hybridMultilevel"/>
    <w:lvl w:ilvl="0">
      <w:lvlJc w:val="left"/>
      <w:lvlText w:val="(%1)"/>
      <w:numFmt w:val="lowerLetter"/>
      <w:start w:val="3"/>
    </w:lvl>
  </w:abstractNum>
  <w:abstractNum w:abstractNumId="137">
    <w:nsid w:val="1816F8C4"/>
    <w:multiLevelType w:val="hybridMultilevel"/>
    <w:lvl w:ilvl="0">
      <w:lvlJc w:val="left"/>
      <w:lvlText w:val="(%1)"/>
      <w:numFmt w:val="lowerLetter"/>
      <w:start w:val="1"/>
    </w:lvl>
  </w:abstractNum>
  <w:abstractNum w:abstractNumId="138">
    <w:nsid w:val="37DF2233"/>
    <w:multiLevelType w:val="hybridMultilevel"/>
    <w:lvl w:ilvl="0">
      <w:lvlJc w:val="left"/>
      <w:lvlText w:val="(%1)"/>
      <w:numFmt w:val="lowerLetter"/>
      <w:start w:val="4"/>
    </w:lvl>
  </w:abstractNum>
  <w:abstractNum w:abstractNumId="139">
    <w:nsid w:val="7AB49DAF"/>
    <w:multiLevelType w:val="hybridMultilevel"/>
    <w:lvl w:ilvl="0">
      <w:lvlJc w:val="left"/>
      <w:lvlText w:val="(%1)"/>
      <w:numFmt w:val="lowerLetter"/>
      <w:start w:val="1"/>
    </w:lvl>
  </w:abstractNum>
  <w:abstractNum w:abstractNumId="140">
    <w:nsid w:val="759F82CD"/>
    <w:multiLevelType w:val="hybridMultilevel"/>
    <w:lvl w:ilvl="0">
      <w:lvlJc w:val="left"/>
      <w:lvlText w:val="(%1)"/>
      <w:numFmt w:val="lowerLetter"/>
      <w:start w:val="1"/>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lowerLetter"/>
      <w:start w:val="1"/>
    </w:lvl>
    <w:lvl w:ilvl="1">
      <w:lvlJc w:val="left"/>
      <w:lvlText w:val="(%2)"/>
      <w:numFmt w:val="lowerRoman"/>
      <w:start w:val="1"/>
    </w:lvl>
  </w:abstractNum>
  <w:abstractNum w:abstractNumId="143">
    <w:nsid w:val="F819E7F"/>
    <w:multiLevelType w:val="hybridMultilevel"/>
    <w:lvl w:ilvl="0">
      <w:lvlJc w:val="left"/>
      <w:lvlText w:val="(%1)"/>
      <w:numFmt w:val="lowerLetter"/>
      <w:start w:val="2"/>
    </w:lvl>
    <w:lvl w:ilvl="1">
      <w:lvlJc w:val="left"/>
      <w:lvlText w:val="(%2)"/>
      <w:numFmt w:val="lowerRoman"/>
      <w:start w:val="1"/>
    </w:lvl>
  </w:abstractNum>
  <w:abstractNum w:abstractNumId="144">
    <w:nsid w:val="57C7D42D"/>
    <w:multiLevelType w:val="hybridMultilevel"/>
    <w:lvl w:ilvl="0">
      <w:lvlJc w:val="left"/>
      <w:lvlText w:val="(%1)"/>
      <w:numFmt w:val="lowerRoman"/>
      <w:start w:val="7"/>
    </w:lvl>
  </w:abstractNum>
  <w:abstractNum w:abstractNumId="145">
    <w:nsid w:val="312167AD"/>
    <w:multiLevelType w:val="hybridMultilevel"/>
    <w:lvl w:ilvl="0">
      <w:lvlJc w:val="left"/>
      <w:lvlText w:val="(%1)"/>
      <w:numFmt w:val="decimal"/>
      <w:start w:val="801"/>
    </w:lvl>
  </w:abstractNum>
  <w:abstractNum w:abstractNumId="146">
    <w:nsid w:val="631B64D4"/>
    <w:multiLevelType w:val="hybridMultilevel"/>
    <w:lvl w:ilvl="0">
      <w:lvlJc w:val="left"/>
      <w:lvlText w:val="(%1)"/>
      <w:numFmt w:val="decimal"/>
      <w:start w:val="2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2025-07-31T08:33:15Z</dcterms:created>
  <dcterms:modified xsi:type="dcterms:W3CDTF">2025-07-31T08:33:15Z</dcterms:modified>
</cp:coreProperties>
</file>