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22"/>
          <w:szCs w:val="22"/>
          <w:color w:val="auto"/>
        </w:rPr>
        <w:t>August 6, 2024</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MYRIAD GENETICS,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840" w:type="dxa"/>
        <w:tblCellMar>
          <w:top w:w="0" w:type="dxa"/>
          <w:left w:w="0" w:type="dxa"/>
          <w:bottom w:w="0" w:type="dxa"/>
          <w:right w:w="0" w:type="dxa"/>
        </w:tblCellMar>
      </w:tblPr>
      <w:tr>
        <w:trPr>
          <w:trHeight w:val="227"/>
        </w:trPr>
        <w:tc>
          <w:tcPr>
            <w:tcW w:w="20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0-26642</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87-0494517</w:t>
            </w:r>
          </w:p>
        </w:tc>
      </w:tr>
      <w:tr>
        <w:trPr>
          <w:trHeight w:val="148"/>
        </w:trPr>
        <w:tc>
          <w:tcPr>
            <w:tcW w:w="2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322 North 2200 West</w:t>
            </w:r>
          </w:p>
        </w:tc>
        <w:tc>
          <w:tcPr>
            <w:tcW w:w="148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Salt Lake City, Utah 84116</w:t>
            </w:r>
          </w:p>
        </w:tc>
        <w:tc>
          <w:tcPr>
            <w:tcW w:w="148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80" w:type="dxa"/>
            <w:vAlign w:val="bottom"/>
          </w:tcPr>
          <w:p>
            <w:pPr>
              <w:spacing w:after="0"/>
              <w:rPr>
                <w:sz w:val="16"/>
                <w:szCs w:val="16"/>
                <w:color w:val="auto"/>
              </w:rPr>
            </w:pPr>
          </w:p>
        </w:tc>
      </w:tr>
      <w:tr>
        <w:trPr>
          <w:trHeight w:val="320"/>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(801) 584-3600</w:t>
            </w:r>
          </w:p>
        </w:tc>
        <w:tc>
          <w:tcPr>
            <w:tcW w:w="1480" w:type="dxa"/>
            <w:vAlign w:val="bottom"/>
          </w:tcPr>
          <w:p>
            <w:pPr>
              <w:spacing w:after="0"/>
              <w:rPr>
                <w:sz w:val="24"/>
                <w:szCs w:val="24"/>
                <w:color w:val="auto"/>
              </w:rPr>
            </w:pPr>
          </w:p>
        </w:tc>
      </w:tr>
      <w:tr>
        <w:trPr>
          <w:trHeight w:val="299"/>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23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520" w:firstLine="26"/>
        <w:spacing w:after="0" w:line="528"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4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280" w:type="dxa"/>
            <w:vAlign w:val="bottom"/>
          </w:tcPr>
          <w:p>
            <w:pPr>
              <w:spacing w:after="0"/>
              <w:rPr>
                <w:sz w:val="14"/>
                <w:szCs w:val="14"/>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MYGN</w:t>
            </w:r>
          </w:p>
        </w:tc>
        <w:tc>
          <w:tcPr>
            <w:tcW w:w="280" w:type="dxa"/>
            <w:vAlign w:val="bottom"/>
          </w:tcPr>
          <w:p>
            <w:pPr>
              <w:spacing w:after="0"/>
              <w:rPr>
                <w:sz w:val="14"/>
                <w:szCs w:val="14"/>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6, 2024, Myriad Genetics, Inc. ("Myriad" or the “Company”) announced its financial results for the three months ended June 30, 2024. The earnings release is attached hereto as Exhibit 99.1 to this Current Report on Form 8-K and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Current Report on Form 8-K and Exhibit 99.1 contain “forward-looking statements” within the meaning of the Private Securities Litigation Reform Act of 1995, including the Company's updated fiscal year 2024 financial guidance, the expectations of trends in financial performance to continue through the year and into 2025, the Company's long-term revenue growth target, the Company's expectation of additional market share gains in prenatal testing, the Company's plans to continue to publish additional clinical validation studies and launch new products, statements relating to the Company improving access and ease of use for customers as the company accelerates EMR integrations for new customers and makes progress in its Labs of the Future initiative, and that the Company is growing profitably, delivering improved financial results and continuing to invest in the innovation required to achieve its mission and vision to reach more patients with life-saving precision medicine. These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w:t>
      </w:r>
    </w:p>
    <w:p>
      <w:pPr>
        <w:spacing w:after="0" w:line="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These risks include, but are not limited to: the risk that sales and profit margins of the Company’s existing tests may decline; the risk that the Company may not be able to operate its business on a profitable basis; risks related to the Company’s ability to achieve certain revenue growth targets and generate sufficient revenue from its existing product portfolio or in launching and commercializing new tests to be profitable; risks related to changes in governmental or private insurers’ coverage and reimbursement levels for the Company’s tests or the Company’s ability to obtain reimbursement for its new tests at comparable levels to its existing tests; risks related to increased competition and the development of new competing tests; the risk that the Company may be unable to develop or achieve commercial success for additional tests in a timely manner, or at all; the risk that the Company may not successfully develop new markets or channels for its tests; the risk that licenses to the technology underlying the Company’s tests and any future tests are terminated or cannot be maintained on satisfactory terms; risks related to delays or other problems with operating the Company’s laboratory testing facilities and the transition of such facilities to the Company's new laboratory testing facilities; risks related to public concern over genetic testing in general or the Company’s tests in particular; risks related to regulatory requirements or enforcement in the United States and foreign countries and changes in the structure of the healthcare system or healthcare payment systems; risks related to the Company’s ability to obtain new corporate collaborations or licenses and acquire or develop new technologies or businesses on satisfactory terms, if at all; risks related to the Company’s ability to successfully integrate and derive benefits from any technologies or businesses that it licenses, acquires or develops; the risk that the Company is not able to secure additional financing to fund its business, if needed, in a timely manner or on favorable terms, if it all; risks related to the Company’s projections or estimates about the potential market opportunity for the Company’s current and future products; the risk that the Company or its licensors may be unable to protect or that third parties will infringe the proprietary technologies underlying the Company’s tests; the risk of patent-infringement claims or challenges to the validity of the Company’s patents; risks related to changes in intellectual property laws covering the Company’s tests, or patents or enforcement, in the United States and foreign countries; risks related to security breaches, loss of data and other disruptions, including from cyberattacks; risks of new, changing and competitive technologies in the United States and internationally and that the Company may not be able to keep pace with the rapid technology changes in its industry, or properly leverage new technologies to achieve or sustain competitive advantages in its products; the risk that the Company may be unable to comply with financial operating covenants under the Company’s credit or lending agreements; the risk that the Company may not be able maintain effective disclosure controls and procedures and internal control over financial reporting; risks related to current and future investigations, claims or lawsuits, including derivative claims, product or professional liability claims, and risks related to the amount of the Company's insurance coverage limits and scope of insurance coverage with respect thereto; and other factors discussed under the heading “Risk Factors” contained in Item 1A of the Company’s Annual Report on Form 10-K filed with the U.S. Securities and Exchange Commission (SEC) on February 28, 2024 as updated in the company's Quarterly Report on Form 10-Q filed with the SEC on May 8, 2024, as well as any further updates to those risk factors filed from time to time in the Company’s Quarterly Reports on Form 10-Q or Current Reports on Form 8-K. Myriad Genetics is not under any obligation, and it expressly disclaims any obligation, to update or alter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84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Earnings release dated August 6, 2024 for the three months ended June 30, 2024.</w:t>
            </w:r>
          </w:p>
        </w:tc>
        <w:tc>
          <w:tcPr>
            <w:tcW w:w="3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exhibit(s) may contain hypertext links to information on our website or other parties’ websites. The information on our website and other parties’ websites is not incorporated by reference into this Current Report on Form 8-K and does not constitute a part of this Form 8-K.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set forth in Item 2.02 and in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24" w:lineRule="exact"/>
        <w:rPr>
          <w:sz w:val="20"/>
          <w:szCs w:val="20"/>
          <w:color w:val="auto"/>
        </w:rPr>
      </w:pPr>
    </w:p>
    <w:p>
      <w:pPr>
        <w:ind w:left="20"/>
        <w:spacing w:after="0"/>
        <w:tabs>
          <w:tab w:leader="none" w:pos="6180" w:val="left"/>
          <w:tab w:leader="none" w:pos="664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34290</wp:posOffset>
            </wp:positionV>
            <wp:extent cx="29063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Scott J. Leffler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20"/>
          </w:cols>
          <w:pgMar w:left="320" w:top="887"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8" w:lineRule="exact"/>
        <w:rPr>
          <w:sz w:val="20"/>
          <w:szCs w:val="20"/>
          <w:color w:val="auto"/>
        </w:rPr>
      </w:pPr>
    </w:p>
    <w:p>
      <w:pPr>
        <w:spacing w:after="0"/>
        <w:rPr>
          <w:sz w:val="20"/>
          <w:szCs w:val="20"/>
          <w:color w:val="auto"/>
        </w:rPr>
      </w:pPr>
      <w:r>
        <w:rPr>
          <w:rFonts w:ascii="Arial" w:cs="Arial" w:eastAsia="Arial" w:hAnsi="Arial"/>
          <w:sz w:val="40"/>
          <w:szCs w:val="40"/>
          <w:u w:val="single" w:color="auto"/>
          <w:color w:val="auto"/>
        </w:rPr>
        <w:t>News Release</w:t>
      </w:r>
    </w:p>
    <w:p>
      <w:pPr>
        <w:spacing w:after="0"/>
        <w:rPr>
          <w:sz w:val="20"/>
          <w:szCs w:val="20"/>
          <w:color w:val="auto"/>
        </w:rPr>
      </w:pPr>
      <w:r>
        <w:rPr>
          <w:rFonts w:ascii="Arial" w:cs="Arial" w:eastAsia="Arial" w:hAnsi="Arial"/>
          <w:sz w:val="22"/>
          <w:szCs w:val="22"/>
          <w:color w:val="auto"/>
        </w:rPr>
        <w:t>Media Contact: Megan Manzari Investor Contact: Matt Scalo</w:t>
      </w:r>
    </w:p>
    <w:p>
      <w:pPr>
        <w:spacing w:after="0" w:line="4" w:lineRule="exact"/>
        <w:rPr>
          <w:sz w:val="20"/>
          <w:szCs w:val="20"/>
          <w:color w:val="auto"/>
        </w:rPr>
      </w:pPr>
    </w:p>
    <w:p>
      <w:pPr>
        <w:ind w:right="6020" w:firstLine="8"/>
        <w:spacing w:after="0" w:line="263" w:lineRule="auto"/>
        <w:tabs>
          <w:tab w:leader="none" w:pos="564" w:val="left"/>
        </w:tabs>
        <w:numPr>
          <w:ilvl w:val="0"/>
          <w:numId w:val="2"/>
        </w:numPr>
        <w:rPr>
          <w:rFonts w:ascii="Arial" w:cs="Arial" w:eastAsia="Arial" w:hAnsi="Arial"/>
          <w:sz w:val="21"/>
          <w:szCs w:val="21"/>
          <w:color w:val="auto"/>
        </w:rPr>
      </w:pPr>
      <w:r>
        <w:rPr>
          <w:rFonts w:ascii="Arial" w:cs="Arial" w:eastAsia="Arial" w:hAnsi="Arial"/>
          <w:sz w:val="21"/>
          <w:szCs w:val="21"/>
          <w:color w:val="auto"/>
        </w:rPr>
        <w:t xml:space="preserve">318-3718 (801) 584-3532 </w:t>
      </w:r>
      <w:r>
        <w:rPr>
          <w:rFonts w:ascii="Arial" w:cs="Arial" w:eastAsia="Arial" w:hAnsi="Arial"/>
          <w:sz w:val="21"/>
          <w:szCs w:val="21"/>
          <w:color w:val="0000FF"/>
        </w:rPr>
        <w:t>megan.manzari@myriad.com matt.scalo@myriad.com</w:t>
      </w:r>
    </w:p>
    <w:p>
      <w:pPr>
        <w:spacing w:after="0" w:line="200" w:lineRule="exact"/>
        <w:rPr>
          <w:sz w:val="20"/>
          <w:szCs w:val="20"/>
          <w:color w:val="auto"/>
        </w:rPr>
      </w:pPr>
    </w:p>
    <w:p>
      <w:pPr>
        <w:spacing w:after="0" w:line="302" w:lineRule="exact"/>
        <w:rPr>
          <w:sz w:val="20"/>
          <w:szCs w:val="20"/>
          <w:color w:val="auto"/>
        </w:rPr>
      </w:pPr>
    </w:p>
    <w:p>
      <w:pPr>
        <w:jc w:val="center"/>
        <w:ind w:left="340" w:right="260"/>
        <w:spacing w:after="0" w:line="431" w:lineRule="auto"/>
        <w:rPr>
          <w:sz w:val="20"/>
          <w:szCs w:val="20"/>
          <w:color w:val="auto"/>
        </w:rPr>
      </w:pPr>
      <w:r>
        <w:rPr>
          <w:rFonts w:ascii="Arial" w:cs="Arial" w:eastAsia="Arial" w:hAnsi="Arial"/>
          <w:sz w:val="21"/>
          <w:szCs w:val="21"/>
          <w:b w:val="1"/>
          <w:bCs w:val="1"/>
          <w:color w:val="auto"/>
        </w:rPr>
        <w:t>Myriad Genetics Reports Strong Second Quarter 2024 Financial Results, including 15% Revenue Growth Year-Over-Year; Raises 2024 Financial Guidance and Long-Term Revenue Growth Target to 12%</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116" w:lineRule="exact"/>
        <w:rPr>
          <w:sz w:val="20"/>
          <w:szCs w:val="20"/>
          <w:color w:val="auto"/>
        </w:rPr>
      </w:pPr>
    </w:p>
    <w:p>
      <w:pPr>
        <w:ind w:left="660" w:right="120" w:hanging="328"/>
        <w:spacing w:after="0" w:line="359" w:lineRule="auto"/>
        <w:tabs>
          <w:tab w:leader="none" w:pos="64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Second quarter revenue grew 15% year-over-year to $212 million, driven by Prenatal (25%), Pharmacogenomics (22%), and Hereditary Cancer (19%).</w:t>
      </w:r>
    </w:p>
    <w:p>
      <w:pPr>
        <w:ind w:left="660" w:right="780" w:hanging="328"/>
        <w:spacing w:after="0" w:line="364" w:lineRule="auto"/>
        <w:tabs>
          <w:tab w:leader="none" w:pos="64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Second quarter GAAP earnings per share improved to $(0.41) from $(1.42) in the second quarter of 2023; adjusted earnings per share improved to $0.05 from $(0.08) in the second quarter of 2023.</w:t>
      </w:r>
    </w:p>
    <w:p>
      <w:pPr>
        <w:spacing w:after="0" w:line="17" w:lineRule="exact"/>
        <w:rPr>
          <w:rFonts w:ascii="Arial" w:cs="Arial" w:eastAsia="Arial" w:hAnsi="Arial"/>
          <w:sz w:val="20"/>
          <w:szCs w:val="20"/>
          <w:b w:val="1"/>
          <w:bCs w:val="1"/>
          <w:color w:val="auto"/>
        </w:rPr>
      </w:pPr>
    </w:p>
    <w:p>
      <w:pPr>
        <w:ind w:left="660" w:right="160" w:hanging="328"/>
        <w:spacing w:after="0" w:line="36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b w:val="1"/>
          <w:bCs w:val="1"/>
          <w:color w:val="auto"/>
        </w:rPr>
        <w:t>Increasing 2024 financial guidance with full year revenue moving to a range of $835 - $845 million, or an annual growth rate of between 11% and 12%, and increasing adjusted earnings per share (EPS) to a range of $0.08 - $0.12.</w:t>
      </w:r>
      <w:r>
        <w:rPr>
          <w:rFonts w:ascii="Arial" w:cs="Arial" w:eastAsia="Arial" w:hAnsi="Arial"/>
          <w:sz w:val="25"/>
          <w:szCs w:val="25"/>
          <w:b w:val="1"/>
          <w:bCs w:val="1"/>
          <w:color w:val="auto"/>
          <w:vertAlign w:val="superscript"/>
        </w:rPr>
        <w:t>1</w:t>
      </w:r>
    </w:p>
    <w:p>
      <w:pPr>
        <w:spacing w:after="0" w:line="108" w:lineRule="exact"/>
        <w:rPr>
          <w:sz w:val="20"/>
          <w:szCs w:val="20"/>
          <w:color w:val="auto"/>
        </w:rPr>
      </w:pPr>
    </w:p>
    <w:p>
      <w:pPr>
        <w:jc w:val="both"/>
        <w:ind w:right="740"/>
        <w:spacing w:after="0" w:line="383" w:lineRule="auto"/>
        <w:rPr>
          <w:sz w:val="20"/>
          <w:szCs w:val="20"/>
          <w:color w:val="auto"/>
        </w:rPr>
      </w:pPr>
      <w:r>
        <w:rPr>
          <w:rFonts w:ascii="Arial" w:cs="Arial" w:eastAsia="Arial" w:hAnsi="Arial"/>
          <w:sz w:val="20"/>
          <w:szCs w:val="20"/>
          <w:b w:val="1"/>
          <w:bCs w:val="1"/>
          <w:color w:val="auto"/>
        </w:rPr>
        <w:t xml:space="preserve">SALT LAKE CITY, August 6, 2024 – </w:t>
      </w:r>
      <w:r>
        <w:rPr>
          <w:rFonts w:ascii="Arial" w:cs="Arial" w:eastAsia="Arial" w:hAnsi="Arial"/>
          <w:sz w:val="20"/>
          <w:szCs w:val="20"/>
          <w:color w:val="auto"/>
        </w:rPr>
        <w:t>Myriad Genetics, Inc. (NASDAQ: MYGN), a leader in genetic testing and precision</w:t>
      </w:r>
      <w:r>
        <w:rPr>
          <w:rFonts w:ascii="Arial" w:cs="Arial" w:eastAsia="Arial" w:hAnsi="Arial"/>
          <w:sz w:val="20"/>
          <w:szCs w:val="20"/>
          <w:b w:val="1"/>
          <w:bCs w:val="1"/>
          <w:color w:val="auto"/>
        </w:rPr>
        <w:t xml:space="preserve"> </w:t>
      </w:r>
      <w:r>
        <w:rPr>
          <w:rFonts w:ascii="Arial" w:cs="Arial" w:eastAsia="Arial" w:hAnsi="Arial"/>
          <w:sz w:val="20"/>
          <w:szCs w:val="20"/>
          <w:color w:val="auto"/>
        </w:rPr>
        <w:t>medicine, today announced financial results for its second quarter ended June 30, 2024 and raised its previously issued financial guidance on business performance for the full-year 2024.</w:t>
      </w:r>
    </w:p>
    <w:p>
      <w:pPr>
        <w:spacing w:after="0" w:line="183" w:lineRule="exact"/>
        <w:rPr>
          <w:sz w:val="20"/>
          <w:szCs w:val="20"/>
          <w:color w:val="auto"/>
        </w:rPr>
      </w:pPr>
    </w:p>
    <w:p>
      <w:pPr>
        <w:spacing w:after="0" w:line="387" w:lineRule="auto"/>
        <w:rPr>
          <w:sz w:val="20"/>
          <w:szCs w:val="20"/>
          <w:color w:val="auto"/>
        </w:rPr>
      </w:pPr>
      <w:r>
        <w:rPr>
          <w:rFonts w:ascii="Arial" w:cs="Arial" w:eastAsia="Arial" w:hAnsi="Arial"/>
          <w:sz w:val="19"/>
          <w:szCs w:val="19"/>
          <w:color w:val="auto"/>
        </w:rPr>
        <w:t>“We are very proud to have delivered another quarter of strong double digit year-over-year revenue growth in the second quarter of 2024. Our year-to-date 2024 revenue growth of 13% year-over-year, following our 11% year-over-year revenue growth in calendar year 2023, and our 15% year-over-year revenue growth in the second quarter 2024, demonstrate the sustainability of our organic growth and gives us the confidence to raise our long-term revenue growth target to 12%,” said Paul J. Diaz, President and CEO of Myriad Genetics. “In the second quarter, we saw strong performance across our portfolio, highlighted by increasing evidence of market share gains in prenatal testing. We anticipate these trends to continue as we move through the year and into 2025. In addition, second quarter average revenue per test improved across our product portfolio, benefiting from expanded coverage and our ongoing efforts in revenue cycle management. We remain optimistic about the evolution of our product portfolio as we continue to publish additional clinical validation studies and launch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4" w:lineRule="exact"/>
        <w:rPr>
          <w:sz w:val="20"/>
          <w:szCs w:val="20"/>
          <w:color w:val="auto"/>
        </w:rPr>
      </w:pPr>
    </w:p>
    <w:p>
      <w:pPr>
        <w:ind w:right="240" w:firstLine="8"/>
        <w:spacing w:after="0" w:line="229" w:lineRule="auto"/>
        <w:tabs>
          <w:tab w:leader="none" w:pos="10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does not forecast GAAP EPS because it cannot predict certain elements that are included in the reported GAAP results. Please see below under "Financial Guidance" for a full explanation.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891" w:right="339" w:bottom="1440" w:gutter="0" w:footer="0" w:header="0"/>
        </w:sectPr>
      </w:pPr>
    </w:p>
    <w:bookmarkStart w:id="5" w:name="page6"/>
    <w:bookmarkEnd w:id="5"/>
    <w:p>
      <w:pPr>
        <w:spacing w:after="0" w:line="393" w:lineRule="auto"/>
        <w:rPr>
          <w:sz w:val="20"/>
          <w:szCs w:val="20"/>
          <w:color w:val="auto"/>
        </w:rPr>
      </w:pPr>
      <w:r>
        <w:rPr>
          <w:rFonts w:ascii="Arial" w:cs="Arial" w:eastAsia="Arial" w:hAnsi="Arial"/>
          <w:sz w:val="19"/>
          <w:szCs w:val="19"/>
          <w:color w:val="auto"/>
        </w:rPr>
        <w:t>At the same time, we continue to improve access and ease of use for our customers, as we accelerate electronic medical record (EMR) integrations for new customers and make meaningful progress in our Labs of the Future initiative. Myriad Genetics is growing profitably and delivering improved financial results, including a 17% year-over-year increase in gross profit of $147.1 million, cash flow from operations of $2.6 million, and $16.4 million of adjusted operating cash flow. All while continuing to invest in the innovation required to achieve our mission and vision to reach more patients with life-saving precision medicine.”</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and Operational Highlights</w:t>
      </w:r>
    </w:p>
    <w:p>
      <w:pPr>
        <w:spacing w:after="0" w:line="23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Test volumes of 389,000 in the second quarter of 2024 increased 9% year-over-year.</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following table summarizes year-over-year testing volume changes in the company's core product categories:</w:t>
      </w:r>
    </w:p>
    <w:p>
      <w:pPr>
        <w:spacing w:after="0" w:line="9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620" w:type="dxa"/>
            <w:vAlign w:val="bottom"/>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3"/>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00" w:type="dxa"/>
            <w:vAlign w:val="bottom"/>
            <w:vMerge w:val="continue"/>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3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Product volumes:</w:t>
            </w: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Hereditary cancer</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Tumor profiling</w:t>
            </w: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3"/>
        </w:trPr>
        <w:tc>
          <w:tcPr>
            <w:tcW w:w="3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Prenatal</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Pharmacogenomics</w:t>
            </w: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82"/>
        </w:trPr>
        <w:tc>
          <w:tcPr>
            <w:tcW w:w="3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2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following table summarizes year-over-year revenue changes in the company's core product categories:</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1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Product revenues:</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Hereditary cancer</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Tumor profiling</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3"/>
        </w:trPr>
        <w:tc>
          <w:tcPr>
            <w:tcW w:w="3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Prenatal</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Pharmacogenomics</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86"/>
        </w:trPr>
        <w:tc>
          <w:tcPr>
            <w:tcW w:w="3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211.5</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660" w:right="240" w:hanging="328"/>
        <w:spacing w:after="0" w:line="362"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Gross margin of 69.6% in the second quarter of 2024 increased 110 basis points year-over-year, reflecting operating leverage and improved average revenue per test. Adjusted gross margin in the second quarter of 2024 was 70.1%, an increase of 110 basis points year-over-year as the company's revenue cycle, Labs of the Future and supply chain initiatives begin to take hold.</w:t>
      </w:r>
    </w:p>
    <w:p>
      <w:pPr>
        <w:spacing w:after="0" w:line="2" w:lineRule="exact"/>
        <w:rPr>
          <w:rFonts w:ascii="Arial" w:cs="Arial" w:eastAsia="Arial" w:hAnsi="Arial"/>
          <w:sz w:val="20"/>
          <w:szCs w:val="20"/>
          <w:color w:val="auto"/>
        </w:rPr>
      </w:pPr>
    </w:p>
    <w:p>
      <w:pPr>
        <w:ind w:left="660" w:right="300" w:hanging="328"/>
        <w:spacing w:after="0" w:line="372"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Second quarter of 2024 operating expenses were $183.6 million. Adjusted operating expenses were $140.8 million, increasing 6% over the year ago period. This increase was driven by investments in technology, product development and R&amp;D. Adjusted operating expenses accounted for 67% of total revenue in the second quarter of 2024, down from 73% of total revenue in the second quarter of 2023.</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20" w:top="941" w:right="359" w:bottom="1440" w:gutter="0" w:footer="0" w:header="0"/>
        </w:sectPr>
      </w:pPr>
    </w:p>
    <w:bookmarkStart w:id="6" w:name="page7"/>
    <w:bookmarkEnd w:id="6"/>
    <w:p>
      <w:pPr>
        <w:ind w:left="660" w:right="760" w:hanging="328"/>
        <w:spacing w:after="0" w:line="432" w:lineRule="auto"/>
        <w:tabs>
          <w:tab w:leader="none" w:pos="648" w:val="left"/>
        </w:tabs>
        <w:numPr>
          <w:ilvl w:val="0"/>
          <w:numId w:val="8"/>
        </w:numPr>
        <w:rPr>
          <w:rFonts w:ascii="Arial" w:cs="Arial" w:eastAsia="Arial" w:hAnsi="Arial"/>
          <w:sz w:val="19"/>
          <w:szCs w:val="19"/>
          <w:b w:val="1"/>
          <w:bCs w:val="1"/>
          <w:color w:val="auto"/>
        </w:rPr>
      </w:pPr>
      <w:r>
        <w:rPr>
          <w:rFonts w:ascii="Arial" w:cs="Arial" w:eastAsia="Arial" w:hAnsi="Arial"/>
          <w:sz w:val="19"/>
          <w:szCs w:val="19"/>
          <w:color w:val="auto"/>
        </w:rPr>
        <w:t>Operating loss in the second quarter of 2024 was $36.5 million, improving $77.2 million year-over-year; adjusted operating income in the second quarter of 2024 was $7.4 million, improving $14.2 million year-over-year.</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Performance and Highlights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Oncology</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The Oncology business delivered revenue of $82.2 million in the second quarter of 2024.</w:t>
      </w:r>
    </w:p>
    <w:p>
      <w:pPr>
        <w:spacing w:after="0" w:line="148" w:lineRule="exact"/>
        <w:rPr>
          <w:sz w:val="20"/>
          <w:szCs w:val="20"/>
          <w:color w:val="auto"/>
        </w:rPr>
      </w:pPr>
    </w:p>
    <w:p>
      <w:pPr>
        <w:ind w:left="660" w:right="700" w:hanging="328"/>
        <w:spacing w:after="0" w:line="349"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0"/>
          <w:szCs w:val="20"/>
          <w:color w:val="auto"/>
        </w:rPr>
        <w:t>Second quarter 2024 hereditary cancer testing revenue in Oncology grew 11% year-over-year, reflecting ongoing initiatives to improve average revenue per test through payer coverage expansion and revenue cycle process improvements that are reducing the company's no pay rate.</w:t>
      </w:r>
    </w:p>
    <w:p>
      <w:pPr>
        <w:spacing w:after="0" w:line="2" w:lineRule="exact"/>
        <w:rPr>
          <w:rFonts w:ascii="Arial" w:cs="Arial" w:eastAsia="Arial" w:hAnsi="Arial"/>
          <w:sz w:val="22"/>
          <w:szCs w:val="22"/>
          <w:color w:val="auto"/>
        </w:rPr>
      </w:pPr>
    </w:p>
    <w:p>
      <w:pPr>
        <w:ind w:left="660" w:right="420" w:hanging="328"/>
        <w:spacing w:after="0" w:line="364"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Second quarter 2024 tumor profiling revenue of $32.6 million grew 5% compared to first quarter 2024 but decreased 10% year-over-year, reflecting the ongoing challenging biopharma environment, slow ramp of biopharma contracts executed in 2023, and challenges in the international business.</w:t>
      </w:r>
    </w:p>
    <w:p>
      <w:pPr>
        <w:spacing w:after="0" w:line="20" w:lineRule="exact"/>
        <w:rPr>
          <w:rFonts w:ascii="Arial" w:cs="Arial" w:eastAsia="Arial" w:hAnsi="Arial"/>
          <w:sz w:val="20"/>
          <w:szCs w:val="20"/>
          <w:color w:val="auto"/>
        </w:rPr>
      </w:pPr>
    </w:p>
    <w:p>
      <w:pPr>
        <w:ind w:left="660" w:right="200" w:hanging="328"/>
        <w:spacing w:after="0" w:line="356"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0"/>
          <w:szCs w:val="20"/>
          <w:color w:val="auto"/>
        </w:rPr>
        <w:t>In July 2024, Myriad Genetics received a patent relating to detecting circulating tumor DNA in patient fluid samples, which is complementary to a patent granted earlier in the year for the company’s methods of preparing cell-free DNA. Both of these patents support advancing commercialization of the company's high sensitivity tumor informed Molecular Residual Disease (MRD) assay.</w:t>
      </w:r>
    </w:p>
    <w:p>
      <w:pPr>
        <w:spacing w:after="0" w:line="18" w:lineRule="exact"/>
        <w:rPr>
          <w:rFonts w:ascii="Arial" w:cs="Arial" w:eastAsia="Arial" w:hAnsi="Arial"/>
          <w:sz w:val="22"/>
          <w:szCs w:val="22"/>
          <w:color w:val="auto"/>
        </w:rPr>
      </w:pPr>
    </w:p>
    <w:p>
      <w:pPr>
        <w:jc w:val="both"/>
        <w:ind w:left="660" w:right="200" w:hanging="328"/>
        <w:spacing w:after="0" w:line="35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0"/>
          <w:szCs w:val="20"/>
          <w:color w:val="auto"/>
        </w:rPr>
        <w:t>In July 2024, Myriad Genetics entered into an agreement with Personalis, Inc. (Nasdaq: PSNL) to cross-license patent estates covering tumor-informed approaches to detect MRD. The agreement helps solidify each company’s freedom to operate in the MRD market and broadens patient access to the benefits of MRD testing.</w:t>
      </w:r>
    </w:p>
    <w:p>
      <w:pPr>
        <w:spacing w:after="0" w:line="20" w:lineRule="exact"/>
        <w:rPr>
          <w:rFonts w:ascii="Arial" w:cs="Arial" w:eastAsia="Arial" w:hAnsi="Arial"/>
          <w:sz w:val="22"/>
          <w:szCs w:val="22"/>
          <w:color w:val="auto"/>
        </w:rPr>
      </w:pPr>
    </w:p>
    <w:p>
      <w:pPr>
        <w:ind w:left="660" w:hanging="328"/>
        <w:spacing w:after="0" w:line="35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0"/>
          <w:szCs w:val="20"/>
          <w:color w:val="auto"/>
        </w:rPr>
        <w:t>Announced a collaboration with GSK (NYSE: GSK) aimed at improving access to homologous recombination deficiency (HRD) diagnostic testing for high-grade serous ovarian cancer (HGSOC) patients, leveraging Myriad Genetics' MyChoice HRD Plus and MyChoice CDx Plus tests in nine countries outside the United States.</w:t>
      </w:r>
    </w:p>
    <w:p>
      <w:pPr>
        <w:spacing w:after="0" w:line="20" w:lineRule="exact"/>
        <w:rPr>
          <w:rFonts w:ascii="Arial" w:cs="Arial" w:eastAsia="Arial" w:hAnsi="Arial"/>
          <w:sz w:val="22"/>
          <w:szCs w:val="22"/>
          <w:color w:val="auto"/>
        </w:rPr>
      </w:pPr>
    </w:p>
    <w:p>
      <w:pPr>
        <w:ind w:left="660" w:right="460" w:hanging="328"/>
        <w:spacing w:after="0" w:line="407" w:lineRule="auto"/>
        <w:tabs>
          <w:tab w:leader="none" w:pos="655" w:val="left"/>
        </w:tabs>
        <w:numPr>
          <w:ilvl w:val="0"/>
          <w:numId w:val="9"/>
        </w:numPr>
        <w:rPr>
          <w:rFonts w:ascii="Arial" w:cs="Arial" w:eastAsia="Arial" w:hAnsi="Arial"/>
          <w:sz w:val="21"/>
          <w:szCs w:val="21"/>
          <w:color w:val="auto"/>
        </w:rPr>
      </w:pPr>
      <w:r>
        <w:rPr>
          <w:rFonts w:ascii="Arial" w:cs="Arial" w:eastAsia="Arial" w:hAnsi="Arial"/>
          <w:sz w:val="19"/>
          <w:szCs w:val="19"/>
          <w:color w:val="auto"/>
        </w:rPr>
        <w:t>Myriad Genetics and QIAGEN (NYSE: QGEN) agreed to develop a globally distributable kit-based test for analyzing HRD status to support research into personalized medicine in multiple solid tumor types, including ovarian cancer.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941" w:right="359" w:bottom="1440" w:gutter="0" w:footer="0" w:header="0"/>
        </w:sectPr>
      </w:pPr>
    </w:p>
    <w:bookmarkStart w:id="7" w:name="page8"/>
    <w:bookmarkEnd w:id="7"/>
    <w:p>
      <w:pPr>
        <w:ind w:left="660" w:right="80" w:hanging="328"/>
        <w:spacing w:after="0" w:line="370"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 August 2024, Myriad Genetics announced that it further advanced its international reorganization efforts, including the closing of the sale of its EndoPredict business to Eurobio Scientific. The reorganization of its international operations better aligns company resources to its domestic opportunities while continuing to serve key biopharma partners and patients globally and builds on Myriad Genetics' efforts this year to accelerate profitable business growth across its portfolio.</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Women’s Health</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The Women’s Health business delivered revenue of $86.3 million in the second quarter of 2024.</w:t>
      </w:r>
    </w:p>
    <w:p>
      <w:pPr>
        <w:spacing w:after="0" w:line="148" w:lineRule="exact"/>
        <w:rPr>
          <w:sz w:val="20"/>
          <w:szCs w:val="20"/>
          <w:color w:val="auto"/>
        </w:rPr>
      </w:pPr>
    </w:p>
    <w:p>
      <w:pPr>
        <w:ind w:left="660" w:right="580" w:hanging="328"/>
        <w:spacing w:after="0" w:line="349"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0"/>
          <w:szCs w:val="20"/>
          <w:color w:val="auto"/>
        </w:rPr>
        <w:t>Second quarter 2024 hereditary cancer testing revenue in Women's Health grew 31% year-over-year as more practitioners see the benefit of incorporating MyRisk with RiskScore as part of a comprehensive breast cancer risk assessment program.</w:t>
      </w:r>
    </w:p>
    <w:p>
      <w:pPr>
        <w:spacing w:after="0" w:line="2" w:lineRule="exact"/>
        <w:rPr>
          <w:rFonts w:ascii="Arial" w:cs="Arial" w:eastAsia="Arial" w:hAnsi="Arial"/>
          <w:sz w:val="22"/>
          <w:szCs w:val="22"/>
          <w:color w:val="auto"/>
        </w:rPr>
      </w:pPr>
    </w:p>
    <w:p>
      <w:pPr>
        <w:ind w:left="660" w:right="840" w:hanging="328"/>
        <w:spacing w:after="0" w:line="363"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Prenatal testing revenue in the second quarter of 2024 grew 25% year-over-year, reflecting market share gains, expanded coverage by payers, and ongoing initiatives to improve average revenue per test.</w:t>
      </w:r>
    </w:p>
    <w:p>
      <w:pPr>
        <w:spacing w:after="0" w:line="19" w:lineRule="exact"/>
        <w:rPr>
          <w:rFonts w:ascii="Arial" w:cs="Arial" w:eastAsia="Arial" w:hAnsi="Arial"/>
          <w:sz w:val="20"/>
          <w:szCs w:val="20"/>
          <w:color w:val="auto"/>
        </w:rPr>
      </w:pPr>
    </w:p>
    <w:p>
      <w:pPr>
        <w:ind w:left="660" w:hanging="328"/>
        <w:spacing w:after="0" w:line="34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0"/>
          <w:szCs w:val="20"/>
          <w:color w:val="auto"/>
        </w:rPr>
        <w:t>Myriad Genetics launched the Universal Plus Panel for Foresight® Carrier Screen, which includes 39 new conditions and screens up to 272 genes associated with serious inherited conditions.</w:t>
      </w:r>
    </w:p>
    <w:p>
      <w:pPr>
        <w:ind w:left="660" w:right="480" w:hanging="328"/>
        <w:spacing w:after="0" w:line="398"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Ten abstracts, including four on FirstGene, have been accepted to be showcased at the National Society of Genetic Counselors' 43rd annual meeting, which begins on September 17, 2024, in New Orleans, LA.</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Pharmacogenomics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In the pharmacogenomics category, GeneSight test revenue was $43.0 million in the second quarter of 2024.</w:t>
      </w:r>
    </w:p>
    <w:p>
      <w:pPr>
        <w:spacing w:after="0" w:line="121" w:lineRule="exact"/>
        <w:rPr>
          <w:sz w:val="20"/>
          <w:szCs w:val="20"/>
          <w:color w:val="auto"/>
        </w:rPr>
      </w:pPr>
    </w:p>
    <w:p>
      <w:pPr>
        <w:ind w:left="660" w:right="540" w:hanging="328"/>
        <w:spacing w:after="0" w:line="359"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Second quarter 2024 GeneSight testing revenue grew 22% year-over-year, reflecting ongoing initiatives to improve average revenue per test.</w:t>
      </w:r>
    </w:p>
    <w:p>
      <w:pPr>
        <w:ind w:left="660" w:right="100" w:hanging="328"/>
        <w:spacing w:after="0" w:line="367"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Currently, biomarker legislation for state-regulated plans has passed in 15 states. In many of these states, commercial and managed Medicaid payers have modified their coverage policies to include GeneSight and Prolaris. Additionally, there are a number of states that have legislation in process. Myriad Genetics continues to see an increasing number of payors incorporating, or planning to incorporate, GeneSight into their coverage. Notably, this includes Blue Shield of California, a major commercial and managed Medicaid plan, effective July 1,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941" w:right="35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Financial Guidance</w:t>
      </w:r>
    </w:p>
    <w:p>
      <w:pPr>
        <w:spacing w:after="0" w:line="123" w:lineRule="exact"/>
        <w:rPr>
          <w:sz w:val="20"/>
          <w:szCs w:val="20"/>
          <w:color w:val="auto"/>
        </w:rPr>
      </w:pPr>
    </w:p>
    <w:p>
      <w:pPr>
        <w:spacing w:after="0" w:line="365" w:lineRule="auto"/>
        <w:rPr>
          <w:sz w:val="20"/>
          <w:szCs w:val="20"/>
          <w:color w:val="auto"/>
        </w:rPr>
      </w:pPr>
      <w:r>
        <w:rPr>
          <w:rFonts w:ascii="Arial" w:cs="Arial" w:eastAsia="Arial" w:hAnsi="Arial"/>
          <w:sz w:val="20"/>
          <w:szCs w:val="20"/>
          <w:color w:val="auto"/>
        </w:rPr>
        <w:t>Myriad Genetics does not provide forward-looking guidance on a GAAP basis for the measures on which it provides forward-looking non-GAAP guidance as the company is unable to provide a quantitative reconciliation of forward-looking non-GAAP measures to the most directly comparable forward-looking GAAP measure, without unreasonable effort, because of the inherent difficulty in accurately forecasting the occurrence and financial impact of the various adjusting items necessary for such reconciliations that have not yet occurred, are dependent on various factors, are out of the company's control, or cannot be reasonably predicted. Such adjustments include, but are not limited to, real estate optimization and transformation initiatives, certain litigation charges and loss contingencies, costs related to acquisitions/divestitures and the related amortization, impairment and related charges, and other adjustments. For example, stock-based compensation may fluctuate based on the timing of employee stock transactions and unpredictable fluctuations in the company's stock price. Any associated estimate of these items and its impact on GAAP performance could vary materially.</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Below is a table summarizing Myriad Genetics' fiscal year 2024 financial guidance*:</w:t>
      </w:r>
    </w:p>
    <w:p>
      <w:pPr>
        <w:spacing w:after="0" w:line="94"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6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Expected Year-Over-</w:t>
            </w:r>
          </w:p>
        </w:tc>
        <w:tc>
          <w:tcPr>
            <w:tcW w:w="0" w:type="dxa"/>
            <w:vAlign w:val="bottom"/>
          </w:tcPr>
          <w:p>
            <w:pPr>
              <w:spacing w:after="0"/>
              <w:rPr>
                <w:sz w:val="1"/>
                <w:szCs w:val="1"/>
                <w:color w:val="auto"/>
              </w:rPr>
            </w:pPr>
          </w:p>
        </w:tc>
      </w:tr>
      <w:tr>
        <w:trPr>
          <w:trHeight w:val="216"/>
        </w:trPr>
        <w:tc>
          <w:tcPr>
            <w:tcW w:w="5440" w:type="dxa"/>
            <w:vAlign w:val="bottom"/>
            <w:vMerge w:val="continue"/>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FY 2024</w:t>
            </w:r>
          </w:p>
        </w:tc>
        <w:tc>
          <w:tcPr>
            <w:tcW w:w="16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FY 2024</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Change</w:t>
            </w:r>
          </w:p>
        </w:tc>
        <w:tc>
          <w:tcPr>
            <w:tcW w:w="0" w:type="dxa"/>
            <w:vAlign w:val="bottom"/>
          </w:tcPr>
          <w:p>
            <w:pPr>
              <w:spacing w:after="0"/>
              <w:rPr>
                <w:sz w:val="1"/>
                <w:szCs w:val="1"/>
                <w:color w:val="auto"/>
              </w:rPr>
            </w:pPr>
          </w:p>
        </w:tc>
      </w:tr>
      <w:tr>
        <w:trPr>
          <w:trHeight w:val="338"/>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$840</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$845</w:t>
            </w:r>
          </w:p>
        </w:tc>
        <w:tc>
          <w:tcPr>
            <w:tcW w:w="200" w:type="dxa"/>
            <w:vAlign w:val="bottom"/>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- 12%</w:t>
            </w:r>
          </w:p>
        </w:tc>
        <w:tc>
          <w:tcPr>
            <w:tcW w:w="0" w:type="dxa"/>
            <w:vAlign w:val="bottom"/>
          </w:tcPr>
          <w:p>
            <w:pPr>
              <w:spacing w:after="0"/>
              <w:rPr>
                <w:sz w:val="1"/>
                <w:szCs w:val="1"/>
                <w:color w:val="auto"/>
              </w:rPr>
            </w:pPr>
          </w:p>
        </w:tc>
      </w:tr>
      <w:tr>
        <w:trPr>
          <w:trHeight w:val="263"/>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- 70.5%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- 70.5%</w:t>
            </w:r>
          </w:p>
        </w:tc>
        <w:tc>
          <w:tcPr>
            <w:tcW w:w="2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100 - 150 bps</w:t>
            </w:r>
          </w:p>
        </w:tc>
        <w:tc>
          <w:tcPr>
            <w:tcW w:w="0" w:type="dxa"/>
            <w:vAlign w:val="bottom"/>
          </w:tcPr>
          <w:p>
            <w:pPr>
              <w:spacing w:after="0"/>
              <w:rPr>
                <w:sz w:val="1"/>
                <w:szCs w:val="1"/>
                <w:color w:val="auto"/>
              </w:rPr>
            </w:pPr>
          </w:p>
        </w:tc>
      </w:tr>
      <w:tr>
        <w:trPr>
          <w:trHeight w:val="25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OPEX</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$582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$585</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w:t>
            </w:r>
          </w:p>
        </w:tc>
        <w:tc>
          <w:tcPr>
            <w:tcW w:w="0" w:type="dxa"/>
            <w:vAlign w:val="bottom"/>
          </w:tcPr>
          <w:p>
            <w:pPr>
              <w:spacing w:after="0"/>
              <w:rPr>
                <w:sz w:val="1"/>
                <w:szCs w:val="1"/>
                <w:color w:val="auto"/>
              </w:rPr>
            </w:pPr>
          </w:p>
        </w:tc>
      </w:tr>
      <w:tr>
        <w:trPr>
          <w:trHeight w:val="263"/>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$35</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w:t>
            </w:r>
          </w:p>
        </w:tc>
        <w:tc>
          <w:tcPr>
            <w:tcW w:w="0" w:type="dxa"/>
            <w:vAlign w:val="bottom"/>
          </w:tcPr>
          <w:p>
            <w:pPr>
              <w:spacing w:after="0"/>
              <w:rPr>
                <w:sz w:val="1"/>
                <w:szCs w:val="1"/>
                <w:color w:val="auto"/>
              </w:rPr>
            </w:pPr>
          </w:p>
        </w:tc>
      </w:tr>
      <w:tr>
        <w:trPr>
          <w:trHeight w:val="243"/>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EPS***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$0.05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$0.12</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$0.39</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40" w:hanging="472"/>
        <w:spacing w:after="0"/>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currency rates as of August 6, 2024.</w:t>
      </w:r>
    </w:p>
    <w:p>
      <w:pPr>
        <w:spacing w:after="0" w:line="55" w:lineRule="exact"/>
        <w:rPr>
          <w:sz w:val="20"/>
          <w:szCs w:val="20"/>
          <w:color w:val="auto"/>
        </w:rPr>
      </w:pPr>
    </w:p>
    <w:p>
      <w:pPr>
        <w:ind w:left="1040" w:right="400" w:hanging="472"/>
        <w:spacing w:after="0" w:line="261" w:lineRule="auto"/>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defined as Net Income (loss) plus income tax expense (benefit), total other income (expense), non-cash operating expenses, such as amortization of intangible assets, depreciation, impairment of long-lived assets, and share-based compensation expense, and one-time expenses such as expenses from real estate optimization initiatives, transformation initiatives, legal settlements, and divestitures and acquisitions.</w:t>
      </w:r>
    </w:p>
    <w:p>
      <w:pPr>
        <w:spacing w:after="0" w:line="14" w:lineRule="exact"/>
        <w:rPr>
          <w:rFonts w:ascii="Times New Roman" w:cs="Times New Roman" w:eastAsia="Times New Roman" w:hAnsi="Times New Roman"/>
          <w:sz w:val="14"/>
          <w:szCs w:val="14"/>
          <w:color w:val="auto"/>
        </w:rPr>
      </w:pPr>
    </w:p>
    <w:p>
      <w:pPr>
        <w:ind w:left="1040" w:hanging="472"/>
        <w:spacing w:after="0"/>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Full-year 2024 adjusted EPS is based on a 91 million share count.</w:t>
      </w:r>
    </w:p>
    <w:p>
      <w:pPr>
        <w:spacing w:after="0" w:line="200" w:lineRule="exact"/>
        <w:rPr>
          <w:sz w:val="20"/>
          <w:szCs w:val="20"/>
          <w:color w:val="auto"/>
        </w:rPr>
      </w:pPr>
    </w:p>
    <w:p>
      <w:pPr>
        <w:spacing w:after="0" w:line="221" w:lineRule="exact"/>
        <w:rPr>
          <w:sz w:val="20"/>
          <w:szCs w:val="20"/>
          <w:color w:val="auto"/>
        </w:rPr>
      </w:pPr>
    </w:p>
    <w:p>
      <w:pPr>
        <w:ind w:right="220"/>
        <w:spacing w:after="0" w:line="384" w:lineRule="auto"/>
        <w:rPr>
          <w:sz w:val="20"/>
          <w:szCs w:val="20"/>
          <w:color w:val="auto"/>
        </w:rPr>
      </w:pPr>
      <w:r>
        <w:rPr>
          <w:rFonts w:ascii="Arial" w:cs="Arial" w:eastAsia="Arial" w:hAnsi="Arial"/>
          <w:sz w:val="20"/>
          <w:szCs w:val="20"/>
          <w:color w:val="auto"/>
        </w:rPr>
        <w:t>These projections are forward-looking statements and are subject to the risks summarized in the safe harbor statement at the end of this press release.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w:t>
      </w:r>
    </w:p>
    <w:p>
      <w:pPr>
        <w:spacing w:after="0" w:line="123" w:lineRule="exact"/>
        <w:rPr>
          <w:sz w:val="20"/>
          <w:szCs w:val="20"/>
          <w:color w:val="auto"/>
        </w:rPr>
      </w:pPr>
    </w:p>
    <w:p>
      <w:pPr>
        <w:ind w:right="40"/>
        <w:spacing w:after="0" w:line="367" w:lineRule="auto"/>
        <w:rPr>
          <w:sz w:val="20"/>
          <w:szCs w:val="20"/>
          <w:color w:val="auto"/>
        </w:rPr>
      </w:pPr>
      <w:r>
        <w:rPr>
          <w:rFonts w:ascii="Arial" w:cs="Arial" w:eastAsia="Arial" w:hAnsi="Arial"/>
          <w:sz w:val="20"/>
          <w:szCs w:val="20"/>
          <w:color w:val="auto"/>
        </w:rPr>
        <w:t>A conference call will be held today, Tuesday, August 6, 2024, at 4:30 p.m. EDT to discuss Myriad Genetics’ financial results and business developments for the second quarter 2024. A live webcast of the conference call can be accessed on Myriad Genetics' Investor Relations website at investor.myriad.com. To participate in the live conference call via telephone, please register at https://register.vevent.com/register/BI620080625d0e42be9b313c17391abf61. Upon registering, a dial-in number and unique PIN will be provided to join the conference call. Following the conference call, an archived webcast of the call will be available at investor.myriad.com.</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80"/>
          </w:cols>
          <w:pgMar w:left="320" w:top="939" w:right="39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About Myriad Genetics</w:t>
      </w:r>
    </w:p>
    <w:p>
      <w:pPr>
        <w:spacing w:after="0" w:line="123" w:lineRule="exact"/>
        <w:rPr>
          <w:sz w:val="20"/>
          <w:szCs w:val="20"/>
          <w:color w:val="auto"/>
        </w:rPr>
      </w:pPr>
    </w:p>
    <w:p>
      <w:pPr>
        <w:spacing w:after="0" w:line="370" w:lineRule="auto"/>
        <w:rPr>
          <w:sz w:val="20"/>
          <w:szCs w:val="20"/>
          <w:color w:val="auto"/>
        </w:rPr>
      </w:pPr>
      <w:r>
        <w:rPr>
          <w:rFonts w:ascii="Arial" w:cs="Arial" w:eastAsia="Arial" w:hAnsi="Arial"/>
          <w:sz w:val="20"/>
          <w:szCs w:val="20"/>
          <w:color w:val="auto"/>
        </w:rPr>
        <w:t xml:space="preserve">Myriad Genetics is a leading genetic testing and precision medicine company dedicated to advancing health and well-being for all. Myriad Genetics provides insights that help people take control of their health and enable healthcare providers to better detect, treat, and prevent disease. Myriad Genetics develops and offers genetic tests that help assess the risk of developing disease or disease progression and guide treatment decisions across medical specialties where critical genetic insights can significantly improve patient care and lower healthcare costs. For more information, visit </w:t>
      </w:r>
      <w:r>
        <w:rPr>
          <w:rFonts w:ascii="Arial" w:cs="Arial" w:eastAsia="Arial" w:hAnsi="Arial"/>
          <w:sz w:val="21"/>
          <w:szCs w:val="21"/>
          <w:u w:val="single" w:color="auto"/>
          <w:color w:val="auto"/>
        </w:rPr>
        <w:t>www.myriad.com</w:t>
      </w:r>
      <w:r>
        <w:rPr>
          <w:rFonts w:ascii="Arial" w:cs="Arial" w:eastAsia="Arial" w:hAnsi="Arial"/>
          <w:sz w:val="20"/>
          <w:szCs w:val="20"/>
          <w:color w:val="auto"/>
        </w:rPr>
        <w:t>.</w:t>
      </w:r>
    </w:p>
    <w:p>
      <w:pPr>
        <w:spacing w:after="0" w:line="208" w:lineRule="exact"/>
        <w:rPr>
          <w:sz w:val="20"/>
          <w:szCs w:val="20"/>
          <w:color w:val="auto"/>
        </w:rPr>
      </w:pPr>
    </w:p>
    <w:p>
      <w:pPr>
        <w:spacing w:after="0" w:line="369" w:lineRule="auto"/>
        <w:rPr>
          <w:sz w:val="20"/>
          <w:szCs w:val="20"/>
          <w:color w:val="auto"/>
        </w:rPr>
      </w:pPr>
      <w:r>
        <w:rPr>
          <w:rFonts w:ascii="Arial" w:cs="Arial" w:eastAsia="Arial" w:hAnsi="Arial"/>
          <w:sz w:val="20"/>
          <w:szCs w:val="20"/>
          <w:color w:val="auto"/>
        </w:rPr>
        <w:t>Myriad, the Myriad logo, BRACAnalysis, BRACAnalysis CDx, Colaris, ColarisAP,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GeneSight, and EndoPredict are registered trademarks or trademarks of Myriad Genetics, Inc. All third-party marks—</w:t>
      </w:r>
      <w:r>
        <w:rPr>
          <w:rFonts w:ascii="Arial" w:cs="Arial" w:eastAsia="Arial" w:hAnsi="Arial"/>
          <w:sz w:val="11"/>
          <w:szCs w:val="11"/>
          <w:color w:val="auto"/>
        </w:rPr>
        <w:t>®</w:t>
      </w:r>
      <w:r>
        <w:rPr>
          <w:rFonts w:ascii="Arial" w:cs="Arial" w:eastAsia="Arial" w:hAnsi="Arial"/>
          <w:sz w:val="20"/>
          <w:szCs w:val="20"/>
          <w:color w:val="auto"/>
        </w:rPr>
        <w:t xml:space="preserve"> and </w:t>
      </w:r>
      <w:r>
        <w:rPr>
          <w:rFonts w:ascii="Arial" w:cs="Arial" w:eastAsia="Arial" w:hAnsi="Arial"/>
          <w:sz w:val="11"/>
          <w:szCs w:val="11"/>
          <w:color w:val="auto"/>
        </w:rPr>
        <w:t>™</w:t>
      </w:r>
      <w:r>
        <w:rPr>
          <w:rFonts w:ascii="Arial" w:cs="Arial" w:eastAsia="Arial" w:hAnsi="Arial"/>
          <w:sz w:val="20"/>
          <w:szCs w:val="20"/>
          <w:color w:val="auto"/>
        </w:rPr>
        <w:t>—are the property of their respective owners. © 2024 Myriad Genetics, Inc.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060"/>
          </w:cols>
          <w:pgMar w:left="320" w:top="939" w:right="5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 by Product (Unaudited)</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9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WH</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ONC</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PGx</w:t>
            </w: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WH</w:t>
            </w:r>
          </w:p>
        </w:tc>
        <w:tc>
          <w:tcPr>
            <w:tcW w:w="1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ONC</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3"/>
              </w:rPr>
              <w:t>PGx</w:t>
            </w:r>
          </w:p>
        </w:tc>
        <w:tc>
          <w:tcPr>
            <w:tcW w:w="1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2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Hereditary Cancer</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Tumor Profiling</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2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Prenatal</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20" w:type="dxa"/>
            <w:vAlign w:val="bottom"/>
          </w:tcPr>
          <w:p>
            <w:pPr>
              <w:spacing w:after="0"/>
              <w:rPr>
                <w:sz w:val="19"/>
                <w:szCs w:val="19"/>
                <w:color w:val="auto"/>
              </w:rPr>
            </w:pPr>
          </w:p>
        </w:tc>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Pharmacogenomics</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8"/>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4"/>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WH</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ONC</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PGx</w:t>
            </w:r>
          </w:p>
        </w:tc>
        <w:tc>
          <w:tcPr>
            <w:tcW w:w="1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WH</w:t>
            </w:r>
          </w:p>
        </w:tc>
        <w:tc>
          <w:tcPr>
            <w:tcW w:w="1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ONC</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3"/>
              </w:rPr>
              <w:t>PGx</w:t>
            </w:r>
          </w:p>
        </w:tc>
        <w:tc>
          <w:tcPr>
            <w:tcW w:w="1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2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Hereditary Cancer</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Tumor Profiling</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Prenatal</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20" w:type="dxa"/>
            <w:vAlign w:val="bottom"/>
          </w:tcPr>
          <w:p>
            <w:pPr>
              <w:spacing w:after="0"/>
              <w:rPr>
                <w:sz w:val="19"/>
                <w:szCs w:val="19"/>
                <w:color w:val="auto"/>
              </w:rPr>
            </w:pPr>
          </w:p>
        </w:tc>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Pharmacogenomics</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8"/>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Units: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WH = Women’s Health</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ONC = Oncology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PGx = Pharmacogenomics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Categories: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Hereditary Cancer – MyRisk, BRACAnalysis, BRACAnalysis CDx</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Tumor Profiling – myChoice CDx, Prolaris, Precise Tumor, EndoPredict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Prenatal – Foresight, Prequel, SneakPeek</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Pharmacogenomics – GeneSight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20" w:top="887"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400" w:type="dxa"/>
            <w:vAlign w:val="bottom"/>
            <w:gridSpan w:val="4"/>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5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Testing revenue</w:t>
            </w:r>
          </w:p>
        </w:tc>
        <w:tc>
          <w:tcPr>
            <w:tcW w:w="9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testing revenue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settlements</w:t>
            </w:r>
          </w:p>
        </w:tc>
        <w:tc>
          <w:tcPr>
            <w:tcW w:w="9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loss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 before income tax</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9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73" w:right="339" w:bottom="1440" w:gutter="0" w:footer="0" w:header="0"/>
        </w:sectPr>
      </w:pPr>
    </w:p>
    <w:bookmarkStart w:id="12" w:name="page13"/>
    <w:bookmarkEnd w:id="12"/>
    <w:p>
      <w:pPr>
        <w:jc w:val="center"/>
        <w:ind w:left="368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7"/>
          <w:szCs w:val="17"/>
          <w:color w:val="auto"/>
        </w:rPr>
        <w:t>Condensed Consolidated Balance Sheets (unaudited)</w:t>
      </w:r>
    </w:p>
    <w:p>
      <w:pPr>
        <w:spacing w:after="0" w:line="21"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color w:val="auto"/>
        </w:rPr>
        <w:t>(in millions, except share information)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Marketable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Trade accounts receivable</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Prepaid taxes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Assets held for sale</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net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Current maturities of operating lease liabilities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Liabilities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90.9 and 89.9 shares outstanding at June 30, 2024 and December 31, 2023, respectively</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684"/>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70"/>
        </w:trPr>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0"/>
        </w:trPr>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70"/>
        </w:trPr>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70"/>
        </w:trPr>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70"/>
        </w:trPr>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70"/>
        </w:trPr>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r>
      <w:tr>
        <w:trPr>
          <w:trHeight w:val="27"/>
        </w:trPr>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70"/>
        </w:trPr>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70"/>
        </w:trPr>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70"/>
        </w:trPr>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r>
      <w:tr>
        <w:trPr>
          <w:trHeight w:val="270"/>
        </w:trPr>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w:t>
            </w:r>
          </w:p>
        </w:tc>
      </w:tr>
      <w:tr>
        <w:trPr>
          <w:trHeight w:val="27"/>
        </w:trPr>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77"/>
        </w:trPr>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30"/>
        </w:trPr>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4"/>
        </w:trPr>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7"/>
        </w:trPr>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70"/>
        </w:trPr>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70"/>
        </w:trPr>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56"/>
        </w:trPr>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37"/>
        </w:trPr>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r>
      <w:tr>
        <w:trPr>
          <w:trHeight w:val="27"/>
        </w:trPr>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696"/>
        </w:trPr>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0"/>
        </w:trPr>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w:t>
            </w:r>
          </w:p>
        </w:tc>
      </w:tr>
      <w:tr>
        <w:trPr>
          <w:trHeight w:val="270"/>
        </w:trPr>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r>
      <w:tr>
        <w:trPr>
          <w:trHeight w:val="27"/>
        </w:trPr>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w:t>
            </w:r>
          </w:p>
        </w:tc>
      </w:tr>
      <w:tr>
        <w:trPr>
          <w:trHeight w:val="27"/>
        </w:trPr>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6"/>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w:t>
            </w:r>
          </w:p>
        </w:tc>
      </w:tr>
      <w:tr>
        <w:trPr>
          <w:trHeight w:val="27"/>
        </w:trPr>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520" w:space="720"/>
            <w:col w:w="2980"/>
          </w:cols>
          <w:pgMar w:left="340" w:top="88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2200" w:type="dxa"/>
            <w:vAlign w:val="bottom"/>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7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r>
      <w:tr>
        <w:trPr>
          <w:trHeight w:val="232"/>
        </w:trPr>
        <w:tc>
          <w:tcPr>
            <w:tcW w:w="57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 cash equivalents, and restricted cash</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 classified as held for sale</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8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105.6</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8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101.2</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112.7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1"/>
        </w:trPr>
        <w:tc>
          <w:tcPr>
            <w:tcW w:w="5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130"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Safe Harbor Statement</w:t>
      </w:r>
    </w:p>
    <w:p>
      <w:pPr>
        <w:spacing w:after="0" w:line="123" w:lineRule="exact"/>
        <w:rPr>
          <w:sz w:val="20"/>
          <w:szCs w:val="20"/>
          <w:color w:val="auto"/>
        </w:rPr>
      </w:pPr>
    </w:p>
    <w:p>
      <w:pPr>
        <w:spacing w:after="0" w:line="385"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the company's updated fiscal year 2024 financial guidance, the expectations of trends in financial performance to continue through the year and into 2025, the company's long-term revenue growth target, the company's expectation of additional market share gains in prenatal testing, the company's plans to continue to publish additional clinical validation studies and launch new products, statements relating to the company improving access and ease of use for customers as the company accelerates EMR integrations for new customers and makes progress in its Labs of the Future initiative, and that the company is growing profitably, delivering improved financial results, and continuing to invest in the innovation required to achieve its mission and vision to reach more patients with life-saving precision medicine. These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w:t>
      </w:r>
    </w:p>
    <w:p>
      <w:pPr>
        <w:spacing w:after="0" w:line="194" w:lineRule="exact"/>
        <w:rPr>
          <w:sz w:val="20"/>
          <w:szCs w:val="20"/>
          <w:color w:val="auto"/>
        </w:rPr>
      </w:pPr>
    </w:p>
    <w:p>
      <w:pPr>
        <w:ind w:right="80"/>
        <w:spacing w:after="0" w:line="363" w:lineRule="auto"/>
        <w:rPr>
          <w:sz w:val="20"/>
          <w:szCs w:val="20"/>
          <w:color w:val="auto"/>
        </w:rPr>
      </w:pPr>
      <w:r>
        <w:rPr>
          <w:rFonts w:ascii="Arial" w:cs="Arial" w:eastAsia="Arial" w:hAnsi="Arial"/>
          <w:sz w:val="20"/>
          <w:szCs w:val="20"/>
          <w:color w:val="auto"/>
        </w:rPr>
        <w:t>These risks include, but are not limited to: the risk that sales and profit margins of the company’s existing tests may decline; the risk that the company may not be able to operate its business on a profitable basis; risks related to the company’s ability to achieve certain revenue growth targets and generate sufficient revenue from its existing product portfolio or in launching and commercializing new tests to be profitable; risks related to changes in governmental or private insurers’ coverage and reimbursement levels for the company’s tests or the company’s ability to obtain reimbursement for its new tests at comparable levels to its existing tests; risks related to increased competition and the development of new competing tests; the risk that the company may be unable to develop or achieve commercial success for additional tests in a timely manner, or at all; the risk that the company may not successfully develop new markets or channels for its tests; the risk that licenses to the technology underlying the company’s tests and any future tests are terminated or cannot be maintained on satisfactory terms; risks related to delays or other problems with operating the company’s laboratory testing facilities and the transition of such facilities to the company's new laboratory testing facilities; risks related to public concern over genetic testing in general or the company’s tests in particular; risks related to regulatory requirements or enforcement in the United States and foreign countries and changes in the structure of the healthcare system or healthcare payment systems; risks related to the company’s ability to obtain new corporate collaborations or licenses and acquire or develop new technologies or businesses on satisfactory terms, if at all; risks related to the company’s ability to successfully integrate and derive benefits from any technologies or businesses that it licenses, acquires or develops; the risk that the company is not able to secure additional financing to fund its business, if needed, in a timely manner or on favorable terms, if it all; risks related to the company’s projections or estimates about the potential market opportunity for the company’s current and future products;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20" w:top="939" w:right="359" w:bottom="1440" w:gutter="0" w:footer="0" w:header="0"/>
        </w:sectPr>
      </w:pPr>
    </w:p>
    <w:bookmarkStart w:id="15" w:name="page16"/>
    <w:bookmarkEnd w:id="15"/>
    <w:p>
      <w:pPr>
        <w:spacing w:after="0" w:line="363" w:lineRule="auto"/>
        <w:rPr>
          <w:sz w:val="20"/>
          <w:szCs w:val="20"/>
          <w:color w:val="auto"/>
        </w:rPr>
      </w:pPr>
      <w:r>
        <w:rPr>
          <w:rFonts w:ascii="Arial" w:cs="Arial" w:eastAsia="Arial" w:hAnsi="Arial"/>
          <w:sz w:val="20"/>
          <w:szCs w:val="20"/>
          <w:color w:val="auto"/>
        </w:rPr>
        <w:t>the risk that the company or its licensors may be unable to protect or that third parties will infringe the proprietary technologies underlying the company’s tests; the risk of patent-infringement claims or challenges to the validity of the company’s patents; risks related to changes in intellectual property laws covering the company’s tests, or patents or enforcement, in the United States and foreign countries; risks related to security breaches, loss of data and other disruptions, including from cyberattacks; risks of new, changing and competitive technologies in the United States and internationally and that the company may not be able to keep pace with the rapid technology changes in its industry, or properly leverage new technologies to achieve or sustain competitive advantages in its products; the risk that the company may be unable to comply with financial or operating covenants under the company’s credit or lending agreements; the risk that the company may not be able to maintain effective disclosure controls and procedures and internal control over financial reporting; risks related to current and future investigations, claims or lawsuits, including derivative claims, product or professional liability claims, and risks related to the amount of the company's insurance coverage limits and scope of insurance coverage with respect thereto; and other factors discussed under the heading “Risk Factors” contained in Item 1A of the company’s Annual Report on Form 10-K filed with the U.S. Securities and Exchange Commission (SEC) on February 28, 2024 as updated in the company's Quarterly Report on Form 10-Q filed with the SEC on May 8, 2024, as well as any further updates to those risk factors filed from time to time in the company’s Quarterly Reports on Form 10-Q or Current Reports on Form 8-K. Myriad Genetics is not under any obligation, and it expressly disclaims any obligation, to update or alter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00"/>
          </w:cols>
          <w:pgMar w:left="320" w:top="941" w:right="37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Statement regarding use of non-GAAP financial measures</w:t>
      </w:r>
    </w:p>
    <w:p>
      <w:pPr>
        <w:spacing w:after="0" w:line="123" w:lineRule="exact"/>
        <w:rPr>
          <w:sz w:val="20"/>
          <w:szCs w:val="20"/>
          <w:color w:val="auto"/>
        </w:rPr>
      </w:pPr>
    </w:p>
    <w:p>
      <w:pPr>
        <w:ind w:right="140"/>
        <w:spacing w:after="0" w:line="367" w:lineRule="auto"/>
        <w:rPr>
          <w:sz w:val="20"/>
          <w:szCs w:val="20"/>
          <w:color w:val="auto"/>
        </w:rPr>
      </w:pPr>
      <w:r>
        <w:rPr>
          <w:rFonts w:ascii="Arial" w:cs="Arial" w:eastAsia="Arial" w:hAnsi="Arial"/>
          <w:sz w:val="20"/>
          <w:szCs w:val="20"/>
          <w:color w:val="auto"/>
        </w:rPr>
        <w:t>In this press release, the company’s financial results and financial guidance are provided in accordance with accounting principles generally accepted in the United States (GAAP) and using certain non-GAAP financial measures. Management believes that presentation of operating results using non-GAAP financial measures provides useful supplemental information to investors and facilitates the analysis of the company’s core operating results and comparison of operating results across reporting periods. Management also uses non-GAAP financial measures to establish budgets and to manage the company’s business. A reconciliation of the GAAP financial results to non-GAAP financial results is included in the schedules below and a description of the adjustments made to the GAAP financial measures is included at the end of the schedules.</w:t>
      </w:r>
    </w:p>
    <w:p>
      <w:pPr>
        <w:spacing w:after="0" w:line="198" w:lineRule="exact"/>
        <w:rPr>
          <w:sz w:val="20"/>
          <w:szCs w:val="20"/>
          <w:color w:val="auto"/>
        </w:rPr>
      </w:pPr>
    </w:p>
    <w:p>
      <w:pPr>
        <w:ind w:right="280"/>
        <w:spacing w:after="0" w:line="372" w:lineRule="auto"/>
        <w:rPr>
          <w:sz w:val="20"/>
          <w:szCs w:val="20"/>
          <w:color w:val="auto"/>
        </w:rPr>
      </w:pPr>
      <w:r>
        <w:rPr>
          <w:rFonts w:ascii="Arial" w:cs="Arial" w:eastAsia="Arial" w:hAnsi="Arial"/>
          <w:sz w:val="20"/>
          <w:szCs w:val="20"/>
          <w:color w:val="auto"/>
        </w:rPr>
        <w:t>The company encourages investors to carefully consider its results under GAAP, as well as its supplemental non-GAAP information and the reconciliation between these presentations, to more fully understand its business. Non-GAAP financial results are reported in addition to, and not as a substitute for, or superior to, financial measures calculated in accordance with GAAP.</w:t>
      </w:r>
    </w:p>
    <w:p>
      <w:pPr>
        <w:spacing w:after="0" w:line="208" w:lineRule="exact"/>
        <w:rPr>
          <w:sz w:val="20"/>
          <w:szCs w:val="20"/>
          <w:color w:val="auto"/>
        </w:rPr>
      </w:pPr>
    </w:p>
    <w:p>
      <w:pPr>
        <w:spacing w:after="0" w:line="462" w:lineRule="auto"/>
        <w:rPr>
          <w:sz w:val="20"/>
          <w:szCs w:val="20"/>
          <w:color w:val="auto"/>
        </w:rPr>
      </w:pPr>
      <w:r>
        <w:rPr>
          <w:rFonts w:ascii="Arial" w:cs="Arial" w:eastAsia="Arial" w:hAnsi="Arial"/>
          <w:sz w:val="19"/>
          <w:szCs w:val="19"/>
          <w:color w:val="auto"/>
        </w:rPr>
        <w:t>The company does not forecast GAAP operating expenses, net income (loss) or earnings per share because it cannot predict certain elements that are included in reported GAAP results. Please see above under “Financial Guidance” for a full explanation.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93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data in millions, except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780" w:type="dxa"/>
            <w:vAlign w:val="bottom"/>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8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147.1</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247.7</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compensation</w:t>
            </w: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Gross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70.1 %</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69.0 %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69.3 %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68.3 %</w:t>
            </w:r>
          </w:p>
        </w:tc>
        <w:tc>
          <w:tcPr>
            <w:tcW w:w="0" w:type="dxa"/>
            <w:vAlign w:val="bottom"/>
          </w:tcPr>
          <w:p>
            <w:pPr>
              <w:spacing w:after="0"/>
              <w:rPr>
                <w:sz w:val="1"/>
                <w:szCs w:val="1"/>
                <w:color w:val="auto"/>
              </w:rPr>
            </w:pPr>
          </w:p>
        </w:tc>
      </w:tr>
      <w:tr>
        <w:trPr>
          <w:trHeight w:val="188"/>
        </w:trPr>
        <w:tc>
          <w:tcPr>
            <w:tcW w:w="696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(1) Consists of total revenues less cost of testing revenue from the Condensed Consolidated Statements of Operations.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24"/>
                <w:szCs w:val="24"/>
                <w:color w:val="auto"/>
              </w:rPr>
            </w:pPr>
          </w:p>
        </w:tc>
        <w:tc>
          <w:tcPr>
            <w:tcW w:w="2780" w:type="dxa"/>
            <w:vAlign w:val="bottom"/>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8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Expenses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9"/>
                <w:szCs w:val="9"/>
                <w:color w:val="auto"/>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183.6</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239.4</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413.6</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32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optimization</w:t>
            </w:r>
          </w:p>
        </w:tc>
        <w:tc>
          <w:tcPr>
            <w:tcW w:w="32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32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Expenses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140.8</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right="440" w:firstLine="6"/>
        <w:spacing w:after="0" w:line="261" w:lineRule="auto"/>
        <w:tabs>
          <w:tab w:leader="none" w:pos="2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research and development expense and selling, general and administrative expense, goodwill and lived-asset impairment charges, and legal settlements from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-207010</wp:posOffset>
            </wp:positionV>
            <wp:extent cx="4037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780" w:type="dxa"/>
            <w:vAlign w:val="bottom"/>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8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 (Loss)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(165.9)</w:t>
            </w: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optimization</w:t>
            </w: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78.2</w:t>
            </w:r>
          </w:p>
        </w:tc>
      </w:tr>
      <w:tr>
        <w:trPr>
          <w:trHeight w:val="22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(28.7)</w:t>
            </w:r>
          </w:p>
        </w:tc>
      </w:tr>
      <w:tr>
        <w:trPr>
          <w:trHeight w:val="20"/>
        </w:trPr>
        <w:tc>
          <w:tcPr>
            <w:tcW w:w="4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13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306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18"/>
                <w:szCs w:val="18"/>
                <w:color w:val="auto"/>
              </w:rPr>
            </w:pPr>
          </w:p>
        </w:tc>
        <w:tc>
          <w:tcPr>
            <w:tcW w:w="2640" w:type="dxa"/>
            <w:vAlign w:val="bottom"/>
            <w:gridSpan w:val="4"/>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Adjusted Net Income (Loss) </w:t>
            </w:r>
            <w:r>
              <w:rPr>
                <w:rFonts w:ascii="Times New Roman" w:cs="Times New Roman" w:eastAsia="Times New Roman" w:hAnsi="Times New Roman"/>
                <w:sz w:val="9"/>
                <w:szCs w:val="9"/>
                <w:b w:val="1"/>
                <w:bCs w:val="1"/>
                <w:color w:val="auto"/>
              </w:rPr>
              <w:t>(1)</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optimization</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Tax adjustments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(Loss)</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(Loss) Per Share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(1) To determine Adjusted Earnings (Loss) Per Share, or adjusted EPS.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306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18"/>
                <w:szCs w:val="18"/>
                <w:color w:val="auto"/>
              </w:rPr>
            </w:pPr>
          </w:p>
        </w:tc>
        <w:tc>
          <w:tcPr>
            <w:tcW w:w="2640" w:type="dxa"/>
            <w:vAlign w:val="bottom"/>
            <w:gridSpan w:val="4"/>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52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Real estate optimization</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29"/>
        </w:trPr>
        <w:tc>
          <w:tcPr>
            <w:tcW w:w="52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Interest expense, net of interest income</w:t>
            </w:r>
            <w:r>
              <w:rPr>
                <w:rFonts w:ascii="Times New Roman" w:cs="Times New Roman" w:eastAsia="Times New Roman" w:hAnsi="Times New Roman"/>
                <w:sz w:val="23"/>
                <w:szCs w:val="23"/>
                <w:color w:val="auto"/>
                <w:vertAlign w:val="superscript"/>
              </w:rPr>
              <w:t>(2)</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52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Income tax (benefit) expense</w:t>
            </w:r>
            <w:r>
              <w:rPr>
                <w:rFonts w:ascii="Times New Roman" w:cs="Times New Roman" w:eastAsia="Times New Roman" w:hAnsi="Times New Roman"/>
                <w:sz w:val="23"/>
                <w:szCs w:val="23"/>
                <w:color w:val="auto"/>
                <w:vertAlign w:val="superscript"/>
              </w:rPr>
              <w:t>(3)</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20" w:type="dxa"/>
            <w:vAlign w:val="bottom"/>
            <w:tcBorders>
              <w:top w:val="single" w:sz="8" w:color="auto"/>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bl>
    <w:p>
      <w:pPr>
        <w:ind w:left="20" w:right="260" w:firstLine="6"/>
        <w:spacing w:after="0" w:line="234" w:lineRule="auto"/>
        <w:tabs>
          <w:tab w:leader="none" w:pos="2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optimization includes $0.4 million and $0.9 million for the three and six months ended June 30, 2024, respectively, and $5.8 million of depreciation expense for the six months ended June 30, 2023. No depreciation expense was included for the three months ended June 30, 2023.</w:t>
      </w:r>
    </w:p>
    <w:p>
      <w:pPr>
        <w:spacing w:after="0" w:line="14"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interest expense and interest income from the Condensed Consolidated Statements of Operations.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income tax (benefit) from the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-429895</wp:posOffset>
            </wp:positionV>
            <wp:extent cx="38404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93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Adjusted Free Cash Flow Reconciliation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data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20" w:type="dxa"/>
            <w:vAlign w:val="bottom"/>
            <w:tcBorders>
              <w:bottom w:val="single" w:sz="8" w:color="auto"/>
            </w:tcBorders>
          </w:tcPr>
          <w:p>
            <w:pPr>
              <w:spacing w:after="0"/>
              <w:rPr>
                <w:sz w:val="18"/>
                <w:szCs w:val="18"/>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operations</w:t>
            </w:r>
          </w:p>
        </w:tc>
        <w:tc>
          <w:tcPr>
            <w:tcW w:w="96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optimization</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 payment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cash flow</w:t>
            </w:r>
          </w:p>
        </w:tc>
        <w:tc>
          <w:tcPr>
            <w:tcW w:w="960" w:type="dxa"/>
            <w:vAlign w:val="bottom"/>
            <w:tcBorders>
              <w:top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960" w:type="dxa"/>
            <w:vAlign w:val="bottom"/>
            <w:tcBorders>
              <w:top w:val="single" w:sz="8" w:color="auto"/>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1"/>
        </w:trPr>
        <w:tc>
          <w:tcPr>
            <w:tcW w:w="5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description of the adjustments made to GAAP financial measures:</w:t>
      </w:r>
    </w:p>
    <w:p>
      <w:pPr>
        <w:spacing w:after="0" w:line="3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 amortization of intangible assets – represents recurring amortization charges resulting from the acquisition of intangible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 non-cash equity-based compensation provided to Myriad Genetics employees and directors.</w:t>
      </w:r>
    </w:p>
    <w:p>
      <w:pPr>
        <w:spacing w:after="0" w:line="63" w:lineRule="exact"/>
        <w:rPr>
          <w:rFonts w:ascii="Times New Roman" w:cs="Times New Roman" w:eastAsia="Times New Roman" w:hAnsi="Times New Roman"/>
          <w:sz w:val="18"/>
          <w:szCs w:val="18"/>
          <w:color w:val="auto"/>
        </w:rPr>
      </w:pPr>
    </w:p>
    <w:p>
      <w:pPr>
        <w:ind w:left="660" w:right="140" w:hanging="328"/>
        <w:spacing w:after="0" w:line="31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optimization – costs related to real estate initiatives. Prior to the fourth quarter 2023 reporting period, these costs were included in the transformation initiatives category. With respect to the adjusted free cash flow reconciliation, the cash flow effect of real estate optimizations excludes non-cash items such as accelerated depreciation. These costs include the following:</w:t>
      </w:r>
    </w:p>
    <w:p>
      <w:pPr>
        <w:ind w:left="1300" w:right="100" w:hanging="320"/>
        <w:spacing w:after="0" w:line="313"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June 30, 2024, additional rent as a result of the build-out of our new laboratories in Salt Lake City, Utah, and South Francisco, California, while maintaining our current laboratories in those locations and testing and set-up costs for equipment in our new facilities.</w:t>
      </w:r>
    </w:p>
    <w:p>
      <w:pPr>
        <w:ind w:left="1300" w:right="100" w:hanging="320"/>
        <w:spacing w:after="0" w:line="313"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June 30, 2023, additional rent as a result of the build-out of our new laboratories in Salt Lake City, Utah, and South San Francisco, California, while maintaining our current laboratories in those locations.</w:t>
      </w:r>
    </w:p>
    <w:p>
      <w:pPr>
        <w:jc w:val="both"/>
        <w:ind w:left="1300" w:right="240" w:hanging="320"/>
        <w:spacing w:after="0" w:line="331" w:lineRule="auto"/>
        <w:tabs>
          <w:tab w:leader="none" w:pos="1296"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six months ended June 30, 2024, additional rent as a result of the build-out of our new laboratories in Salt Lake City, Utah, and South Francisco, California, while maintaining our current laboratories in those locations and testing and set-up costs for equipment in our new facilities, lease terminations gains, net of lease termination losses, impairment charges and other abandonment costs.</w:t>
      </w:r>
    </w:p>
    <w:p>
      <w:pPr>
        <w:spacing w:after="0" w:line="1" w:lineRule="exact"/>
        <w:rPr>
          <w:rFonts w:ascii="Times New Roman" w:cs="Times New Roman" w:eastAsia="Times New Roman" w:hAnsi="Times New Roman"/>
          <w:sz w:val="17"/>
          <w:szCs w:val="17"/>
          <w:color w:val="auto"/>
        </w:rPr>
      </w:pPr>
    </w:p>
    <w:p>
      <w:pPr>
        <w:ind w:left="1300" w:right="40" w:hanging="320"/>
        <w:spacing w:after="0" w:line="313"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2023, additional rent as a result of the build-out of our new laboratories in Salt Lake City, Utah, and South San Francisco, California, while maintaining our current laboratories in those locations, and accelerated depreciation in connection with our decision to cease the use of our former corporate headquarters in Salt Lake City, Utah.</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Transformation initiatives – costs related to transformation initiatives including:</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2024, consulting and professional fees.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2023, consulting and professional fees and severance costs related to restructuring.</w:t>
      </w:r>
    </w:p>
    <w:p>
      <w:pPr>
        <w:spacing w:after="0" w:line="63" w:lineRule="exact"/>
        <w:rPr>
          <w:rFonts w:ascii="Times New Roman" w:cs="Times New Roman" w:eastAsia="Times New Roman" w:hAnsi="Times New Roman"/>
          <w:sz w:val="18"/>
          <w:szCs w:val="18"/>
          <w:color w:val="auto"/>
        </w:rPr>
      </w:pPr>
    </w:p>
    <w:p>
      <w:pPr>
        <w:ind w:left="660" w:right="180" w:hanging="328"/>
        <w:spacing w:after="0" w:line="31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charges, net of insurance reimbursement – one-time legal expenses, net of insurance reimbursement. With respect to the adjusted free cash flow reconciliation, the cash flow effect includes cash paid for settlements in the related period.</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 other one-time non-recurring expenses including:</w:t>
      </w:r>
    </w:p>
    <w:p>
      <w:pPr>
        <w:spacing w:after="0" w:line="63" w:lineRule="exact"/>
        <w:rPr>
          <w:rFonts w:ascii="Times New Roman" w:cs="Times New Roman" w:eastAsia="Times New Roman" w:hAnsi="Times New Roman"/>
          <w:sz w:val="18"/>
          <w:szCs w:val="18"/>
          <w:color w:val="auto"/>
        </w:rPr>
      </w:pPr>
    </w:p>
    <w:p>
      <w:pPr>
        <w:ind w:left="1300" w:right="180" w:hanging="320"/>
        <w:spacing w:after="0" w:line="344"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June 30, 2024, changes in the fair value of contingent consideration related to acquisitions from prior years, severance, and other consulting costs.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887" w:right="339" w:bottom="1440" w:gutter="0" w:footer="0" w:header="0"/>
        </w:sectPr>
      </w:pPr>
    </w:p>
    <w:bookmarkStart w:id="20" w:name="page21"/>
    <w:bookmarkEnd w:id="20"/>
    <w:p>
      <w:pPr>
        <w:ind w:left="968" w:right="40" w:hanging="320"/>
        <w:spacing w:after="0" w:line="313"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June 30, 2023, primarily includes changes in the fair value of contingent consideration related to acquisitions from prior years.</w:t>
      </w:r>
    </w:p>
    <w:p>
      <w:pPr>
        <w:ind w:left="968" w:right="400" w:hanging="320"/>
        <w:spacing w:after="0" w:line="313"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2024, primarily includes a gain recognized on acquisition, changes in the fair value of contingent consideration related to acquisitions from prior years, the reclassifications of cumulative translation adjustments to income upon liquidation of an investment in a foreign entity, severance, and costs incurred in connection with executive personnel changes.</w:t>
      </w:r>
    </w:p>
    <w:p>
      <w:pPr>
        <w:ind w:left="968" w:right="140" w:hanging="320"/>
        <w:spacing w:after="0" w:line="313"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2023, consulting and professional fees related to prior year acquisitions and changes in the fair value of contingent consideration related to acquisitions from prior years.</w:t>
      </w:r>
    </w:p>
    <w:p>
      <w:pPr>
        <w:ind w:left="968" w:hanging="320"/>
        <w:spacing w:after="0" w:line="313"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adjusted EBITDA, other adjustments include the items listed above as well as amounts included in other income/expense in the financial statements.</w:t>
      </w: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 depreciation expense recognized on our fixed assets.</w:t>
      </w:r>
    </w:p>
    <w:p>
      <w:pPr>
        <w:spacing w:after="0" w:line="63" w:lineRule="exact"/>
        <w:rPr>
          <w:rFonts w:ascii="Times New Roman" w:cs="Times New Roman" w:eastAsia="Times New Roman" w:hAnsi="Times New Roman"/>
          <w:sz w:val="18"/>
          <w:szCs w:val="18"/>
          <w:color w:val="auto"/>
        </w:rPr>
      </w:pPr>
    </w:p>
    <w:p>
      <w:pPr>
        <w:ind w:left="328" w:right="40" w:hanging="328"/>
        <w:spacing w:after="0" w:line="311" w:lineRule="auto"/>
        <w:tabs>
          <w:tab w:leader="none" w:pos="32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long-lived asset impairment charges – for the three and six months ended June 30, 2024, primarily the impairment of assets held for sale related to the sale of the EndoPredict business to Eurobio Scientific.</w:t>
      </w:r>
    </w:p>
    <w:p>
      <w:pPr>
        <w:spacing w:after="0" w:line="3" w:lineRule="exact"/>
        <w:rPr>
          <w:rFonts w:ascii="Times New Roman" w:cs="Times New Roman" w:eastAsia="Times New Roman" w:hAnsi="Times New Roman"/>
          <w:sz w:val="18"/>
          <w:szCs w:val="18"/>
          <w:color w:val="auto"/>
        </w:rPr>
      </w:pPr>
    </w:p>
    <w:p>
      <w:pPr>
        <w:ind w:left="328" w:right="280" w:hanging="328"/>
        <w:spacing w:after="0" w:line="313" w:lineRule="auto"/>
        <w:tabs>
          <w:tab w:leader="none" w:pos="323"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Contingent consideration payment – for the three months ended June 30, 2024, the payment of contingent consideration related to the previous acquisition of Sividon Diagnostics GmbH.</w:t>
      </w:r>
    </w:p>
    <w:p>
      <w:pPr>
        <w:jc w:val="both"/>
        <w:ind w:left="328" w:right="220" w:hanging="328"/>
        <w:spacing w:after="0" w:line="331" w:lineRule="auto"/>
        <w:tabs>
          <w:tab w:leader="none" w:pos="32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adjustments – tax expense/(benefit) due to non-GAAP adjustments, differences between stock compensation recorded for book purposes as compared to the allowable tax deductions, and valuation allowance recognized against federal and state deferred tax assets in the United States.</w:t>
      </w:r>
    </w:p>
    <w:p>
      <w:pPr>
        <w:ind w:left="968" w:right="600" w:hanging="320"/>
        <w:spacing w:after="0" w:line="313"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a valuation allowance of $63.3 million was not recognized for non-GAAP purposes given our historical and forecasted positive earnings performance.</w:t>
      </w:r>
    </w:p>
    <w:p>
      <w:pPr>
        <w:ind w:left="968" w:right="600" w:hanging="320"/>
        <w:spacing w:after="0" w:line="313"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2023, a valuation allowance of $37.2 million was not recognized for non-GAAP purposes given our historical and forecasted positive earnings performance.</w:t>
      </w:r>
    </w:p>
    <w:p>
      <w:pPr>
        <w:ind w:left="968" w:right="500" w:hanging="320"/>
        <w:spacing w:after="0" w:line="344"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adjusted EBITDA, the income tax expense adjustment includes the income tax expense (benefit) recognized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20"/>
          <w:szCs w:val="20"/>
          <w:color w:val="auto"/>
        </w:rPr>
        <w:t>17</w:t>
      </w:r>
    </w:p>
    <w:sectPr>
      <w:pgSz w:w="11900" w:h="16838" w:orient="portrait"/>
      <w:cols w:equalWidth="0" w:num="1">
        <w:col w:w="10868"/>
      </w:cols>
      <w:pgMar w:left="652" w:top="9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385"/>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
      <w:numFmt w:val="bullet"/>
      <w:start w:val="1"/>
    </w:lvl>
    <w:lvl w:ilvl="1">
      <w:lvlJc w:val="left"/>
      <w:lvlText w:val="◦"/>
      <w:numFmt w:val="bullet"/>
      <w:start w:val="1"/>
    </w:lvl>
  </w:abstractNum>
  <w:abstractNum w:abstractNumId="18">
    <w:nsid w:val="7C83E45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2024-08-06T15:45:48Z</dcterms:created>
  <dcterms:modified xsi:type="dcterms:W3CDTF">2024-08-06T15:45:48Z</dcterms:modified>
</cp:coreProperties>
</file>