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 2026</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MYRIAD GENETICS, INC.</w:t>
      </w:r>
    </w:p>
    <w:p>
      <w:pPr>
        <w:spacing w:after="0" w:line="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363" w:lineRule="exact"/>
        <w:rPr>
          <w:sz w:val="24"/>
          <w:szCs w:val="24"/>
          <w:color w:val="auto"/>
        </w:rPr>
      </w:pPr>
    </w:p>
    <w:tbl>
      <w:tblPr>
        <w:tblLayout w:type="fixed"/>
        <w:tblInd w:w="840" w:type="dxa"/>
        <w:tblCellMar>
          <w:top w:w="0" w:type="dxa"/>
          <w:left w:w="0" w:type="dxa"/>
          <w:bottom w:w="0" w:type="dxa"/>
          <w:right w:w="0" w:type="dxa"/>
        </w:tblCellMar>
      </w:tblPr>
      <w:tr>
        <w:trPr>
          <w:trHeight w:val="227"/>
        </w:trPr>
        <w:tc>
          <w:tcPr>
            <w:tcW w:w="200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0-26642</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8"/>
                <w:szCs w:val="18"/>
                <w:b w:val="1"/>
                <w:bCs w:val="1"/>
                <w:color w:val="auto"/>
              </w:rPr>
              <w:t>87-0494517</w:t>
            </w:r>
          </w:p>
        </w:tc>
      </w:tr>
      <w:tr>
        <w:trPr>
          <w:trHeight w:val="148"/>
        </w:trPr>
        <w:tc>
          <w:tcPr>
            <w:tcW w:w="2000" w:type="dxa"/>
            <w:vAlign w:val="bottom"/>
          </w:tcPr>
          <w:p>
            <w:pPr>
              <w:jc w:val="center"/>
              <w:ind w:right="1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5740" w:type="dxa"/>
            <w:vAlign w:val="bottom"/>
          </w:tcPr>
          <w:p>
            <w:pPr>
              <w:jc w:val="center"/>
              <w:ind w:right="118"/>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480" w:type="dxa"/>
            <w:vAlign w:val="bottom"/>
          </w:tcPr>
          <w:p>
            <w:pPr>
              <w:jc w:val="center"/>
              <w:ind w:left="2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000" w:type="dxa"/>
            <w:vAlign w:val="bottom"/>
          </w:tcPr>
          <w:p>
            <w:pPr>
              <w:jc w:val="center"/>
              <w:ind w:right="142"/>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5740" w:type="dxa"/>
            <w:vAlign w:val="bottom"/>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480" w:type="dxa"/>
            <w:vAlign w:val="bottom"/>
          </w:tcPr>
          <w:p>
            <w:pPr>
              <w:jc w:val="center"/>
              <w:ind w:left="2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322 North 2200 West</w:t>
            </w:r>
          </w:p>
        </w:tc>
        <w:tc>
          <w:tcPr>
            <w:tcW w:w="1480" w:type="dxa"/>
            <w:vAlign w:val="bottom"/>
          </w:tcPr>
          <w:p>
            <w:pPr>
              <w:spacing w:after="0"/>
              <w:rPr>
                <w:sz w:val="24"/>
                <w:szCs w:val="24"/>
                <w:color w:val="auto"/>
              </w:rPr>
            </w:pPr>
          </w:p>
        </w:tc>
      </w:tr>
      <w:tr>
        <w:trPr>
          <w:trHeight w:val="214"/>
        </w:trPr>
        <w:tc>
          <w:tcPr>
            <w:tcW w:w="2000" w:type="dxa"/>
            <w:vAlign w:val="bottom"/>
          </w:tcPr>
          <w:p>
            <w:pPr>
              <w:spacing w:after="0"/>
              <w:rPr>
                <w:sz w:val="18"/>
                <w:szCs w:val="18"/>
                <w:color w:val="auto"/>
              </w:rPr>
            </w:pPr>
          </w:p>
        </w:tc>
        <w:tc>
          <w:tcPr>
            <w:tcW w:w="574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Salt Lake City, Utah 84116</w:t>
            </w:r>
          </w:p>
        </w:tc>
        <w:tc>
          <w:tcPr>
            <w:tcW w:w="1480" w:type="dxa"/>
            <w:vAlign w:val="bottom"/>
          </w:tcPr>
          <w:p>
            <w:pPr>
              <w:spacing w:after="0"/>
              <w:rPr>
                <w:sz w:val="18"/>
                <w:szCs w:val="18"/>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480" w:type="dxa"/>
            <w:vAlign w:val="bottom"/>
          </w:tcPr>
          <w:p>
            <w:pPr>
              <w:spacing w:after="0"/>
              <w:rPr>
                <w:sz w:val="16"/>
                <w:szCs w:val="16"/>
                <w:color w:val="auto"/>
              </w:rPr>
            </w:pPr>
          </w:p>
        </w:tc>
      </w:tr>
      <w:tr>
        <w:trPr>
          <w:trHeight w:val="320"/>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(801) 584-3600</w:t>
            </w:r>
          </w:p>
        </w:tc>
        <w:tc>
          <w:tcPr>
            <w:tcW w:w="1480" w:type="dxa"/>
            <w:vAlign w:val="bottom"/>
          </w:tcPr>
          <w:p>
            <w:pPr>
              <w:spacing w:after="0"/>
              <w:rPr>
                <w:sz w:val="24"/>
                <w:szCs w:val="24"/>
                <w:color w:val="auto"/>
              </w:rPr>
            </w:pPr>
          </w:p>
        </w:tc>
      </w:tr>
      <w:tr>
        <w:trPr>
          <w:trHeight w:val="299"/>
        </w:trPr>
        <w:tc>
          <w:tcPr>
            <w:tcW w:w="2000" w:type="dxa"/>
            <w:vAlign w:val="bottom"/>
          </w:tcPr>
          <w:p>
            <w:pPr>
              <w:spacing w:after="0"/>
              <w:rPr>
                <w:sz w:val="24"/>
                <w:szCs w:val="24"/>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480" w:type="dxa"/>
            <w:vAlign w:val="bottom"/>
          </w:tcPr>
          <w:p>
            <w:pPr>
              <w:spacing w:after="0"/>
              <w:rPr>
                <w:sz w:val="24"/>
                <w:szCs w:val="24"/>
                <w:color w:val="auto"/>
              </w:rPr>
            </w:pPr>
          </w:p>
        </w:tc>
      </w:tr>
      <w:tr>
        <w:trPr>
          <w:trHeight w:val="190"/>
        </w:trPr>
        <w:tc>
          <w:tcPr>
            <w:tcW w:w="2000" w:type="dxa"/>
            <w:vAlign w:val="bottom"/>
          </w:tcPr>
          <w:p>
            <w:pPr>
              <w:spacing w:after="0"/>
              <w:rPr>
                <w:sz w:val="16"/>
                <w:szCs w:val="16"/>
                <w:color w:val="auto"/>
              </w:rPr>
            </w:pPr>
          </w:p>
        </w:tc>
        <w:tc>
          <w:tcPr>
            <w:tcW w:w="5740" w:type="dxa"/>
            <w:vAlign w:val="bottom"/>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480" w:type="dxa"/>
            <w:vAlign w:val="bottom"/>
          </w:tcPr>
          <w:p>
            <w:pPr>
              <w:spacing w:after="0"/>
              <w:rPr>
                <w:sz w:val="16"/>
                <w:szCs w:val="16"/>
                <w:color w:val="auto"/>
              </w:rPr>
            </w:pPr>
          </w:p>
        </w:tc>
      </w:tr>
    </w:tbl>
    <w:p>
      <w:pPr>
        <w:spacing w:after="0" w:line="23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02"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4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26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4"/>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Common Stock, $0.01 par value</w:t>
            </w:r>
          </w:p>
        </w:tc>
        <w:tc>
          <w:tcPr>
            <w:tcW w:w="280" w:type="dxa"/>
            <w:vAlign w:val="bottom"/>
          </w:tcPr>
          <w:p>
            <w:pPr>
              <w:spacing w:after="0"/>
              <w:rPr>
                <w:sz w:val="14"/>
                <w:szCs w:val="14"/>
                <w:color w:val="auto"/>
              </w:rPr>
            </w:pPr>
          </w:p>
        </w:tc>
        <w:tc>
          <w:tcPr>
            <w:tcW w:w="2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MYGN</w:t>
            </w:r>
          </w:p>
        </w:tc>
        <w:tc>
          <w:tcPr>
            <w:tcW w:w="280" w:type="dxa"/>
            <w:vAlign w:val="bottom"/>
          </w:tcPr>
          <w:p>
            <w:pPr>
              <w:spacing w:after="0"/>
              <w:rPr>
                <w:sz w:val="14"/>
                <w:szCs w:val="14"/>
                <w:color w:val="auto"/>
              </w:rPr>
            </w:pPr>
          </w:p>
        </w:tc>
        <w:tc>
          <w:tcPr>
            <w:tcW w:w="4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Nasdaq Global Select Market</w:t>
            </w: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70" w:lineRule="exact"/>
        <w:rPr>
          <w:sz w:val="20"/>
          <w:szCs w:val="20"/>
          <w:color w:val="auto"/>
        </w:rPr>
      </w:pPr>
    </w:p>
    <w:p>
      <w:pPr>
        <w:ind w:firstLine="648"/>
        <w:spacing w:after="0" w:line="245" w:lineRule="auto"/>
        <w:rPr>
          <w:sz w:val="20"/>
          <w:szCs w:val="20"/>
          <w:color w:val="auto"/>
        </w:rPr>
      </w:pPr>
      <w:r>
        <w:rPr>
          <w:rFonts w:ascii="Times New Roman" w:cs="Times New Roman" w:eastAsia="Times New Roman" w:hAnsi="Times New Roman"/>
          <w:sz w:val="18"/>
          <w:szCs w:val="18"/>
          <w:color w:val="auto"/>
        </w:rPr>
        <w:t>On November 2, 2026, Myriad Genetics, Inc. (the “Company”) detected unauthorized access within its information technology network environment. Upon discovery, the Company promptly initiated its incident response procedures to contain the activity, assess and investigate the nature and scope of the incident, and implement appropriate remedial measures, including temporarily suspending its testing operations and order management systems and resetting certain system credentials. The full scope of unauthorized access remains under investigation, including assessing whether any patient records were accessed on systems that contain patient information. The Company has engaged external experts to assist in the investigation. Most of the Company’s systems have returned to normal operations, and, as of the date of this report, the Company does not believe the incident will have a material adverse effect on its business.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56" w:lineRule="exact"/>
        <w:rPr>
          <w:sz w:val="20"/>
          <w:szCs w:val="20"/>
          <w:color w:val="auto"/>
        </w:rPr>
      </w:pPr>
    </w:p>
    <w:p>
      <w:pPr>
        <w:ind w:right="40" w:firstLine="648"/>
        <w:spacing w:after="0" w:line="24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within the meaning of the Private Securities Litigation Reform Act of 1995, including statements relating to the Company’s investigation of the incident and its belief that the incident will not have a material adverse effect on its business. These “forward-looking statements” are management’s present expectations of future events as of the date hereof and are subject to a number of known and unknown risks and uncertainties that could cause actual results, conditions, and events to differ materially and adversely from those anticipated. These risks and uncertainties include, without limitation, risks related to the outcome of the Company’s ongoing assessment of the incident and its ability to address the impact of this incident; legal, regulatory, reputational and financial risks resulting from this incident or additional incidents; and other risks and uncertainties described in the Company’s filings with the U.S. Securities and Exchange Commission, including the Company’s Annual Report on Form 10-K filed on February 24, 2026, as well as any updates to those risk factors filed from time to time in the Company’s Quarterly Reports on Form 10-Q or Current Reports on Form 8-K. The Company is not under any obligation, and it expressly disclaims any obligation, to update or alter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1000125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324" w:lineRule="exact"/>
        <w:rPr>
          <w:sz w:val="20"/>
          <w:szCs w:val="20"/>
          <w:color w:val="auto"/>
        </w:rPr>
      </w:pPr>
    </w:p>
    <w:p>
      <w:pPr>
        <w:ind w:left="20"/>
        <w:spacing w:after="0"/>
        <w:tabs>
          <w:tab w:leader="none" w:pos="6180" w:val="left"/>
          <w:tab w:leader="none" w:pos="6640" w:val="left"/>
        </w:tabs>
        <w:rPr>
          <w:sz w:val="20"/>
          <w:szCs w:val="20"/>
          <w:color w:val="auto"/>
        </w:rPr>
      </w:pPr>
      <w:r>
        <w:rPr>
          <w:rFonts w:ascii="Times New Roman" w:cs="Times New Roman" w:eastAsia="Times New Roman" w:hAnsi="Times New Roman"/>
          <w:sz w:val="18"/>
          <w:szCs w:val="18"/>
          <w:color w:val="auto"/>
        </w:rPr>
        <w:t>Date: November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Benjamin R. Wheeler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34290</wp:posOffset>
            </wp:positionV>
            <wp:extent cx="2906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06395" cy="8255"/>
                    </a:xfrm>
                    <a:prstGeom prst="rect">
                      <a:avLst/>
                    </a:prstGeom>
                    <a:noFill/>
                  </pic:spPr>
                </pic:pic>
              </a:graphicData>
            </a:graphic>
          </wp:anchor>
        </w:drawing>
      </w:r>
    </w:p>
    <w:p>
      <w:pPr>
        <w:spacing w:after="0" w:line="57"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Benjamin R. Wheeler</w:t>
      </w:r>
    </w:p>
    <w:p>
      <w:pPr>
        <w:spacing w:after="0" w:line="63"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2026-11-05T08:07:14Z</dcterms:created>
  <dcterms:modified xsi:type="dcterms:W3CDTF">2026-11-05T08:07:14Z</dcterms:modified>
</cp:coreProperties>
</file>