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Dreismann Heinrich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06/06/2024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15,695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131,648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granted pursuant to Myriad Genetics, Inc.'s 2017 Employee, Director and Consultant Equity Incentive Plan. Each restricted stock unit represents a contingent right to receive one share of common stock and vests upon the earlier of (a) the first anniversary of the date of grant and (b) the date of the next annual meeting of stockholders following such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06/07/2024</w:t>
            </w:r>
          </w:p>
        </w:tc>
        <w:tc>
          <w:tcPr>
            <w:tcW w:w="0" w:type="dxa"/>
            <w:vAlign w:val="bottom"/>
          </w:tcPr>
          <w:p>
            <w:pPr>
              <w:spacing w:after="0"/>
              <w:rPr>
                <w:sz w:val="1"/>
                <w:szCs w:val="1"/>
                <w:color w:val="auto"/>
              </w:rPr>
            </w:pPr>
          </w:p>
        </w:tc>
      </w:tr>
      <w:tr>
        <w:trPr>
          <w:trHeight w:val="87"/>
        </w:trPr>
        <w:tc>
          <w:tcPr>
            <w:tcW w:w="14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Heinrich Dreismann</w:t>
            </w:r>
          </w:p>
        </w:tc>
        <w:tc>
          <w:tcPr>
            <w:tcW w:w="14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20" w:type="dxa"/>
            <w:vAlign w:val="bottom"/>
            <w:tcBorders>
              <w:top w:val="single" w:sz="8" w:color="auto"/>
              <w:bottom w:val="single" w:sz="8" w:color="auto"/>
            </w:tcBorders>
            <w:vMerge w:val="continue"/>
          </w:tcPr>
          <w:p>
            <w:pPr>
              <w:spacing w:after="0"/>
              <w:rPr>
                <w:sz w:val="7"/>
                <w:szCs w:val="7"/>
                <w:color w:val="auto"/>
              </w:rPr>
            </w:pPr>
          </w:p>
        </w:tc>
        <w:tc>
          <w:tcPr>
            <w:tcW w:w="14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9372"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2024-06-07T16:20:42Z</dcterms:created>
  <dcterms:modified xsi:type="dcterms:W3CDTF">2024-06-07T16:20:42Z</dcterms:modified>
</cp:coreProperties>
</file>