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Haas Kevin Richard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322 NORTH 2200 WEST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MYRIAD GENETICS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MYGN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33"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13"/>
                <w:szCs w:val="13"/>
                <w:color w:val="auto"/>
              </w:rPr>
            </w:pPr>
          </w:p>
        </w:tc>
        <w:tc>
          <w:tcPr>
            <w:tcW w:w="3480" w:type="dxa"/>
            <w:vAlign w:val="bottom"/>
            <w:gridSpan w:val="8"/>
          </w:tcPr>
          <w:p>
            <w:pPr>
              <w:ind w:left="1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84116</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jc w:val="center"/>
              <w:ind w:left="68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jc w:val="right"/>
              <w:ind w:right="200"/>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86"/>
              <w:spacing w:after="0"/>
              <w:rPr>
                <w:sz w:val="20"/>
                <w:szCs w:val="20"/>
                <w:color w:val="auto"/>
              </w:rPr>
            </w:pPr>
            <w:r>
              <w:rPr>
                <w:rFonts w:ascii="Times New Roman" w:cs="Times New Roman" w:eastAsia="Times New Roman" w:hAnsi="Times New Roman"/>
                <w:sz w:val="17"/>
                <w:szCs w:val="17"/>
                <w:color w:val="0000FF"/>
              </w:rPr>
              <w:t>03/13/2026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6,412</w:t>
            </w:r>
            <w:r>
              <w:rPr>
                <w:rFonts w:ascii="Times New Roman" w:cs="Times New Roman" w:eastAsia="Times New Roman" w:hAnsi="Times New Roman"/>
                <w:sz w:val="22"/>
                <w:szCs w:val="22"/>
                <w:color w:val="008000"/>
                <w:vertAlign w:val="superscript"/>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4.66</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195,920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86"/>
              <w:spacing w:after="0"/>
              <w:rPr>
                <w:sz w:val="20"/>
                <w:szCs w:val="20"/>
                <w:color w:val="auto"/>
              </w:rPr>
            </w:pPr>
            <w:r>
              <w:rPr>
                <w:rFonts w:ascii="Times New Roman" w:cs="Times New Roman" w:eastAsia="Times New Roman" w:hAnsi="Times New Roman"/>
                <w:sz w:val="17"/>
                <w:szCs w:val="17"/>
                <w:color w:val="0000FF"/>
              </w:rPr>
              <w:t>03/14/2026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4,161</w:t>
            </w:r>
            <w:r>
              <w:rPr>
                <w:rFonts w:ascii="Times New Roman" w:cs="Times New Roman" w:eastAsia="Times New Roman" w:hAnsi="Times New Roman"/>
                <w:sz w:val="22"/>
                <w:szCs w:val="22"/>
                <w:color w:val="008000"/>
                <w:vertAlign w:val="superscript"/>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4.66</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191,759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86"/>
              <w:spacing w:after="0"/>
              <w:rPr>
                <w:sz w:val="20"/>
                <w:szCs w:val="20"/>
                <w:color w:val="auto"/>
              </w:rPr>
            </w:pPr>
            <w:r>
              <w:rPr>
                <w:rFonts w:ascii="Times New Roman" w:cs="Times New Roman" w:eastAsia="Times New Roman" w:hAnsi="Times New Roman"/>
                <w:sz w:val="17"/>
                <w:szCs w:val="17"/>
                <w:color w:val="0000FF"/>
              </w:rPr>
              <w:t>03/15/2026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3,355</w:t>
            </w:r>
            <w:r>
              <w:rPr>
                <w:rFonts w:ascii="Times New Roman" w:cs="Times New Roman" w:eastAsia="Times New Roman" w:hAnsi="Times New Roman"/>
                <w:sz w:val="22"/>
                <w:szCs w:val="22"/>
                <w:color w:val="008000"/>
                <w:vertAlign w:val="superscript"/>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4.66</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188,404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86"/>
              <w:spacing w:after="0"/>
              <w:rPr>
                <w:sz w:val="20"/>
                <w:szCs w:val="20"/>
                <w:color w:val="auto"/>
              </w:rPr>
            </w:pPr>
            <w:r>
              <w:rPr>
                <w:rFonts w:ascii="Times New Roman" w:cs="Times New Roman" w:eastAsia="Times New Roman" w:hAnsi="Times New Roman"/>
                <w:sz w:val="17"/>
                <w:szCs w:val="17"/>
                <w:color w:val="0000FF"/>
              </w:rPr>
              <w:t>03/15/2026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8,382</w:t>
            </w:r>
            <w:r>
              <w:rPr>
                <w:rFonts w:ascii="Times New Roman" w:cs="Times New Roman" w:eastAsia="Times New Roman" w:hAnsi="Times New Roman"/>
                <w:sz w:val="22"/>
                <w:szCs w:val="22"/>
                <w:color w:val="008000"/>
                <w:vertAlign w:val="superscript"/>
              </w:rPr>
              <w:t>(2)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4.66</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180,022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00" w:type="dxa"/>
            <w:vAlign w:val="bottom"/>
            <w:gridSpan w:val="11"/>
          </w:tcPr>
          <w:p>
            <w:pPr>
              <w:jc w:val="center"/>
              <w:ind w:left="48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jc w:val="center"/>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gridSpan w:val="4"/>
          </w:tcPr>
          <w:p>
            <w:pPr>
              <w:ind w:left="4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the Issuer to satisfy tax withholding obligations in connection with the vesting of restricted stock units previously granted to the Reporting Person. The number of shares withheld was determined based on the closing price of Issuer's Common Stock on March 13, 2026.</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the Issuer to satisfy tax withholding obligations in connection with the vesting of performance-based restricted stock units previously granted to the Reporting Person. The number of shares withheld was determined based on the closing price of the Issuer's Common Stock on March 13, 2026.</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Reporting Person is no longer serving in the role of Chief Technology Officer of Myriad Genetics, Inc., effective March 16, 2026, and therefore is no longer subject to Section 16 reporting.</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Justin Hunter For: Kevin</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03/16/2026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Richard Haas</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3872" TargetMode="External"/><Relationship Id="rId14"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2026-03-16T17:00:06Z</dcterms:created>
  <dcterms:modified xsi:type="dcterms:W3CDTF">2026-03-16T17:00:06Z</dcterms:modified>
</cp:coreProperties>
</file>