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333-293681</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130175</wp:posOffset>
            </wp:positionV>
            <wp:extent cx="156019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580" w:right="4560" w:firstLine="345"/>
        <w:spacing w:after="0" w:line="293" w:lineRule="auto"/>
        <w:tabs>
          <w:tab w:leader="none" w:pos="5111" w:val="left"/>
        </w:tabs>
        <w:numPr>
          <w:ilvl w:val="0"/>
          <w:numId w:val="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200,000,000 COMMON STOCK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DEPOSITARY SHARES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DEBT SECURITIES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128270</wp:posOffset>
            </wp:positionV>
            <wp:extent cx="9855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58"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issue up to $200,000,000 aggregate principal amount of common stock, preferred stock, depositary shares, debt securities and/or warrants. This prospectus provides a general description of the securities we may offer. Each time we offer securities, we will provide the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214"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21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“MYGN.” On February 19, 2026, the last reported sale price of our common stock on The Nasdaq Global Select Market was $4.38 per share. Prospective purchasers of common stock are urged to obtain current information as to the market prices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71755</wp:posOffset>
            </wp:positionV>
            <wp:extent cx="985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7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included in any accompanying prospectus supplement or any related free writing prospectus and in the documents incorporated by reference in this prospectus for a discussion of the factors you should carefully consider before deciding to purchase these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71120</wp:posOffset>
            </wp:positionV>
            <wp:extent cx="98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3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43815</wp:posOffset>
            </wp:positionV>
            <wp:extent cx="985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securities unless it is accompanied by a prospectus supplement.</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4, 2026.</w:t>
      </w:r>
    </w:p>
    <w:p>
      <w:pPr>
        <w:sectPr>
          <w:pgSz w:w="11900" w:h="16838" w:orient="portrait"/>
          <w:cols w:equalWidth="0" w:num="1">
            <w:col w:w="11240"/>
          </w:cols>
          <w:pgMar w:left="320" w:top="1427"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120" w:type="dxa"/>
            <w:vAlign w:val="bottom"/>
            <w:gridSpan w:val="6"/>
          </w:tcPr>
          <w:p>
            <w:pPr>
              <w:ind w:left="276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858"/>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276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3051F2"/>
            </w:tcBorders>
          </w:tcPr>
          <w:p>
            <w:pPr>
              <w:jc w:val="right"/>
              <w:spacing w:after="0"/>
              <w:rPr>
                <w:sz w:val="20"/>
                <w:szCs w:val="20"/>
                <w:color w:val="auto"/>
              </w:rPr>
            </w:pPr>
            <w:r>
              <w:rPr>
                <w:rFonts w:ascii="Times New Roman" w:cs="Times New Roman" w:eastAsia="Times New Roman" w:hAnsi="Times New Roman"/>
                <w:sz w:val="17"/>
                <w:szCs w:val="17"/>
                <w:color w:val="3051F2"/>
                <w:w w:val="70"/>
              </w:rPr>
              <w:t>2</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3051F2"/>
                <w:w w:val="70"/>
              </w:rPr>
              <w:t>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2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3051F2"/>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7"/>
                <w:szCs w:val="17"/>
                <w:color w:val="3051F2"/>
                <w:w w:val="70"/>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2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7"/>
                <w:szCs w:val="17"/>
                <w:color w:val="3051F2"/>
                <w:w w:val="70"/>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gridSpan w:val="3"/>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1080" w:type="dxa"/>
            <w:vAlign w:val="bottom"/>
            <w:tcBorders>
              <w:bottom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7"/>
                <w:szCs w:val="17"/>
                <w:color w:val="3051F2"/>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2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7"/>
                <w:szCs w:val="17"/>
                <w:color w:val="3051F2"/>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600" w:type="dxa"/>
            <w:vAlign w:val="bottom"/>
            <w:tcBorders>
              <w:bottom w:val="single" w:sz="8" w:color="0000FF"/>
            </w:tcBorders>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DESCRIPTION OF COMMON STOCK</w:t>
            </w:r>
          </w:p>
        </w:tc>
        <w:tc>
          <w:tcPr>
            <w:tcW w:w="2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77"/>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3051F2"/>
                <w:w w:val="88"/>
              </w:rPr>
              <w:t>14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DESCRIPTION OF PREFERRED STOCK</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3051F2"/>
                <w:w w:val="88"/>
              </w:rPr>
              <w:t>15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DESCRIPTION OF DEPOSITARY SHARES</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Times New Roman" w:cs="Times New Roman" w:eastAsia="Times New Roman" w:hAnsi="Times New Roman"/>
                <w:sz w:val="18"/>
                <w:szCs w:val="18"/>
                <w:color w:val="3051F2"/>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Times New Roman" w:cs="Times New Roman" w:eastAsia="Times New Roman" w:hAnsi="Times New Roman"/>
                <w:sz w:val="18"/>
                <w:szCs w:val="18"/>
                <w:color w:val="3051F2"/>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Times New Roman" w:cs="Times New Roman" w:eastAsia="Times New Roman" w:hAnsi="Times New Roman"/>
                <w:sz w:val="18"/>
                <w:szCs w:val="18"/>
                <w:color w:val="3051F2"/>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EXPERTS</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Times New Roman" w:cs="Times New Roman" w:eastAsia="Times New Roman" w:hAnsi="Times New Roman"/>
                <w:sz w:val="18"/>
                <w:szCs w:val="18"/>
                <w:color w:val="3051F2"/>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Times New Roman" w:cs="Times New Roman" w:eastAsia="Times New Roman" w:hAnsi="Times New Roman"/>
                <w:sz w:val="18"/>
                <w:szCs w:val="18"/>
                <w:color w:val="3051F2"/>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0000FF"/>
            </w:tcBorders>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INCORPORATION OF DOCUMENTS BY REFERENCE</w:t>
            </w:r>
          </w:p>
        </w:tc>
        <w:tc>
          <w:tcPr>
            <w:tcW w:w="2920" w:type="dxa"/>
            <w:vAlign w:val="bottom"/>
            <w:gridSpan w:val="2"/>
          </w:tcPr>
          <w:p>
            <w:pPr>
              <w:spacing w:after="0"/>
              <w:rPr>
                <w:sz w:val="18"/>
                <w:szCs w:val="18"/>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Times New Roman" w:cs="Times New Roman" w:eastAsia="Times New Roman" w:hAnsi="Times New Roman"/>
                <w:sz w:val="18"/>
                <w:szCs w:val="18"/>
                <w:color w:val="3051F2"/>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40" w:top="14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process, we may sell any combination of the securities described in this prospectus in one or more offerings up to a total dollar amount of $200,000,000. We have provided to you in this prospectus a general description of the securities we may offer. Each time we sell securities, we will provide a prospectus supplement to this prospectus that will contain specific information about the terms of that offering. We may also authorize one or more free writing prospectuses to be provided to you that may contain material information relating to these offerings.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and any related free writing prospectus may also add, update or change information contained in this prospectus. You should read both this prospectus and the applicable prospectus supplement and any related free writing prospectus together with additional information under the heading “Where You Can Find More Information.”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securities, unless it is accompanied by a prospectus supplement covering those securities. To the extent there are inconsistencies between any prospectus supplement, any related free writing prospectus, this prospectus and any documents incorporated by reference, the document with the most recent date will control.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and any related free writing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 “our,” “Myriad” and the “Company” as used in this prospectus refer to Myriad Genetics, Inc., a Delaware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and any related free writing prospectus. Investing in our securities involves risks. Therefore, carefully consider the risk factors set forth in any prospectus supplements, any related free writing prospectus and in our most recent annual and quarterly filings with the SEC, as well as other information in this prospectus and any prospectus supplements and any related free writing prospectus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Myriad Genetics, Inc.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there are significant growth opportunities in addressing the pressing healthcare needs of patient populations through innovative molecular diagnostic testing and precision medicine solutions and services. 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market with a priority for high growth applications; (ii) growing our Prenatal Health and Mental Health revenues at or above market growth; and (iii) delivering sustained profitable growth through financial and operational discipline and leveraging our operating model. 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 We continue to invest in clinical evidence development to support the growth of our existing products and launch of new products, such as FirstGene and Precise MRD. We believe these investments in product innovation position us to expand our addressable markets and differentiate our portfolio of testing solutions.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continue to develop and enhance our products and services to support growth, improve patient and provider experience, and reach more patients of all backgrounds. In addition, by investing in technology-enabled commercial tools, advanced automation, and standardized processes and technology, we believe we will be able to reduce complexity and cost, while enhancing our ability to scale and grow. We are committed to making molecular testing accessible and actionable for patients and providers while driving long-term growth and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23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Our principal executive offices are located at 322 North 2200 West, Salt Lake City, Utah 84116. Our telephone number is</w:t>
      </w:r>
    </w:p>
    <w:p>
      <w:pPr>
        <w:spacing w:after="0" w:line="27" w:lineRule="exact"/>
        <w:rPr>
          <w:sz w:val="20"/>
          <w:szCs w:val="20"/>
          <w:color w:val="auto"/>
        </w:rPr>
      </w:pPr>
    </w:p>
    <w:p>
      <w:pPr>
        <w:jc w:val="both"/>
        <w:ind w:firstLine="8"/>
        <w:spacing w:after="0" w:line="255" w:lineRule="auto"/>
        <w:tabs>
          <w:tab w:leader="none" w:pos="4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584-3600. Our website is http://www.myriad.com. Our annual reports on Form 10-K, quarterly reports on Form 10-Q and current reports on Form 8-K which have been filed with the SEC are available to you free of charge through a hyperlink on our internet website. The information on our website or any other website is not incorporated by reference into this prospectus and does not constitute a part of this prospectus.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This prospectus and the documents incorporated by reference herein may contain trademarks of other companies.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our common stock, preferred shares, and depositary shares, as well as various series of debt securities and/or warrants or rights to purchase any of such securities, either individually or in units, with a total value of up to $200,000,000,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21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also may add, update or change information contained in this prospectus or in documents we have incorporated by reference into this prospectus. However, no prospectus supplement or any related free writing prospectus will fundamentally change the terms that are set forth in this prospectus or offer a security that is not registered and described in this prospectus at the time of its effectiveness.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 or any related free writing prospectus:</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Investing in our securities is very risky. Please carefully consider the risk factors described in our periodic reports filed with the SEC, including our Annual Report on Form 10-K for the fiscal year ended December 31, 2025, which is incorporated by reference in this prospectus. Before making an investment decision, you should carefully consider these risks as well as other information we include or incorporate by reference in this prospectus or include in any applicable prospectus supplement or any related free writing prospectus. Additional risks and uncertainties not presently known to us or that we deem currently immaterial may also impair our business operations. You should be able to bear a complete loss of your investment.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This prospectus contains such “forward-looking statements” within the meaning of the Private Securities Litigation Reform Act of 1995.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w:t>
      </w:r>
    </w:p>
    <w:p>
      <w:pPr>
        <w:spacing w:after="0" w:line="21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sales and profit margins of our existing tests may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operate our business on a profitable basis;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achieve certain revenue growth targets and generate sufficient revenue from our existing product portfolio or in launching and commercializing new tests to be profitable;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recent changes in our senior management team and the successful implementation of the company's strategic plan;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governmental or private insurers’ coverage and reimbursement levels for our tests or our ability to obtain reimbursement for our new tests at comparable levels to our existing tests;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increased competition and the development of new competing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develop or achieve commercial success for additional tests in a timely manner,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successfully develop new markets or channels for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not able to secure additional financing to fund our business, if needed, in a timely manner or on favorable terms, if it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licenses to the technology underlying our tests and any future tests are terminated or cannot be maintained on satisfactory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or other problems with operating our laboratory testing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public concern over genetic testing in general or our tests in particular;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regulatory requirements or enforcement in the United States and foreign countries and changes in the structure of the healthcare system or healthcare payment systems;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obtain new corporate collaborations or licenses and acquire or develop new technologies or businesses on satisfactory terms, if at all;</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successfully integrate and derive benefits from any technologies or businesses that we license, acquire, or develop;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projections or estimates about the potential market opportunity for our current and future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or our licensors may be unable to protect or that third parties will infringe the proprietary technologies underlying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patent-infringement claims or challenges to the validity of our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intellectual property laws covering our tests, or patents or enforcement,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security breaches, loss of data and other disruptions, including from cyberattacks and other cybersecurity incidents;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comply with financial or operating covenants under our credit or lending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maintain effective disclosure controls and procedures and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8" w:name="page9"/>
    <w:bookmarkEnd w:id="8"/>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jc w:val="both"/>
        <w:ind w:left="660" w:hanging="328"/>
        <w:spacing w:after="0" w:line="277"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under the heading “Risk Factors” contained in Part I, Item 1A of our Annual Report on Form 10-K for the year ended December 31, 2025 filed with the SEC on February 24, 2026, as revised or supplemented by our subsequent quarterly reports on Form 10-Q or our subsequent current reports on Form 8-K, as well as any amendments thereto, as filed with the SEC and which are incorporated herein by reference.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by reference herein might not occur. Stockholders are cautioned not to place undue reliance on the forward-looking statements, which speak only as of the date of this prospectus. We are not under any obligation, and we expressly disclaim any obligation, to update or alter any forward-looking statements, whether as a result of new information, future events or otherwise except as required by applicable law. All forward-looking statements in this prospectus, or in any document incorporated by reference herein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or any related free writing prospectus, we expect to use the net proceeds from the sale of securities for general corporate purposes, including, without limitation, the financing of our operations, research and development, the development and commercialization of new products and new technologies, the possible repayment of indebtedness, and possible business acquisitions. Our management will have broad discretion in any use of proceeds from an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w:t>
      </w:r>
    </w:p>
    <w:p>
      <w:pPr>
        <w:spacing w:after="0" w:line="21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181"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Stock Market LLC or any other securities exchange or quotation or trading service on which such securities may be listed, quoted, or traded at the time of sale; and/or</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Nasdaq Stock Market LLC or such other securities exchanges or quotation or trading services.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“at-the-market offerings,” if any, may be conducted by underwriters acting as principal or agent.</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will describe the terms of the offering of the securities, including, to the extent applicable:</w:t>
      </w:r>
    </w:p>
    <w:p>
      <w:pPr>
        <w:spacing w:after="0" w:line="18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 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In the prospectus supplement, we will name any agent involved in the offering and sale of securities and describe any commissions and other compensation we will pay the agent. Unless the prospectus supplement states otherwise, our agent will act on a best-efforts basis for the period of its appointment.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in the prospectus supplement the conditions to these contracts and the commissions we must pay for solicitation of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all securities we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Stock Market LLC.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agents and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Stock Market LLC may engage in passive market-making transactions in the securities on the Nasdaq Stock Market LLC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and certain provisions of our restated certificate of incorporation, as amended, and our restated by-laws is a summary and is qualified in its entirety by the provisions of our restated certificate of incorporation, as amended, and our restated by-laws.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authorized to issue 150,000,000 shares of common stock, $0.01 par value per share. As of February 19, 2026, there were approximately 93,508,165 shares of common stock outstanding.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stockholder of record is entitled to one vote for each outstanding share of our common stock owned by that stockholder on every matter properly submitted to the stockholders for their vote. After satisfaction of the dividend rights of holders of any preferred stock, holders of common stock are entitled to any dividend declared by our board of directors out of funds legally available for that purpose. After the payment of liquidation preferences to holders of any preferred stock, holders of common stock are entitled to receive, on a pro rata basis, all our remaining assets available for distribution to stockholders in the event of our liquidation, dissolution or winding up. Holders of our common stock do not have any preemptive right to become subscribers or purchasers of additional shares of any class of our capital stock. The rights, preferences and privileges of holders of our common stock are subject to, and may be injured by, the rights of the holders of shares of any series of preferred stock that we may designate and issue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and Certain Charter and By-Law Provisions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Delaware law and of our restated certificate of incorporation, as amended, and restated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the best interests of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the DGCL. Subject to certain exceptions, Section 203 prevents a publicly held Delaware corporation from engaging in a “business combination” with any “interested stockholder” for a three-year period following the time that such stockholder becomes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Restated Certificate of Incorporation and Restated By-laws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divided into three classes. Each year our stockholders elect the members of one of the three classes to a term of office to expire at the third succeeding annual meeting of stockholders after their election. All directors elected to our classified board of directors serve until the election and qualification of their respective successors or their earlier resignation or removal. Only the board of directors is authorized to create new directorships and to fill such positions so created and is permitted to specify the class to which any such new position is assigned. The person filling such position would serve for the term applicable to that class. Only the board of directors (or its remaining members, even if less than a quorum) is empowered to fill vacancies on the board of directors occurring for any reason for the remainder of the term of the class of directors in which the vacancy occurred. Members of the board of directors may only be removed for cause. These provisions are likely to increase the time required for stockholders to change the composition of the board of directors. For example, in general, at least two annual meetings would be necessary for stockholders to effect a change in a majority of the members of the board of directors.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60 days nor more than 90 days prior to the anniversary of the previous year’s annual meeting. For a special meeting, the notice must generally be delivered by not less than 60 days nor more than 90 days prior to the special meeting or ten days following the day on which public announcement of the meeting is first made. Detailed requirements as to the form of the notice and information required in the notice are specified in our restated by-laws. If it is determined that business was not properly brought before a meeting in accordance with the provisions of our restated by-laws, such business will not be conducted at the meeting.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chair of our board of directors, the chief executive officer or president with the approval of the executive committee of the board of directors, or by the entire board of directors pursuant to a resolution adopted by a majority of the total number of authorized directors, whether or not there exists any vacancy in previously authorized directorships.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as amended, does not permit our stockholders to act by written consent. As a result, any action to be effected by our stockholders must be effected at a duly called annual or special meeting of the stockholders.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as amended, requires the affirmative vote of the holders of at least 70% of our outstanding voting stock to amend or repeal any of the provisions discussed above in this section entitled “—Restated Certificate of Incorporation and Restated By-laws.” This 70% stockholder vote would be in addition to any separate class vote that might in the future be required pursuant to the terms of any preferred stock that might then be outstanding. A 70% vote will also be required for any amendment to, or repeal of, our restated by-laws by the stockholders. Our restated by-laws may be amended or repealed by a simple majority vote of the board of directors.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without action by our stockholders, to designate and issue shares of our preferred stock in one or more series and to designate the rights, preferences and privileges of the shares of each series and any of its qualifications, limitations or restrictions. The existence of authorized but unissued shares of preferred stock enables our board of directors to render more difficult or to discourage an attempt to obtain control of the Company by means of a merger, tender offer, proxy contest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5" w:right="3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bylaws provide that, unless we consent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the DGCL or our restated certificate of incorporation, as amended, or our restated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that, unless we consent otherwise, the federal district courts of the United States of America shall be the exclusive forum for the resolution of any claims under the Securities Act or any successor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“MYGN.”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(as successor to American Stock Transfer &amp; Trust Company, LLC), with offices at 6201 15th Avenue, Brooklyn, New York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authorized to issue, without stockholder approval, up to 5,000,000 shares of preferred stock, $0.01 par value per share, having rights senior to those of our common stock, of which 600,000 shares have been designated Series A Junior Participating Preferred Stock. We designated the Series A Junior Participating Preferred Stock in connection with a stockholders’ rights plan that has expired. Accordingly, we have no present intention to issue any shares of Series A Junior Participating Preferred Stock. As of February 24, 2026, we did not have any outstanding shares of preferred stock or options to purchase preferred stock. Our board of directors is authorized to issue the preferred stock in one or more series and to fix and designate the rights, preferences, privileges and restrictions of the preferred stock, including:</w:t>
      </w:r>
    </w:p>
    <w:p>
      <w:pPr>
        <w:spacing w:after="0" w:line="21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rights and terms of redemption;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may fix the number of shares constituting any series and the designations of these series. The rights, preferences, privileges and restrictions of the preferred stock of each series will be fixed by a certificate of designation relating to each series. The prospectus supplement and any related free writing prospectus relating to each series will specify the terms of the preferred stock, including:</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in the series and the distinctive designation;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dividends will be paid,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the shares may be redeemed, if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retirement or sinking fund for the purchase or redemption of the shares of the series;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on which the shares of the series will be convertible into, or exchangeable for, shares of any other class or classes of capital stock;</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on the shares of the series;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and relative, participating, operational or other special rights or qualifications, limitations or restrictions of the shares.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describe the specific terms of a particular series of preferred stock in the prospectus supplement and any related free writing prospectus relating to that series. The description of preferred stock above and the description of the terms of a particular series of preferred stock in the prospectus supplement or any related free writing prospectus are not complete. You should refer to the applicable certificate of designation for complete information. The prospectus supplement or any related free writing prospectus will contain a description of U.S. federal income tax consequences relating to the preferred stock.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issuance of preferred stock may have the effect of delaying or preventing a change in control. 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referred to as the Bank Depositary. Each owner of a depositary share will be entitled to all the rights and preferences of the preferred stock represented by the depositary share.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or any related free writing prospectus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and any related free writing prospectus in their entirety.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Depositary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may be provided otherwise in an accompanying prospectus supplement or any related free writing prospectus,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and any related free writing prospectus. Unless otherwise specified in an accompanying prospectus supplement, our debt securities will be issued in one or more series under an indenture to be entered into between us and a trustee to be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as amended, or the TIA. You should read the summary below, any accompanying prospectus supplement and any related free writing prospectus and the provisions of the indenture in their entirety before investing in our debt securities.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and any related free writing prospectus relating to any series of debt securities that we may offer will contain the specific terms of the debt securities. These terms may include, among others, the following:</w:t>
      </w:r>
    </w:p>
    <w:p>
      <w:pPr>
        <w:spacing w:after="0" w:line="20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3" w:right="339" w:bottom="1440" w:gutter="0" w:footer="0" w:header="0"/>
        </w:sectPr>
      </w:pPr>
    </w:p>
    <w:bookmarkStart w:id="19" w:name="page20"/>
    <w:bookmarkEnd w:id="19"/>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or any related free writing prospectus,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and any related free writing prospectus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or a related free writing prospectus.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 or a related free writing prospectus.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or any related free writing prospectus,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or any related free writing prospectus, the debt securities of a series may be issued in whole or in part in the form of one or more global securities that will be deposited with, or on behalf of, a depositary identified in an accompanying prospectus supplement or any related free writing prospectus.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or any related free writing prospectus. The warrant agent will act solely as our agent in connection with the warrants and will not assume any obligation, or agency or trust relationship, with you.</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relating to a particular issue of warrants will describe the terms of those warrants, including, when applicable:</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warrants expire they will become void. The prospectus supplement and any related free writing prospectus may provide for the adjustment of the exercise price of the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or any related free writing prospectus. Before the exercise of warrants, holders will not have any of the rights of holders of the securities purchasable upon exercise and will not be entitled to payments made to holders of those securities.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or any related free writing prospectus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and any related free writing prospectus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Mintz, Levin, Cohn, Ferris, Glovsky and Popeo, P.C., Boston, Massachusetts will pass upon the validity of the issuance of the securities to be offered by this prospectus. Additional legal matters may be passed upon for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3"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and file annual, quarterly and current reports, proxy statements and other information with the SEC. SEC filings are available at the SEC’s website at http://www.sec.gov.</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of the registration statement, including the exhibits and schedules, from the SEC’s website.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a website at http://www.myriad.com, through which you can access our SEC filings free of charge. The information set forth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215" w:lineRule="exact"/>
        <w:rPr>
          <w:sz w:val="20"/>
          <w:szCs w:val="20"/>
          <w:color w:val="auto"/>
        </w:rPr>
      </w:pPr>
    </w:p>
    <w:p>
      <w:pPr>
        <w:ind w:left="700" w:hanging="319"/>
        <w:spacing w:after="0"/>
        <w:tabs>
          <w:tab w:leader="none" w:pos="700" w:val="left"/>
        </w:tabs>
        <w:numPr>
          <w:ilvl w:val="0"/>
          <w:numId w:val="15"/>
        </w:numPr>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u w:val="single" w:color="auto"/>
            <w:color w:val="0000FF"/>
          </w:rPr>
          <w:t>our Annual Report on Form 10-K for the year ended December 31, 2025 filed with the SEC on February 24, 2026</w:t>
        </w:r>
      </w:hyperlink>
      <w:r>
        <w:rPr>
          <w:rFonts w:ascii="Times New Roman" w:cs="Times New Roman" w:eastAsia="Times New Roman" w:hAnsi="Times New Roman"/>
          <w:sz w:val="18"/>
          <w:szCs w:val="18"/>
          <w:color w:val="000000"/>
        </w:rPr>
        <w:t>;</w:t>
      </w:r>
    </w:p>
    <w:p>
      <w:pPr>
        <w:spacing w:after="0" w:line="27" w:lineRule="exact"/>
        <w:rPr>
          <w:rFonts w:ascii="Times New Roman" w:cs="Times New Roman" w:eastAsia="Times New Roman" w:hAnsi="Times New Roman"/>
          <w:sz w:val="18"/>
          <w:szCs w:val="18"/>
          <w:color w:val="0000FF"/>
        </w:rPr>
      </w:pPr>
    </w:p>
    <w:p>
      <w:pPr>
        <w:ind w:left="700" w:hanging="319"/>
        <w:spacing w:after="0" w:line="250" w:lineRule="auto"/>
        <w:tabs>
          <w:tab w:leader="none" w:pos="695" w:val="left"/>
        </w:tabs>
        <w:numPr>
          <w:ilvl w:val="0"/>
          <w:numId w:val="15"/>
        </w:numPr>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the portions of our Definitive Proxy Statement on Schedule 14A filed with the SEC on April 9, 2025 that are deemed filed under applicable SEC</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rules; and</w:t>
        </w:r>
      </w:hyperlink>
    </w:p>
    <w:p>
      <w:pPr>
        <w:ind w:left="700" w:hanging="319"/>
        <w:spacing w:after="0" w:line="260" w:lineRule="auto"/>
        <w:tabs>
          <w:tab w:leader="none" w:pos="695" w:val="left"/>
        </w:tabs>
        <w:numPr>
          <w:ilvl w:val="0"/>
          <w:numId w:val="15"/>
        </w:numPr>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the description of our common stock contained in Exhibit 4.2 to our Annual Report on Form 10-K for the year ended December 31, 2025 filed</w:t>
        </w:r>
      </w:hyperlink>
      <w:r>
        <w:rPr>
          <w:rFonts w:ascii="Times New Roman" w:cs="Times New Roman" w:eastAsia="Times New Roman" w:hAnsi="Times New Roman"/>
          <w:sz w:val="18"/>
          <w:szCs w:val="18"/>
          <w:u w:val="single" w:color="auto"/>
          <w:color w:val="0000FF"/>
        </w:rPr>
        <w:t xml:space="preserve"> </w:t>
      </w:r>
      <w:hyperlink r:id="rId15">
        <w:r>
          <w:rPr>
            <w:rFonts w:ascii="Times New Roman" w:cs="Times New Roman" w:eastAsia="Times New Roman" w:hAnsi="Times New Roman"/>
            <w:sz w:val="18"/>
            <w:szCs w:val="18"/>
            <w:u w:val="single" w:color="auto"/>
            <w:color w:val="0000FF"/>
          </w:rPr>
          <w:t>with the SEC on February 24, 2026, and any amendment or report filed for the purpose of updating such description.</w:t>
        </w:r>
      </w:hyperlink>
    </w:p>
    <w:p>
      <w:pPr>
        <w:spacing w:after="0" w:line="20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000-26642.</w:t>
      </w:r>
    </w:p>
    <w:p>
      <w:pPr>
        <w:spacing w:after="0" w:line="252"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date of this prospectus and any accompanying prospectus supplement and before the termination of the offering shall also be deemed to be incorporated herein by reference. The most recent information that we file with the SEC automatically updates and supersedes older information. The information contained in any such filing will be deemed to be a part of this prospectus, commencing on the date on which the document is filed.</w:t>
      </w:r>
    </w:p>
    <w:p>
      <w:pPr>
        <w:spacing w:after="0" w:line="180"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spacing w:after="0" w:line="183"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to each person, including any beneficial owner, to whom a prospectus is delivered, a copy of any or all of the documents which are incorporated by reference into the prospectus but not delivered with the prospectus (other than exhibits to those documents unless such exhibits are specifically incorporated by reference as an exhibit in this prospectus). Requests should be directed to:</w:t>
      </w: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Myriad Genetics,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322 North 2200 West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Salt Lake City, Utah 84116</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(801) 584-3600.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189865</wp:posOffset>
            </wp:positionV>
            <wp:extent cx="1560195"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560195" cy="788670"/>
                    </a:xfrm>
                    <a:prstGeom prst="rect">
                      <a:avLst/>
                    </a:prstGeom>
                    <a:noFill/>
                  </pic:spPr>
                </pic:pic>
              </a:graphicData>
            </a:graphic>
          </wp:anchor>
        </w:drawing>
      </w:r>
    </w:p>
    <w:p>
      <w:pPr>
        <w:sectPr>
          <w:pgSz w:w="11900" w:h="16838" w:orient="portrait"/>
          <w:cols w:equalWidth="0" w:num="1">
            <w:col w:w="9019"/>
          </w:cols>
          <w:pgMar w:left="144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DEPOSITARY SHARES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120015</wp:posOffset>
            </wp:positionV>
            <wp:extent cx="1414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259715</wp:posOffset>
            </wp:positionV>
            <wp:extent cx="1414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4, 2026</w:t>
      </w:r>
    </w:p>
    <w:sectPr>
      <w:pgSz w:w="11900" w:h="16838" w:orient="portrait"/>
      <w:cols w:equalWidth="0" w:num="1">
        <w:col w:w="9019"/>
      </w:cols>
      <w:pgMar w:left="1440" w:top="13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80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s://www.sec.gov/ix?doc=/Archives/edgar/data/899923/000089992326000018/mygn-20251231.htm" TargetMode="External"/><Relationship Id="rId14" Type="http://schemas.openxmlformats.org/officeDocument/2006/relationships/hyperlink" Target="https://www.sec.gov/ix?doc=/Archives/edgar/data/0000899923/000089992325000028/mygn-20250409.htm" TargetMode="External"/><Relationship Id="rId15" Type="http://schemas.openxmlformats.org/officeDocument/2006/relationships/hyperlink" Target="https://www.sec.gov/Archives/edgar/data/899923/000089992321000021/mygn-20201231xex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2026-03-04T16:27:56Z</dcterms:created>
  <dcterms:modified xsi:type="dcterms:W3CDTF">2026-03-04T16:27:56Z</dcterms:modified>
</cp:coreProperties>
</file>