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MYRIAD GENETICS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3"/>
        <w:gridCol w:w="8212"/>
      </w:tblGrid>
      <w:tr>
        <w:trPr/>
        <w:tc>
          <w:tcPr>
            <w:tcW w:w="1993" w:type="dxa"/>
            <w:tcBorders/>
            <w:vAlign w:val="center"/>
          </w:tcPr>
          <w:p>
            <w:pPr>
              <w:pStyle w:val="TableContents"/>
              <w:bidi w:val="0"/>
              <w:spacing w:before="0" w:after="283"/>
              <w:jc w:val="left"/>
              <w:rPr/>
            </w:pPr>
            <w:r>
              <w:rPr/>
              <w:t>1</w:t>
            </w:r>
          </w:p>
        </w:tc>
        <w:tc>
          <w:tcPr>
            <w:tcW w:w="82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GLENVIEW CAPITAL MANAGEMENT, LLC</w:t>
            </w:r>
          </w:p>
        </w:tc>
      </w:tr>
      <w:tr>
        <w:trPr/>
        <w:tc>
          <w:tcPr>
            <w:tcW w:w="1993" w:type="dxa"/>
            <w:tcBorders/>
            <w:vAlign w:val="center"/>
          </w:tcPr>
          <w:p>
            <w:pPr>
              <w:pStyle w:val="TableContents"/>
              <w:bidi w:val="0"/>
              <w:spacing w:before="0" w:after="283"/>
              <w:jc w:val="left"/>
              <w:rPr/>
            </w:pPr>
            <w:r>
              <w:rPr/>
              <w:t>2</w:t>
            </w:r>
          </w:p>
        </w:tc>
        <w:tc>
          <w:tcPr>
            <w:tcW w:w="82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3" w:type="dxa"/>
            <w:tcBorders/>
            <w:vAlign w:val="center"/>
          </w:tcPr>
          <w:p>
            <w:pPr>
              <w:pStyle w:val="TableContents"/>
              <w:bidi w:val="0"/>
              <w:spacing w:before="0" w:after="283"/>
              <w:jc w:val="left"/>
              <w:rPr/>
            </w:pPr>
            <w:r>
              <w:rPr/>
              <w:t>3</w:t>
            </w:r>
          </w:p>
        </w:tc>
        <w:tc>
          <w:tcPr>
            <w:tcW w:w="8212" w:type="dxa"/>
            <w:tcBorders/>
            <w:vAlign w:val="center"/>
          </w:tcPr>
          <w:p>
            <w:pPr>
              <w:pStyle w:val="TableContents"/>
              <w:bidi w:val="0"/>
              <w:spacing w:before="0" w:after="283"/>
              <w:jc w:val="left"/>
              <w:rPr/>
            </w:pPr>
            <w:r>
              <w:rPr/>
              <w:t>Sec Use Only</w:t>
            </w:r>
          </w:p>
        </w:tc>
      </w:tr>
      <w:tr>
        <w:trPr/>
        <w:tc>
          <w:tcPr>
            <w:tcW w:w="1993" w:type="dxa"/>
            <w:tcBorders/>
            <w:vAlign w:val="center"/>
          </w:tcPr>
          <w:p>
            <w:pPr>
              <w:pStyle w:val="TableContents"/>
              <w:bidi w:val="0"/>
              <w:spacing w:before="0" w:after="283"/>
              <w:jc w:val="left"/>
              <w:rPr/>
            </w:pPr>
            <w:r>
              <w:rPr/>
              <w:t>4</w:t>
            </w:r>
          </w:p>
        </w:tc>
        <w:tc>
          <w:tcPr>
            <w:tcW w:w="82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2" w:type="dxa"/>
            <w:tcBorders/>
            <w:vAlign w:val="center"/>
          </w:tcPr>
          <w:p>
            <w:pPr>
              <w:pStyle w:val="TableContents"/>
              <w:bidi w:val="0"/>
              <w:spacing w:before="0" w:after="283"/>
              <w:jc w:val="left"/>
              <w:rPr>
                <w:sz w:val="4"/>
                <w:szCs w:val="4"/>
              </w:rPr>
            </w:pPr>
            <w:r>
              <w:rPr>
                <w:sz w:val="4"/>
                <w:szCs w:val="4"/>
              </w:rPr>
            </w:r>
          </w:p>
        </w:tc>
      </w:tr>
      <w:tr>
        <w:trPr/>
        <w:tc>
          <w:tcPr>
            <w:tcW w:w="1993" w:type="dxa"/>
            <w:tcBorders/>
            <w:vAlign w:val="center"/>
          </w:tcPr>
          <w:p>
            <w:pPr>
              <w:pStyle w:val="TableContents"/>
              <w:bidi w:val="0"/>
              <w:spacing w:before="0" w:after="283"/>
              <w:jc w:val="left"/>
              <w:rPr/>
            </w:pPr>
            <w:r>
              <w:rPr/>
              <w:t>9</w:t>
            </w:r>
          </w:p>
        </w:tc>
        <w:tc>
          <w:tcPr>
            <w:tcW w:w="82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3" w:type="dxa"/>
            <w:tcBorders/>
            <w:vAlign w:val="center"/>
          </w:tcPr>
          <w:p>
            <w:pPr>
              <w:pStyle w:val="TableContents"/>
              <w:bidi w:val="0"/>
              <w:spacing w:before="0" w:after="283"/>
              <w:jc w:val="left"/>
              <w:rPr/>
            </w:pPr>
            <w:r>
              <w:rPr/>
              <w:t>10</w:t>
            </w:r>
          </w:p>
        </w:tc>
        <w:tc>
          <w:tcPr>
            <w:tcW w:w="82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3" w:type="dxa"/>
            <w:tcBorders/>
            <w:vAlign w:val="center"/>
          </w:tcPr>
          <w:p>
            <w:pPr>
              <w:pStyle w:val="TableContents"/>
              <w:bidi w:val="0"/>
              <w:spacing w:before="0" w:after="283"/>
              <w:jc w:val="left"/>
              <w:rPr/>
            </w:pPr>
            <w:r>
              <w:rPr/>
              <w:t>11</w:t>
            </w:r>
          </w:p>
        </w:tc>
        <w:tc>
          <w:tcPr>
            <w:tcW w:w="82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3" w:type="dxa"/>
            <w:tcBorders/>
            <w:vAlign w:val="center"/>
          </w:tcPr>
          <w:p>
            <w:pPr>
              <w:pStyle w:val="TableContents"/>
              <w:bidi w:val="0"/>
              <w:spacing w:before="0" w:after="283"/>
              <w:jc w:val="left"/>
              <w:rPr/>
            </w:pPr>
            <w:r>
              <w:rPr/>
              <w:t>12</w:t>
            </w:r>
          </w:p>
        </w:tc>
        <w:tc>
          <w:tcPr>
            <w:tcW w:w="82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ROBBINS LARRY</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MYRIAD GENETICS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322 North 2200 West, Salt Lake City, Utah, 84116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each of the following persons (collectively, the "Reporting Persons"): i. Glenview Capital Management, LLC ("Glenview Capital Management") ii. Larry Robbins ("Mr. Robbins"). This Statement relates to shares of Common Stock, par value $0.01 per share ("Shares") held for the accounts of Glenview Capital Master Fund, Ltd., a Cayman Islands exempted company ("Glenview Capital Master Fund"), Glenview Offshore Opportunity Master Fund, Ltd., a Cayman Islands exempted company ("Glenview Offshore Opportunity Master Fund"), and Glenview Healthcare Master Fund, L.P., a Cayman Islands limited partnership ("Glenview Healthcare Master Fund"). Glenview Capital Management serves as investment manager to each of Glenview Capital Master Fund, Glenview Offshore Opportunity Master Fund and Glenview Healthcare Master Fund. Mr. Robbins is the Chief Investment Officer of Glenview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520 Madison Avenue, 33rd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 Glenview Capital Management is a Delaware limited liability company ii. Mr. Robbins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each of the Reporting Persons may be deemed the beneficial owner of 0 Shares.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the beneficial owner of 0%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disclosure in Item 2 hereof.</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GLENVIEW CAPITAL MANAGEMENT, LLC</w:t>
                  </w:r>
                </w:p>
              </w:tc>
            </w:tr>
          </w:tbl>
          <w:p>
            <w:pPr>
              <w:pStyle w:val="TableContents"/>
              <w:bidi w:val="0"/>
              <w:spacing w:before="0" w:after="283"/>
              <w:jc w:val="left"/>
              <w:rPr/>
            </w:pPr>
            <w:r>
              <w:rPr/>
            </w:r>
          </w:p>
        </w:tc>
        <w:tc>
          <w:tcPr>
            <w:tcW w:w="50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J. Horowitz</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Mark J. Horowitz, President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ROBBINS LARRY</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J. Horowitz</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Mark J. Horowitz, attorney-in-fact for Larry Robbins</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151" w:type="dxa"/>
        <w:jc w:val="left"/>
        <w:tblInd w:w="0" w:type="dxa"/>
        <w:tblLayout w:type="fixed"/>
        <w:tblCellMar>
          <w:top w:w="28" w:type="dxa"/>
          <w:left w:w="28" w:type="dxa"/>
          <w:bottom w:w="28" w:type="dxa"/>
          <w:right w:w="28" w:type="dxa"/>
        </w:tblCellMar>
      </w:tblPr>
      <w:tblGrid>
        <w:gridCol w:w="6151"/>
      </w:tblGrid>
      <w:tr>
        <w:trPr/>
        <w:tc>
          <w:tcPr>
            <w:tcW w:w="6151" w:type="dxa"/>
            <w:tcBorders/>
            <w:vAlign w:val="center"/>
          </w:tcPr>
          <w:p>
            <w:pPr>
              <w:pStyle w:val="TableContents"/>
              <w:bidi w:val="0"/>
              <w:spacing w:before="0" w:after="283"/>
              <w:jc w:val="center"/>
              <w:rPr>
                <w:b/>
              </w:rPr>
            </w:pPr>
            <w:r>
              <w:rPr>
                <w:b/>
              </w:rPr>
              <w:t xml:space="preserve">Exhibit Information </w:t>
            </w:r>
          </w:p>
        </w:tc>
      </w:tr>
      <w:tr>
        <w:trPr/>
        <w:tc>
          <w:tcPr>
            <w:tcW w:w="6151" w:type="dxa"/>
            <w:tcBorders/>
            <w:vAlign w:val="center"/>
          </w:tcPr>
          <w:p>
            <w:pPr>
              <w:pStyle w:val="TableContents"/>
              <w:bidi w:val="0"/>
              <w:spacing w:before="0" w:after="283"/>
              <w:jc w:val="left"/>
              <w:rPr/>
            </w:pPr>
            <w:r>
              <w:rPr/>
              <w:t>Exhibit 1: Joint Filing Agreement Exhibit 2: Power of Attorney</w:t>
            </w:r>
          </w:p>
        </w:tc>
      </w:tr>
    </w:tbl>
    <w:p>
      <w:pPr>
        <w:pStyle w:val="TextBody"/>
        <w:bidi w:val="0"/>
        <w:spacing w:before="0" w:after="0"/>
        <w:jc w:val="left"/>
        <w:rPr/>
      </w:pPr>
      <w:r>
        <w:rPr/>
      </w:r>
      <w:bookmarkStart w:id="20" w:name="jointfilingagreement.htm"/>
      <w:bookmarkStart w:id="21" w:name="ksjointfilingagreement"/>
      <w:bookmarkStart w:id="22" w:name="jointfilingagreement.htm"/>
      <w:bookmarkStart w:id="23" w:name="ksjointfilingagreement"/>
      <w:bookmarkEnd w:id="22"/>
      <w:bookmarkEnd w:id="23"/>
      <w:r>
        <w:br w:type="page"/>
      </w:r>
    </w:p>
    <w:p>
      <w:pPr>
        <w:pStyle w:val="TextBody"/>
        <w:bidi w:val="0"/>
        <w:spacing w:before="0" w:after="0"/>
        <w:jc w:val="left"/>
        <w:rPr/>
      </w:pPr>
      <w:r>
        <w:rPr/>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JOINT FILING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hereby agree that the statement on Schedule 13G with respect to the Common Stock of Myriad Genetics, Inc. dated as of August 14, 2026 is, and any amendments thereto (including amendments on Schedule 13D) signed by each of the undersigned shall be, filed on behalf of each of us pursuant to and in accordance with the provisions of Rule 13d-1(k) under the Securities Exchange Act of 1934, as amended.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14e9e884628e43b6a20caad5f9d016e4"/>
      <w:bookmarkStart w:id="25" w:name="z14e9e884628e43b6a20caad5f9d016e4"/>
      <w:bookmarkEnd w:id="25"/>
    </w:p>
    <w:tbl>
      <w:tblPr>
        <w:tblW w:w="7155" w:type="dxa"/>
        <w:jc w:val="left"/>
        <w:tblInd w:w="0" w:type="dxa"/>
        <w:tblLayout w:type="fixed"/>
        <w:tblCellMar>
          <w:top w:w="0" w:type="dxa"/>
          <w:left w:w="0" w:type="dxa"/>
          <w:bottom w:w="0" w:type="dxa"/>
          <w:right w:w="0" w:type="dxa"/>
        </w:tblCellMar>
      </w:tblPr>
      <w:tblGrid>
        <w:gridCol w:w="1655"/>
        <w:gridCol w:w="395"/>
        <w:gridCol w:w="5105"/>
      </w:tblGrid>
      <w:tr>
        <w:trPr/>
        <w:tc>
          <w:tcPr>
            <w:tcW w:w="1655" w:type="dxa"/>
            <w:tcBorders/>
            <w:vAlign w:val="center"/>
          </w:tcPr>
          <w:p>
            <w:pPr>
              <w:pStyle w:val="TableContents"/>
              <w:bidi w:val="0"/>
              <w:spacing w:before="0" w:after="0"/>
              <w:jc w:val="left"/>
              <w:rPr/>
            </w:pPr>
            <w:r>
              <w:rPr/>
              <w:t> </w:t>
            </w:r>
          </w:p>
        </w:tc>
        <w:tc>
          <w:tcPr>
            <w:tcW w:w="5500" w:type="dxa"/>
            <w:gridSpan w:val="2"/>
            <w:tcBorders/>
            <w:vAlign w:val="center"/>
          </w:tcPr>
          <w:p>
            <w:pPr>
              <w:pStyle w:val="TableContents"/>
              <w:bidi w:val="0"/>
              <w:spacing w:before="0" w:after="0"/>
              <w:jc w:val="left"/>
              <w:rPr>
                <w:b/>
              </w:rPr>
            </w:pPr>
            <w:r>
              <w:rPr>
                <w:b/>
              </w:rPr>
              <w:t>GLENVIEW CAPITAL MANAGEMENT, LLC</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 </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By:</w:t>
            </w:r>
          </w:p>
        </w:tc>
        <w:tc>
          <w:tcPr>
            <w:tcW w:w="5105" w:type="dxa"/>
            <w:tcBorders>
              <w:bottom w:val="single" w:sz="12" w:space="0" w:color="000000"/>
            </w:tcBorders>
            <w:tcMar>
              <w:bottom w:w="28" w:type="dxa"/>
            </w:tcMar>
            <w:vAlign w:val="center"/>
          </w:tcPr>
          <w:p>
            <w:pPr>
              <w:pStyle w:val="TableContents"/>
              <w:bidi w:val="0"/>
              <w:spacing w:before="0" w:after="0"/>
              <w:jc w:val="left"/>
              <w:rPr/>
            </w:pPr>
            <w:r>
              <w:rPr/>
              <w:t>/s/ Mark J. Horowitz</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Mark J. Horowitz</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President of Glenview Capital Management, LLC</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 </w:t>
            </w:r>
          </w:p>
        </w:tc>
      </w:tr>
      <w:tr>
        <w:trPr/>
        <w:tc>
          <w:tcPr>
            <w:tcW w:w="1655" w:type="dxa"/>
            <w:tcBorders/>
            <w:vAlign w:val="center"/>
          </w:tcPr>
          <w:p>
            <w:pPr>
              <w:pStyle w:val="TableContents"/>
              <w:bidi w:val="0"/>
              <w:spacing w:before="0" w:after="0"/>
              <w:jc w:val="left"/>
              <w:rPr/>
            </w:pPr>
            <w:r>
              <w:rPr/>
              <w:t> </w:t>
            </w:r>
          </w:p>
        </w:tc>
        <w:tc>
          <w:tcPr>
            <w:tcW w:w="5500" w:type="dxa"/>
            <w:gridSpan w:val="2"/>
            <w:tcBorders/>
            <w:vAlign w:val="center"/>
          </w:tcPr>
          <w:p>
            <w:pPr>
              <w:pStyle w:val="TableContents"/>
              <w:bidi w:val="0"/>
              <w:spacing w:before="0" w:after="0"/>
              <w:jc w:val="left"/>
              <w:rPr>
                <w:b/>
              </w:rPr>
            </w:pPr>
            <w:r>
              <w:rPr>
                <w:b/>
              </w:rPr>
              <w:t>LARRY ROBBINS</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 </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By:</w:t>
            </w:r>
          </w:p>
        </w:tc>
        <w:tc>
          <w:tcPr>
            <w:tcW w:w="5105" w:type="dxa"/>
            <w:tcBorders>
              <w:bottom w:val="single" w:sz="12" w:space="0" w:color="000000"/>
            </w:tcBorders>
            <w:tcMar>
              <w:bottom w:w="28" w:type="dxa"/>
            </w:tcMar>
            <w:vAlign w:val="center"/>
          </w:tcPr>
          <w:p>
            <w:pPr>
              <w:pStyle w:val="TableContents"/>
              <w:bidi w:val="0"/>
              <w:spacing w:before="0" w:after="0"/>
              <w:jc w:val="left"/>
              <w:rPr/>
            </w:pPr>
            <w:r>
              <w:rPr/>
              <w:t>/s/ Mark J. Horowitz</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Mark J. Horowitz, attorney-in-fact for Larry Robbins</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 </w:t>
            </w:r>
          </w:p>
        </w:tc>
      </w:tr>
      <w:tr>
        <w:trPr/>
        <w:tc>
          <w:tcPr>
            <w:tcW w:w="1655" w:type="dxa"/>
            <w:tcBorders/>
            <w:vAlign w:val="center"/>
          </w:tcPr>
          <w:p>
            <w:pPr>
              <w:pStyle w:val="TableContents"/>
              <w:bidi w:val="0"/>
              <w:spacing w:before="0" w:after="0"/>
              <w:jc w:val="both"/>
              <w:rPr/>
            </w:pPr>
            <w:r>
              <w:rPr/>
              <w:t>August 14, 2026</w:t>
            </w:r>
          </w:p>
        </w:tc>
        <w:tc>
          <w:tcPr>
            <w:tcW w:w="39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r>
    </w:tbl>
    <w:p>
      <w:pPr>
        <w:pStyle w:val="TextBody"/>
        <w:bidi w:val="0"/>
        <w:spacing w:before="0" w:after="0"/>
        <w:jc w:val="left"/>
        <w:rPr/>
      </w:pPr>
      <w:r>
        <w:rPr/>
      </w:r>
      <w:bookmarkStart w:id="26" w:name="powerofattorney.htm"/>
      <w:bookmarkStart w:id="27" w:name="kspowerofattorney"/>
      <w:bookmarkStart w:id="28" w:name="powerofattorney.htm"/>
      <w:bookmarkStart w:id="29" w:name="kspowerofattorney"/>
      <w:bookmarkEnd w:id="28"/>
      <w:bookmarkEnd w:id="29"/>
      <w:r>
        <w:br w:type="page"/>
      </w:r>
    </w:p>
    <w:p>
      <w:pPr>
        <w:pStyle w:val="TextBody"/>
        <w:bidi w:val="0"/>
        <w:spacing w:before="0" w:after="240"/>
        <w:jc w:val="right"/>
        <w:rPr>
          <w:rFonts w:ascii="Times New Roman;Times;serif" w:hAnsi="Times New Roman;Times;serif"/>
          <w:b/>
          <w:color w:val="000000"/>
          <w:sz w:val="20"/>
        </w:rPr>
      </w:pPr>
      <w:r>
        <w:rPr>
          <w:rFonts w:ascii="Times New Roman;Times;serif" w:hAnsi="Times New Roman;Times;serif"/>
          <w:b/>
          <w:color w:val="000000"/>
          <w:sz w:val="20"/>
        </w:rPr>
        <w:t>EXHIBIT 2</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POWER OF ATTORNEY</w:t>
      </w:r>
    </w:p>
    <w:p>
      <w:pPr>
        <w:pStyle w:val="TextBody"/>
        <w:bidi w:val="0"/>
        <w:spacing w:before="0" w:after="0"/>
        <w:jc w:val="center"/>
        <w:rPr>
          <w:b/>
        </w:rPr>
      </w:pPr>
      <w:r>
        <w:rPr>
          <w:b/>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KNOW ALL MEN BY THESE PRESENT, that I, Larry Robbins, hereby make, constitute and appoint Mark J. Horowitz, acting individually, as my agent and attorney-in-fact for the purpose of executing in my name, (a) in my personal capacity or (b) in my capacity as Chief Investment Officer or in other capacities of Glenview Capital Management, LLC, a Delaware limited liability company, and each of its affiliates or entities advised or controlled by me or Glenview Capital Management,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United States Securities and Exchange Commission (the “SEC”) pursuant to the Securities Act of 1933, as amended, or the Securities and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and (2) any information statements on Form 13F required to be filed with the SEC pursuant to Section 13(f) of the Act.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All past acts of the attorney-in-fact in furtherance of the foregoing are hereby ratified and confirmed.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Power of Attorney revokes the previous Power of Attorney, executed by the undersigned on February 10, 2009, and shall remain in effect until revoked, in writing, by the undersigned.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WITNESS WHEREOF, the undersigned has executed this Power of Attorney, this 2nd day of February, 2016.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 Larry Robbins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Larry Robbins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1761</Words>
  <Characters>9117</Characters>
  <CharactersWithSpaces>10853</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