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u w:val="single" w:color="auto"/>
          <w:color w:val="auto"/>
        </w:rPr>
        <w:t>Myriad Genetics,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$0.01 par value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62855J104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December 31, 2023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140" w:hanging="808"/>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 w:lineRule="exact"/>
        <w:rPr>
          <w:sz w:val="24"/>
          <w:szCs w:val="24"/>
          <w:color w:val="auto"/>
        </w:rPr>
      </w:pPr>
    </w:p>
    <w:p>
      <w:pPr>
        <w:ind w:left="1140" w:hanging="808"/>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9" w:lineRule="exact"/>
        <w:rPr>
          <w:sz w:val="24"/>
          <w:szCs w:val="24"/>
          <w:color w:val="auto"/>
        </w:rPr>
      </w:pPr>
    </w:p>
    <w:p>
      <w:pPr>
        <w:ind w:left="1140" w:hanging="808"/>
        <w:spacing w:after="0"/>
        <w:tabs>
          <w:tab w:leader="none" w:pos="114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11"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Pages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Index: Page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62855J104</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240"/>
              <w:spacing w:after="0"/>
              <w:rPr>
                <w:sz w:val="20"/>
                <w:szCs w:val="20"/>
                <w:color w:val="auto"/>
              </w:rPr>
            </w:pPr>
            <w:r>
              <w:rPr>
                <w:rFonts w:ascii="Times New Roman" w:cs="Times New Roman" w:eastAsia="Times New Roman" w:hAnsi="Times New Roman"/>
                <w:sz w:val="18"/>
                <w:szCs w:val="18"/>
                <w:color w:val="auto"/>
                <w:w w:val="96"/>
              </w:rPr>
              <w:t>Page 2 of 9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840" w:type="dxa"/>
            <w:vAlign w:val="bottom"/>
            <w:tcBorders>
              <w:bottom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GLENVIEW CAPITAL MANAGEMENT, LLC</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5,283,982</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5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5,283,982</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5,283,982</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540" w:type="dxa"/>
            <w:vAlign w:val="bottom"/>
            <w:tcBorders>
              <w:bottom w:val="single" w:sz="8" w:color="auto"/>
              <w:right w:val="single" w:sz="8" w:color="auto"/>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5.97%</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6"/>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62855J104</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240"/>
              <w:spacing w:after="0"/>
              <w:rPr>
                <w:sz w:val="20"/>
                <w:szCs w:val="20"/>
                <w:color w:val="auto"/>
              </w:rPr>
            </w:pPr>
            <w:r>
              <w:rPr>
                <w:rFonts w:ascii="Times New Roman" w:cs="Times New Roman" w:eastAsia="Times New Roman" w:hAnsi="Times New Roman"/>
                <w:sz w:val="18"/>
                <w:szCs w:val="18"/>
                <w:color w:val="auto"/>
                <w:w w:val="96"/>
              </w:rPr>
              <w:t>Page 3 of 9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840" w:type="dxa"/>
            <w:vAlign w:val="bottom"/>
            <w:tcBorders>
              <w:bottom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LARRY ROBBINS</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5,283,982</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5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5,283,982</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5,283,982</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540" w:type="dxa"/>
            <w:vAlign w:val="bottom"/>
            <w:tcBorders>
              <w:bottom w:val="single" w:sz="8" w:color="auto"/>
              <w:right w:val="single" w:sz="8" w:color="auto"/>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5.97%</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6"/>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62855J104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4 of 9 Pages</w:t>
      </w:r>
    </w:p>
    <w:p>
      <w:pPr>
        <w:spacing w:after="0" w:line="192" w:lineRule="exact"/>
        <w:rPr>
          <w:sz w:val="20"/>
          <w:szCs w:val="20"/>
          <w:color w:val="auto"/>
        </w:rPr>
      </w:pPr>
    </w:p>
    <w:p>
      <w:pPr>
        <w:sectPr>
          <w:pgSz w:w="11900" w:h="16838" w:orient="portrait"/>
          <w:cols w:equalWidth="0" w:num="2">
            <w:col w:w="9240" w:space="720"/>
            <w:col w:w="128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Item1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Name of Issuer:</w:t>
      </w:r>
    </w:p>
    <w:p>
      <w:pPr>
        <w:spacing w:after="0" w:line="211" w:lineRule="exact"/>
        <w:rPr>
          <w:sz w:val="20"/>
          <w:szCs w:val="20"/>
          <w:color w:val="auto"/>
        </w:rPr>
      </w:pPr>
    </w:p>
    <w:p>
      <w:pPr>
        <w:sectPr>
          <w:pgSz w:w="11900" w:h="16838" w:orient="portrait"/>
          <w:cols w:equalWidth="0" w:num="2">
            <w:col w:w="760" w:space="540"/>
            <w:col w:w="9940"/>
          </w:cols>
          <w:pgMar w:left="320" w:top="121" w:right="339" w:bottom="1440" w:gutter="0" w:footer="0" w:header="0"/>
          <w:type w:val="continuous"/>
        </w:sectPr>
      </w:pP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Myriad Genetics, Inc. (the “Issuer”)</w:t>
      </w:r>
    </w:p>
    <w:p>
      <w:pPr>
        <w:sectPr>
          <w:pgSz w:w="11900" w:h="16838" w:orient="portrait"/>
          <w:cols w:equalWidth="0" w:num="1">
            <w:col w:w="11240"/>
          </w:cols>
          <w:pgMar w:left="320" w:top="121"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Address of Issuer’s Principal Executive Offices:</w:t>
      </w:r>
    </w:p>
    <w:p>
      <w:pPr>
        <w:spacing w:after="0" w:line="200" w:lineRule="exact"/>
        <w:rPr>
          <w:sz w:val="20"/>
          <w:szCs w:val="20"/>
          <w:color w:val="auto"/>
        </w:rPr>
      </w:pPr>
    </w:p>
    <w:p>
      <w:pPr>
        <w:sectPr>
          <w:pgSz w:w="11900" w:h="16838" w:orient="portrait"/>
          <w:cols w:equalWidth="0" w:num="2">
            <w:col w:w="760" w:space="540"/>
            <w:col w:w="9940"/>
          </w:cols>
          <w:pgMar w:left="320" w:top="121" w:right="3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322 North 2200 West, Salt Lake City, UT 84116</w:t>
      </w:r>
    </w:p>
    <w:p>
      <w:pPr>
        <w:sectPr>
          <w:pgSz w:w="11900" w:h="16838" w:orient="portrait"/>
          <w:cols w:equalWidth="0" w:num="1">
            <w:col w:w="11240"/>
          </w:cols>
          <w:pgMar w:left="320" w:top="121"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Person Filing:</w:t>
      </w:r>
    </w:p>
    <w:p>
      <w:pPr>
        <w:spacing w:after="0" w:line="200" w:lineRule="exact"/>
        <w:rPr>
          <w:sz w:val="20"/>
          <w:szCs w:val="20"/>
          <w:color w:val="auto"/>
        </w:rPr>
      </w:pPr>
    </w:p>
    <w:p>
      <w:pPr>
        <w:sectPr>
          <w:pgSz w:w="11900" w:h="16838" w:orient="portrait"/>
          <w:cols w:equalWidth="0" w:num="2">
            <w:col w:w="760" w:space="540"/>
            <w:col w:w="9940"/>
          </w:cols>
          <w:pgMar w:left="320" w:top="121" w:right="339" w:bottom="1440" w:gutter="0" w:footer="0" w:header="0"/>
          <w:type w:val="continuous"/>
        </w:sectPr>
      </w:pP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This Statement is filed on behalf of each of the following persons (collectively, the “Reporting Persons”):</w:t>
      </w:r>
    </w:p>
    <w:p>
      <w:pPr>
        <w:sectPr>
          <w:pgSz w:w="11900" w:h="16838" w:orient="portrait"/>
          <w:cols w:equalWidth="0" w:num="1">
            <w:col w:w="11240"/>
          </w:cols>
          <w:pgMar w:left="320" w:top="121" w:right="339" w:bottom="1440" w:gutter="0" w:footer="0" w:header="0"/>
          <w:type w:val="continuous"/>
        </w:sectPr>
      </w:pPr>
    </w:p>
    <w:p>
      <w:pPr>
        <w:spacing w:after="0" w:line="237" w:lineRule="exact"/>
        <w:rPr>
          <w:sz w:val="20"/>
          <w:szCs w:val="20"/>
          <w:color w:val="auto"/>
        </w:rPr>
      </w:pPr>
    </w:p>
    <w:p>
      <w:pPr>
        <w:ind w:left="1300" w:right="4180"/>
        <w:spacing w:after="0" w:line="282" w:lineRule="auto"/>
        <w:rPr>
          <w:sz w:val="20"/>
          <w:szCs w:val="20"/>
          <w:color w:val="auto"/>
        </w:rPr>
      </w:pPr>
      <w:r>
        <w:rPr>
          <w:rFonts w:ascii="Times New Roman" w:cs="Times New Roman" w:eastAsia="Times New Roman" w:hAnsi="Times New Roman"/>
          <w:sz w:val="18"/>
          <w:szCs w:val="18"/>
          <w:color w:val="auto"/>
        </w:rPr>
        <w:t>i) Glenview Capital Management, LLC (“Glenview Capital Management”); and ii) Larry Robbins (“Mr. Robbins”).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This Statement relates to Shares (as defined herein) held for the accounts of Glenview Capital Partners, L.P., a Delaware limited partnership (“Glenview Capital Partners”), Glenview Capital Master Fund, Ltd., a Cayman Islands exempted company (“Glenview Capital Master Fund”), Glenview Capital Opportunity Fund, L.P., a Delaware limited partnership (“Glenview Capital Opportunity Fund”), Glenview Offshore Opportunity Master Fund, Ltd., a Cayman Islands exempted company (“Glenview Offshore Opportunity Master Fund”), and Glenview Healthcare Master Fund, L.P., a Cayman Islands limited partnership (“Glenview Healthcare Master Fund”).</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Glenview Capital Management serves as investment manager to each of Glenview Capital Partners, Glenview Capital Master Fund, Glenview Capital Opportunity Fund, Glenview Offshore Opportunity Master Fund, and Glenview Healthcare Master Fund. Mr. Robbins is the Chief Executive Officer of Glenview Capital Management.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29"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The address of the principal business office of each of Glenview Capital Management and Mr. Robbins is 767 Fifth Avenue, 44th Floor, New York, New York 10153.</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229" w:lineRule="exact"/>
        <w:rPr>
          <w:sz w:val="20"/>
          <w:szCs w:val="20"/>
          <w:color w:val="auto"/>
        </w:rPr>
      </w:pPr>
    </w:p>
    <w:p>
      <w:pPr>
        <w:ind w:left="1460" w:hanging="156"/>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Glenview Capital Management is a Delaware limited liability company;</w:t>
      </w:r>
    </w:p>
    <w:p>
      <w:pPr>
        <w:spacing w:after="0" w:line="27" w:lineRule="exact"/>
        <w:rPr>
          <w:rFonts w:ascii="Times New Roman" w:cs="Times New Roman" w:eastAsia="Times New Roman" w:hAnsi="Times New Roman"/>
          <w:sz w:val="18"/>
          <w:szCs w:val="18"/>
          <w:color w:val="auto"/>
        </w:rPr>
      </w:pPr>
    </w:p>
    <w:p>
      <w:pPr>
        <w:ind w:left="1500" w:hanging="196"/>
        <w:spacing w:after="0"/>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Robbins is a citizen of the United States of America.</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Common Stock, $0.01 par value per share (the “Shares”)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62855J104</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§§240.13d-1(b) or 240.13d-2(b) or (c), Check Whether the Person Filing is a:</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Item 3 is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62855J104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5 of 9 Pages</w:t>
      </w:r>
    </w:p>
    <w:p>
      <w:pPr>
        <w:spacing w:after="0" w:line="192" w:lineRule="exact"/>
        <w:rPr>
          <w:sz w:val="20"/>
          <w:szCs w:val="20"/>
          <w:color w:val="auto"/>
        </w:rPr>
      </w:pPr>
    </w:p>
    <w:p>
      <w:pPr>
        <w:sectPr>
          <w:pgSz w:w="11900" w:h="16838" w:orient="portrait"/>
          <w:cols w:equalWidth="0" w:num="2">
            <w:col w:w="9240" w:space="720"/>
            <w:col w:w="128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Ownership:</w:t>
      </w:r>
    </w:p>
    <w:p>
      <w:pPr>
        <w:spacing w:after="0" w:line="200"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 Beneficially Owned:</w:t>
      </w:r>
    </w:p>
    <w:p>
      <w:pPr>
        <w:spacing w:after="0" w:line="200" w:lineRule="exact"/>
        <w:rPr>
          <w:sz w:val="20"/>
          <w:szCs w:val="20"/>
          <w:color w:val="auto"/>
        </w:rPr>
      </w:pPr>
    </w:p>
    <w:p>
      <w:pPr>
        <w:sectPr>
          <w:pgSz w:w="11900" w:h="16838" w:orient="portrait"/>
          <w:cols w:equalWidth="0" w:num="2">
            <w:col w:w="760" w:space="540"/>
            <w:col w:w="9940"/>
          </w:cols>
          <w:pgMar w:left="320" w:top="121" w:right="339" w:bottom="1440" w:gutter="0" w:footer="0" w:header="0"/>
          <w:type w:val="continuous"/>
        </w:sectPr>
      </w:pPr>
    </w:p>
    <w:p>
      <w:pPr>
        <w:spacing w:after="0" w:line="29"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As of December 31, 2023, each of Glenview Capital Management and Mr. Robbins may be deemed the beneficial owner of 5,283,982 Shares. This amount consists of: (A) 218,988 Shares held for the account of Glenview Capital Partners; (B) 2,178,344 Shares held for the account of Glenview Capital Master Fund; (C) 1,977,063 Shares held for the account of Glenview Capital Opportunity Fund; (D) 686,519 Shares held for the account of Glenview Offshore Opportunity Master Fund; and (E) 223,068 Shares held for the account of Glenview Healthcare Master Fund.</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4(b).</w:t>
      </w:r>
      <w:r>
        <w:rPr>
          <w:sz w:val="20"/>
          <w:szCs w:val="20"/>
          <w:color w:val="auto"/>
        </w:rPr>
        <w:tab/>
      </w:r>
      <w:r>
        <w:rPr>
          <w:rFonts w:ascii="Times New Roman" w:cs="Times New Roman" w:eastAsia="Times New Roman" w:hAnsi="Times New Roman"/>
          <w:sz w:val="17"/>
          <w:szCs w:val="17"/>
          <w:b w:val="1"/>
          <w:bCs w:val="1"/>
          <w:color w:val="auto"/>
        </w:rPr>
        <w:t>Percent of Class:</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As of December 31, 2023, each of the Reporting Persons may be deemed the beneficial owner of approximately 5.97% of Shares outstanding. (There were 88,535,001 Shares outstanding upon closing of the Issuer’s follow-on underwritten offering on November 13, 2023, as reported in the Issuer’s prospectus supplement on Form 424B5 filed on November 13,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4(c).</w:t>
            </w:r>
          </w:p>
        </w:tc>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Number of Shares as to Which Such Person has:</w:t>
            </w:r>
          </w:p>
        </w:tc>
        <w:tc>
          <w:tcPr>
            <w:tcW w:w="2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Glenview Capital Management and Mr. Robbins:</w:t>
            </w: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2540" w:type="dxa"/>
            <w:vAlign w:val="bottom"/>
            <w:tcBorders>
              <w:top w:val="single" w:sz="8" w:color="auto"/>
            </w:tcBorders>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 Sole power to vote or direct the vote:</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(ii) Shared power to vote or direct the vote: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5,283,982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(iii) Sole power to dispose or direct the disposition of:</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(iv) Shared power to dispose or direct the disposition of:</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5,283,982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This Item 5 is not applicable.</w:t>
            </w: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See disclosure in Items 2 and 4 hereof. Certain funds listed in Item 2(a) are known to have the right to receive or the power to direct the receipt of dividends from, or the proceeds from the sale of, the Shares covered by this Statement that may be deemed to be beneficially owned by the Reporting Persons.</w:t>
      </w:r>
    </w:p>
    <w:p>
      <w:pPr>
        <w:spacing w:after="0" w:line="172" w:lineRule="exact"/>
        <w:rPr>
          <w:sz w:val="20"/>
          <w:szCs w:val="20"/>
          <w:color w:val="auto"/>
        </w:rPr>
      </w:pPr>
    </w:p>
    <w:p>
      <w:pPr>
        <w:ind w:left="1300" w:right="58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disclosure in Item 2 hereof.</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Item 8 is 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Item 9 is 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62855J104</w:t>
      </w:r>
      <w:r>
        <w:rPr>
          <w:sz w:val="20"/>
          <w:szCs w:val="20"/>
          <w:color w:val="auto"/>
        </w:rPr>
        <w:tab/>
      </w:r>
      <w:r>
        <w:rPr>
          <w:rFonts w:ascii="Times New Roman" w:cs="Times New Roman" w:eastAsia="Times New Roman" w:hAnsi="Times New Roman"/>
          <w:sz w:val="17"/>
          <w:szCs w:val="17"/>
          <w:color w:val="auto"/>
        </w:rPr>
        <w:t>Page 6 of 9 Pages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GLENVIEW CAPITAL MANAGEMENT, LLC</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By: /s/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17145</wp:posOffset>
            </wp:positionV>
            <wp:extent cx="54864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pacing w:after="0" w:line="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Mark J. Horowitz</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Co-President of Glenview Capital Management, LLC</w:t>
      </w:r>
    </w:p>
    <w:p>
      <w:pPr>
        <w:spacing w:after="0" w:line="20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LARRY ROBBINS</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By: /s/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17145</wp:posOffset>
            </wp:positionV>
            <wp:extent cx="54864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pacing w:after="0" w:line="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Mark J. Horowitz, attorney-in-fact for Larry Robbins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CUSIP No. 62855J104</w:t>
            </w:r>
          </w:p>
        </w:tc>
        <w:tc>
          <w:tcPr>
            <w:tcW w:w="7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Page 7 of 9 Pages</w:t>
            </w:r>
          </w:p>
        </w:tc>
        <w:tc>
          <w:tcPr>
            <w:tcW w:w="0" w:type="dxa"/>
            <w:vAlign w:val="bottom"/>
          </w:tcPr>
          <w:p>
            <w:pPr>
              <w:spacing w:after="0"/>
              <w:rPr>
                <w:sz w:val="1"/>
                <w:szCs w:val="1"/>
                <w:color w:val="auto"/>
              </w:rPr>
            </w:pPr>
          </w:p>
        </w:tc>
      </w:tr>
      <w:tr>
        <w:trPr>
          <w:trHeight w:val="392"/>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680" w:type="dxa"/>
            <w:vAlign w:val="bottom"/>
            <w:gridSpan w:val="3"/>
          </w:tcPr>
          <w:p>
            <w:pPr>
              <w:jc w:val="right"/>
              <w:ind w:right="49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91"/>
        </w:trPr>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w:t>
            </w:r>
          </w:p>
        </w:tc>
        <w:tc>
          <w:tcPr>
            <w:tcW w:w="31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Page No.</w:t>
            </w:r>
          </w:p>
        </w:tc>
        <w:tc>
          <w:tcPr>
            <w:tcW w:w="0" w:type="dxa"/>
            <w:vAlign w:val="bottom"/>
          </w:tcPr>
          <w:p>
            <w:pPr>
              <w:spacing w:after="0"/>
              <w:rPr>
                <w:sz w:val="1"/>
                <w:szCs w:val="1"/>
                <w:color w:val="auto"/>
              </w:rPr>
            </w:pPr>
          </w:p>
        </w:tc>
      </w:tr>
      <w:tr>
        <w:trPr>
          <w:trHeight w:val="21"/>
        </w:trPr>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1"/>
              </w:rPr>
              <w:t>A</w:t>
            </w:r>
          </w:p>
        </w:tc>
        <w:tc>
          <w:tcPr>
            <w:tcW w:w="280" w:type="dxa"/>
            <w:vAlign w:val="bottom"/>
            <w:tcBorders>
              <w:bottom w:val="single" w:sz="8" w:color="CCEEFF"/>
            </w:tcBorders>
            <w:gridSpan w:val="2"/>
            <w:shd w:val="clear" w:color="auto" w:fill="CCEEFF"/>
          </w:tcPr>
          <w:p>
            <w:pPr>
              <w:spacing w:after="0"/>
              <w:rPr>
                <w:sz w:val="17"/>
                <w:szCs w:val="17"/>
                <w:color w:val="auto"/>
              </w:rPr>
            </w:pPr>
          </w:p>
        </w:tc>
        <w:tc>
          <w:tcPr>
            <w:tcW w:w="3160" w:type="dxa"/>
            <w:vAlign w:val="bottom"/>
            <w:tcBorders>
              <w:bottom w:val="single" w:sz="8" w:color="CCEEFF"/>
            </w:tcBorders>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Joint Filing Agreement</w:t>
            </w:r>
          </w:p>
        </w:tc>
        <w:tc>
          <w:tcPr>
            <w:tcW w:w="76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B</w:t>
            </w:r>
          </w:p>
        </w:tc>
        <w:tc>
          <w:tcPr>
            <w:tcW w:w="31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Power of Attorney</w:t>
            </w:r>
          </w:p>
        </w:tc>
        <w:tc>
          <w:tcPr>
            <w:tcW w:w="76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 w:name="page8"/>
    <w:bookmarkEnd w:id="7"/>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62855J104</w:t>
      </w:r>
      <w:r>
        <w:rPr>
          <w:sz w:val="20"/>
          <w:szCs w:val="20"/>
          <w:color w:val="auto"/>
        </w:rPr>
        <w:tab/>
      </w:r>
      <w:r>
        <w:rPr>
          <w:rFonts w:ascii="Times New Roman" w:cs="Times New Roman" w:eastAsia="Times New Roman" w:hAnsi="Times New Roman"/>
          <w:sz w:val="17"/>
          <w:szCs w:val="17"/>
          <w:color w:val="auto"/>
        </w:rPr>
        <w:t>Page 8 of 9 Pages</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with respect to the Common Stock of Myriad Genetics, Inc. dated as of February 14, 2024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1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GLENVIEW CAPITAL MANAGEMENT, LLC</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By: /s/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17145</wp:posOffset>
            </wp:positionV>
            <wp:extent cx="54864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pacing w:after="0" w:line="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Mark J. Horowitz</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Co-President of Glenview Capital Management, LLC</w:t>
      </w:r>
    </w:p>
    <w:p>
      <w:pPr>
        <w:spacing w:after="0" w:line="20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LARRY ROBBINS</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By: /s/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17145</wp:posOffset>
            </wp:positionV>
            <wp:extent cx="54864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pacing w:after="0" w:line="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Mark J. Horowitz, attorney-in-fact for Larry Robbins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62855J104</w:t>
      </w:r>
      <w:r>
        <w:rPr>
          <w:sz w:val="20"/>
          <w:szCs w:val="20"/>
          <w:color w:val="auto"/>
        </w:rPr>
        <w:tab/>
      </w:r>
      <w:r>
        <w:rPr>
          <w:rFonts w:ascii="Times New Roman" w:cs="Times New Roman" w:eastAsia="Times New Roman" w:hAnsi="Times New Roman"/>
          <w:sz w:val="17"/>
          <w:szCs w:val="17"/>
          <w:color w:val="auto"/>
        </w:rPr>
        <w:t>Page 9 of 9 Pages</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KNOW ALL MEN BY THESE PRESENT, that I, Larry Robbins, hereby make, constitute and appoint Mark J. Horowitz, acting individually, as my agent and attorney-in-fact for the purpose of executing in my name, (a) in my personal capacity or (b) in my capacity as Chief Executive Officer or in other capacities of Glenview Capital Management, LLC, a Delaware limited liability company, and each of its affiliates or entities advised or controlled by me or Glenview Capital Management, LLC, all documents, certificates, instruments, statements, filings and agreements (“documents”) to be filed with or delivered to any foreign or domestic governmental or regulatory body or required or requested by any other person or entity pursuant to any legal or regulatory requirement relating to the acquisition, ownership, management or disposition of securities, futures contracts or other investments, and any other documents relating or ancillary thereto, including, without limitation, all documents relating to filings with the United States Securities and Exchange Commission (the “SEC”) pursuant to the Securities Act of 1933, as amended, or the Securities and Exchange Act of 1934, as amended (the “Act”), and the rules and regulations promulgated thereunder, including, without limitation: (1) all documents relating to the beneficial ownership of securities required to be filed with the SEC pursuant to Section 13(d) or Section 16(a) of the Act, including, without limitation: (a) any acquisition statements on Schedule 13D or Schedule 13G and any amendments thereto, (b) any joint filing agreements pursuant to Rule 13d-1(k), and (c) any initial statements of, or statements of changes in, beneficial ownership of securities on Form 3, Form 4 or Form 5 and (2) any information statements on Form 13F required to be filed with the SEC pursuant to Section 13(f) of the Act.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past acts of the attorney-in-fact in furtherance of the foregoing are hereby ratified and confirmed.</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This Power of Attorney revokes the previous Power of Attorney, executed by the undersigned on February 10, 2009, and shall remain in effect until revoked, in writing, by the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this 2nd day of February,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Larry Robbins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Larry Robbins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2024-02-14T17:08:28Z</dcterms:created>
  <dcterms:modified xsi:type="dcterms:W3CDTF">2024-02-14T17:08:28Z</dcterms:modified>
</cp:coreProperties>
</file>